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428"/>
        <w:gridCol w:w="4428"/>
      </w:tblGrid>
      <w:tr w:rsidRPr="000B7D78" w:rsidR="000B7D78" w:rsidTr="00CC02AD" w14:paraId="02233DC1" w14:textId="77777777">
        <w:trPr>
          <w:trHeight w:val="280" w:hRule="exact"/>
        </w:trPr>
        <w:tc>
          <w:tcPr>
            <w:tcW w:w="4428" w:type="dxa"/>
          </w:tcPr>
          <w:p w:rsidRPr="000B7D78" w:rsidR="000B7D78" w:rsidP="00CC02AD" w:rsidRDefault="000B7D78" w14:paraId="4619FD72" w14:textId="77777777">
            <w:pPr>
              <w:rPr>
                <w:sz w:val="26"/>
                <w:szCs w:val="26"/>
              </w:rPr>
            </w:pPr>
            <w:r w:rsidRPr="000B7D78">
              <w:rPr>
                <w:b/>
                <w:sz w:val="26"/>
                <w:szCs w:val="26"/>
              </w:rPr>
              <w:t>State of California</w:t>
            </w:r>
          </w:p>
        </w:tc>
        <w:tc>
          <w:tcPr>
            <w:tcW w:w="4428" w:type="dxa"/>
          </w:tcPr>
          <w:p w:rsidRPr="000B7D78" w:rsidR="000B7D78" w:rsidP="00CC02AD" w:rsidRDefault="000B7D78" w14:paraId="6E1CE2BE" w14:textId="77777777">
            <w:pPr>
              <w:jc w:val="right"/>
              <w:rPr>
                <w:b/>
                <w:sz w:val="26"/>
                <w:szCs w:val="26"/>
              </w:rPr>
            </w:pPr>
            <w:r w:rsidRPr="000B7D78">
              <w:rPr>
                <w:b/>
                <w:sz w:val="26"/>
                <w:szCs w:val="26"/>
              </w:rPr>
              <w:t>Public Utilities Commission</w:t>
            </w:r>
          </w:p>
          <w:p w:rsidRPr="000B7D78" w:rsidR="000B7D78" w:rsidP="00CC02AD" w:rsidRDefault="000B7D78" w14:paraId="6533752D" w14:textId="77777777">
            <w:pPr>
              <w:rPr>
                <w:sz w:val="26"/>
                <w:szCs w:val="26"/>
              </w:rPr>
            </w:pPr>
          </w:p>
        </w:tc>
      </w:tr>
      <w:tr w:rsidRPr="000B7D78" w:rsidR="000B7D78" w:rsidTr="00CC02AD" w14:paraId="1893337E" w14:textId="77777777">
        <w:tc>
          <w:tcPr>
            <w:tcW w:w="4428" w:type="dxa"/>
          </w:tcPr>
          <w:p w:rsidRPr="000B7D78" w:rsidR="000B7D78" w:rsidP="00CC02AD" w:rsidRDefault="000B7D78" w14:paraId="1D04D900" w14:textId="77777777">
            <w:pPr>
              <w:rPr>
                <w:sz w:val="26"/>
                <w:szCs w:val="26"/>
              </w:rPr>
            </w:pPr>
          </w:p>
        </w:tc>
        <w:tc>
          <w:tcPr>
            <w:tcW w:w="4428" w:type="dxa"/>
          </w:tcPr>
          <w:p w:rsidRPr="000B7D78" w:rsidR="000B7D78" w:rsidP="00CC02AD" w:rsidRDefault="000B7D78" w14:paraId="5E059E35" w14:textId="77777777">
            <w:pPr>
              <w:jc w:val="right"/>
              <w:rPr>
                <w:sz w:val="26"/>
                <w:szCs w:val="26"/>
              </w:rPr>
            </w:pPr>
            <w:r w:rsidRPr="000B7D78">
              <w:rPr>
                <w:b/>
                <w:sz w:val="26"/>
                <w:szCs w:val="26"/>
              </w:rPr>
              <w:t>San Francisco</w:t>
            </w:r>
          </w:p>
        </w:tc>
      </w:tr>
      <w:tr w:rsidRPr="000B7D78" w:rsidR="000B7D78" w:rsidTr="00CC02AD" w14:paraId="4FB9F78F" w14:textId="77777777">
        <w:tc>
          <w:tcPr>
            <w:tcW w:w="4428" w:type="dxa"/>
          </w:tcPr>
          <w:p w:rsidRPr="000B7D78" w:rsidR="000B7D78" w:rsidP="00CC02AD" w:rsidRDefault="000B7D78" w14:paraId="622B3340" w14:textId="77777777">
            <w:pPr>
              <w:rPr>
                <w:sz w:val="26"/>
                <w:szCs w:val="26"/>
              </w:rPr>
            </w:pPr>
          </w:p>
        </w:tc>
        <w:tc>
          <w:tcPr>
            <w:tcW w:w="4428" w:type="dxa"/>
          </w:tcPr>
          <w:p w:rsidRPr="000B7D78" w:rsidR="000B7D78" w:rsidP="00CC02AD" w:rsidRDefault="000B7D78" w14:paraId="2E5A0D38" w14:textId="77777777">
            <w:pPr>
              <w:rPr>
                <w:sz w:val="26"/>
                <w:szCs w:val="26"/>
              </w:rPr>
            </w:pPr>
          </w:p>
        </w:tc>
      </w:tr>
      <w:tr w:rsidRPr="000B7D78" w:rsidR="000B7D78" w:rsidTr="00CC02AD" w14:paraId="101F39EB" w14:textId="77777777">
        <w:tc>
          <w:tcPr>
            <w:tcW w:w="4428" w:type="dxa"/>
          </w:tcPr>
          <w:p w:rsidRPr="000B7D78" w:rsidR="000B7D78" w:rsidP="00CC02AD" w:rsidRDefault="000B7D78" w14:paraId="2C5AF71A" w14:textId="77777777">
            <w:pPr>
              <w:rPr>
                <w:sz w:val="26"/>
                <w:szCs w:val="26"/>
              </w:rPr>
            </w:pPr>
            <w:r w:rsidRPr="000B7D78">
              <w:rPr>
                <w:b/>
                <w:sz w:val="26"/>
                <w:szCs w:val="26"/>
              </w:rPr>
              <w:t>M E M O R A N D U M</w:t>
            </w:r>
          </w:p>
        </w:tc>
        <w:tc>
          <w:tcPr>
            <w:tcW w:w="4428" w:type="dxa"/>
          </w:tcPr>
          <w:p w:rsidRPr="000B7D78" w:rsidR="000B7D78" w:rsidP="00CC02AD" w:rsidRDefault="000B7D78" w14:paraId="2E265889" w14:textId="36740725">
            <w:pPr>
              <w:jc w:val="center"/>
              <w:rPr>
                <w:sz w:val="26"/>
                <w:szCs w:val="26"/>
                <w:u w:val="single"/>
              </w:rPr>
            </w:pPr>
          </w:p>
        </w:tc>
      </w:tr>
      <w:tr w:rsidRPr="000B7D78" w:rsidR="000B7D78" w:rsidTr="00CC02AD" w14:paraId="5D4755E0" w14:textId="77777777">
        <w:tc>
          <w:tcPr>
            <w:tcW w:w="4428" w:type="dxa"/>
          </w:tcPr>
          <w:p w:rsidRPr="000B7D78" w:rsidR="000B7D78" w:rsidP="00CC02AD" w:rsidRDefault="000B7D78" w14:paraId="18FD9E0D" w14:textId="77777777">
            <w:pPr>
              <w:rPr>
                <w:sz w:val="26"/>
                <w:szCs w:val="26"/>
              </w:rPr>
            </w:pPr>
          </w:p>
        </w:tc>
        <w:tc>
          <w:tcPr>
            <w:tcW w:w="4428" w:type="dxa"/>
          </w:tcPr>
          <w:p w:rsidRPr="000B7D78" w:rsidR="000B7D78" w:rsidP="00CC02AD" w:rsidRDefault="000B7D78" w14:paraId="54A51C9B" w14:textId="77777777">
            <w:pPr>
              <w:jc w:val="right"/>
              <w:rPr>
                <w:sz w:val="26"/>
                <w:szCs w:val="26"/>
              </w:rPr>
            </w:pPr>
          </w:p>
        </w:tc>
      </w:tr>
    </w:tbl>
    <w:p w:rsidRPr="000B7D78" w:rsidR="008B01BE" w:rsidP="00203BB2" w:rsidRDefault="008B01BE" w14:paraId="10629CDB" w14:textId="77777777">
      <w:pPr>
        <w:rPr>
          <w:sz w:val="26"/>
          <w:szCs w:val="26"/>
        </w:rPr>
      </w:pPr>
    </w:p>
    <w:p w:rsidRPr="000B7D78" w:rsidR="00041AE6" w:rsidP="002762FA" w:rsidRDefault="00041AE6" w14:paraId="1AC53C74" w14:textId="1ACA0BEE">
      <w:pPr>
        <w:rPr>
          <w:b/>
          <w:bCs/>
          <w:sz w:val="26"/>
          <w:szCs w:val="26"/>
        </w:rPr>
      </w:pPr>
      <w:r w:rsidRPr="000B7D78">
        <w:rPr>
          <w:b/>
          <w:bCs/>
          <w:sz w:val="26"/>
          <w:szCs w:val="26"/>
        </w:rPr>
        <w:t>Date:</w:t>
      </w:r>
      <w:r w:rsidRPr="000B7D78">
        <w:rPr>
          <w:sz w:val="26"/>
          <w:szCs w:val="26"/>
        </w:rPr>
        <w:tab/>
      </w:r>
      <w:r w:rsidRPr="000B7D78" w:rsidR="00982D6B">
        <w:rPr>
          <w:sz w:val="26"/>
          <w:szCs w:val="26"/>
        </w:rPr>
        <w:tab/>
      </w:r>
      <w:r w:rsidRPr="000B7D78" w:rsidR="000B7D78">
        <w:rPr>
          <w:b/>
          <w:bCs/>
          <w:sz w:val="26"/>
          <w:szCs w:val="26"/>
        </w:rPr>
        <w:t>April 28, 2021</w:t>
      </w:r>
    </w:p>
    <w:p w:rsidRPr="000B7D78" w:rsidR="000B7D78" w:rsidP="002762FA" w:rsidRDefault="000B7D78" w14:paraId="54387C68" w14:textId="77777777">
      <w:pPr>
        <w:rPr>
          <w:b/>
          <w:sz w:val="26"/>
          <w:szCs w:val="26"/>
        </w:rPr>
      </w:pPr>
    </w:p>
    <w:p w:rsidRPr="000B7D78" w:rsidR="00041AE6" w:rsidP="002762FA" w:rsidRDefault="00041AE6" w14:paraId="1BACEA29" w14:textId="053A503D">
      <w:pPr>
        <w:rPr>
          <w:b/>
          <w:bCs/>
          <w:sz w:val="26"/>
          <w:szCs w:val="26"/>
        </w:rPr>
      </w:pPr>
      <w:r w:rsidRPr="000B7D78">
        <w:rPr>
          <w:b/>
          <w:bCs/>
          <w:sz w:val="26"/>
          <w:szCs w:val="26"/>
        </w:rPr>
        <w:t>To:</w:t>
      </w:r>
      <w:r w:rsidRPr="000B7D78" w:rsidR="4A3ED4F2">
        <w:rPr>
          <w:b/>
          <w:bCs/>
          <w:sz w:val="26"/>
          <w:szCs w:val="26"/>
        </w:rPr>
        <w:t xml:space="preserve">                </w:t>
      </w:r>
      <w:r w:rsidRPr="000B7D78">
        <w:rPr>
          <w:b/>
          <w:sz w:val="26"/>
          <w:szCs w:val="26"/>
        </w:rPr>
        <w:tab/>
      </w:r>
      <w:r w:rsidRPr="000B7D78">
        <w:rPr>
          <w:b/>
          <w:bCs/>
          <w:sz w:val="26"/>
          <w:szCs w:val="26"/>
        </w:rPr>
        <w:t>The Commission</w:t>
      </w:r>
    </w:p>
    <w:p w:rsidRPr="000B7D78" w:rsidR="00041AE6" w:rsidP="002762FA" w:rsidRDefault="00041AE6" w14:paraId="539FED54" w14:textId="3E8FC82D">
      <w:pPr>
        <w:rPr>
          <w:b/>
          <w:bCs/>
          <w:sz w:val="26"/>
          <w:szCs w:val="26"/>
        </w:rPr>
      </w:pPr>
      <w:r w:rsidRPr="000B7D78">
        <w:rPr>
          <w:b/>
          <w:sz w:val="26"/>
          <w:szCs w:val="26"/>
        </w:rPr>
        <w:tab/>
      </w:r>
      <w:r w:rsidRPr="000B7D78">
        <w:rPr>
          <w:b/>
          <w:sz w:val="26"/>
          <w:szCs w:val="26"/>
        </w:rPr>
        <w:tab/>
      </w:r>
      <w:r w:rsidRPr="000B7D78">
        <w:rPr>
          <w:b/>
          <w:bCs/>
          <w:sz w:val="26"/>
          <w:szCs w:val="26"/>
        </w:rPr>
        <w:t xml:space="preserve">(Meeting of </w:t>
      </w:r>
      <w:r w:rsidRPr="000B7D78" w:rsidR="001176DA">
        <w:rPr>
          <w:b/>
          <w:bCs/>
          <w:sz w:val="26"/>
          <w:szCs w:val="26"/>
        </w:rPr>
        <w:t>May 6</w:t>
      </w:r>
      <w:r w:rsidRPr="000B7D78" w:rsidR="00723F8C">
        <w:rPr>
          <w:b/>
          <w:bCs/>
          <w:sz w:val="26"/>
          <w:szCs w:val="26"/>
        </w:rPr>
        <w:t>, 2021</w:t>
      </w:r>
      <w:r w:rsidRPr="000B7D78">
        <w:rPr>
          <w:b/>
          <w:bCs/>
          <w:sz w:val="26"/>
          <w:szCs w:val="26"/>
        </w:rPr>
        <w:t>)</w:t>
      </w:r>
    </w:p>
    <w:p w:rsidRPr="000B7D78" w:rsidR="00041AE6" w:rsidP="002762FA" w:rsidRDefault="00041AE6" w14:paraId="39607F77" w14:textId="77777777">
      <w:pPr>
        <w:rPr>
          <w:b/>
          <w:sz w:val="26"/>
          <w:szCs w:val="26"/>
        </w:rPr>
      </w:pPr>
    </w:p>
    <w:p w:rsidRPr="000B7D78" w:rsidR="00967E3B" w:rsidP="000B7D78" w:rsidRDefault="00041AE6" w14:paraId="14F6511C" w14:textId="580DD719">
      <w:pPr>
        <w:spacing w:after="120"/>
        <w:rPr>
          <w:b/>
          <w:sz w:val="26"/>
          <w:szCs w:val="26"/>
        </w:rPr>
      </w:pPr>
      <w:r w:rsidRPr="000B7D78">
        <w:rPr>
          <w:b/>
          <w:bCs/>
          <w:sz w:val="26"/>
          <w:szCs w:val="26"/>
        </w:rPr>
        <w:t>From:</w:t>
      </w:r>
      <w:r w:rsidRPr="000B7D78" w:rsidR="00E828FD">
        <w:rPr>
          <w:b/>
          <w:bCs/>
          <w:sz w:val="26"/>
          <w:szCs w:val="26"/>
        </w:rPr>
        <w:tab/>
      </w:r>
      <w:r w:rsidRPr="000B7D78" w:rsidR="00E828FD">
        <w:rPr>
          <w:b/>
          <w:bCs/>
          <w:sz w:val="26"/>
          <w:szCs w:val="26"/>
        </w:rPr>
        <w:tab/>
      </w:r>
      <w:r w:rsidRPr="000B7D78" w:rsidR="00967E3B">
        <w:rPr>
          <w:b/>
          <w:sz w:val="26"/>
          <w:szCs w:val="26"/>
        </w:rPr>
        <w:t>Roger Clugston, Director, Rail Safety Division</w:t>
      </w:r>
    </w:p>
    <w:p w:rsidRPr="000B7D78" w:rsidR="00041AE6" w:rsidP="000B7D78" w:rsidRDefault="00723F8C" w14:paraId="0D9EFAC2" w14:textId="20DB906C">
      <w:pPr>
        <w:spacing w:after="120"/>
        <w:ind w:left="1440"/>
        <w:rPr>
          <w:b/>
          <w:bCs/>
          <w:sz w:val="26"/>
          <w:szCs w:val="26"/>
        </w:rPr>
      </w:pPr>
      <w:r w:rsidRPr="000B7D78">
        <w:rPr>
          <w:b/>
          <w:bCs/>
          <w:sz w:val="26"/>
          <w:szCs w:val="26"/>
        </w:rPr>
        <w:t>Antranig Garabetian</w:t>
      </w:r>
      <w:r w:rsidRPr="000B7D78" w:rsidR="00716468">
        <w:rPr>
          <w:b/>
          <w:bCs/>
          <w:sz w:val="26"/>
          <w:szCs w:val="26"/>
        </w:rPr>
        <w:t xml:space="preserve">, </w:t>
      </w:r>
      <w:r w:rsidRPr="000B7D78" w:rsidR="00041AE6">
        <w:rPr>
          <w:b/>
          <w:bCs/>
          <w:sz w:val="26"/>
          <w:szCs w:val="26"/>
        </w:rPr>
        <w:t>Pro</w:t>
      </w:r>
      <w:r w:rsidRPr="000B7D78" w:rsidR="00ED6D77">
        <w:rPr>
          <w:b/>
          <w:bCs/>
          <w:sz w:val="26"/>
          <w:szCs w:val="26"/>
        </w:rPr>
        <w:t>g</w:t>
      </w:r>
      <w:r w:rsidRPr="000B7D78" w:rsidR="008A2DC7">
        <w:rPr>
          <w:b/>
          <w:bCs/>
          <w:sz w:val="26"/>
          <w:szCs w:val="26"/>
        </w:rPr>
        <w:t>ram</w:t>
      </w:r>
      <w:r w:rsidRPr="000B7D78" w:rsidR="00041AE6">
        <w:rPr>
          <w:b/>
          <w:bCs/>
          <w:sz w:val="26"/>
          <w:szCs w:val="26"/>
        </w:rPr>
        <w:t xml:space="preserve"> </w:t>
      </w:r>
      <w:r w:rsidRPr="000B7D78" w:rsidR="008A2DC7">
        <w:rPr>
          <w:b/>
          <w:bCs/>
          <w:sz w:val="26"/>
          <w:szCs w:val="26"/>
        </w:rPr>
        <w:t>Mgr.</w:t>
      </w:r>
      <w:r w:rsidRPr="000B7D78" w:rsidR="00041AE6">
        <w:rPr>
          <w:b/>
          <w:bCs/>
          <w:sz w:val="26"/>
          <w:szCs w:val="26"/>
        </w:rPr>
        <w:t xml:space="preserve">, </w:t>
      </w:r>
      <w:r w:rsidR="00E92755">
        <w:rPr>
          <w:b/>
          <w:bCs/>
          <w:sz w:val="26"/>
          <w:szCs w:val="26"/>
        </w:rPr>
        <w:br/>
      </w:r>
      <w:r w:rsidRPr="000B7D78" w:rsidR="00716468">
        <w:rPr>
          <w:b/>
          <w:bCs/>
          <w:sz w:val="26"/>
          <w:szCs w:val="26"/>
        </w:rPr>
        <w:t xml:space="preserve">Rail </w:t>
      </w:r>
      <w:r w:rsidRPr="000B7D78">
        <w:rPr>
          <w:b/>
          <w:bCs/>
          <w:sz w:val="26"/>
          <w:szCs w:val="26"/>
        </w:rPr>
        <w:t>Crossings and Eng</w:t>
      </w:r>
      <w:r w:rsidRPr="000B7D78" w:rsidR="360FFB4F">
        <w:rPr>
          <w:b/>
          <w:bCs/>
          <w:sz w:val="26"/>
          <w:szCs w:val="26"/>
        </w:rPr>
        <w:t>ineering</w:t>
      </w:r>
      <w:r w:rsidRPr="000B7D78">
        <w:rPr>
          <w:b/>
          <w:bCs/>
          <w:sz w:val="26"/>
          <w:szCs w:val="26"/>
        </w:rPr>
        <w:t xml:space="preserve"> </w:t>
      </w:r>
      <w:r w:rsidRPr="000B7D78" w:rsidR="00716468">
        <w:rPr>
          <w:b/>
          <w:bCs/>
          <w:sz w:val="26"/>
          <w:szCs w:val="26"/>
        </w:rPr>
        <w:t>Branch</w:t>
      </w:r>
    </w:p>
    <w:p w:rsidRPr="000B7D78" w:rsidR="006301CE" w:rsidP="000B7D78" w:rsidRDefault="00524442" w14:paraId="3C90C94F" w14:textId="34F590CC">
      <w:pPr>
        <w:spacing w:after="120"/>
        <w:rPr>
          <w:b/>
          <w:bCs/>
          <w:sz w:val="26"/>
          <w:szCs w:val="26"/>
        </w:rPr>
      </w:pPr>
      <w:r w:rsidRPr="000B7D78">
        <w:rPr>
          <w:b/>
          <w:sz w:val="26"/>
          <w:szCs w:val="26"/>
        </w:rPr>
        <w:tab/>
      </w:r>
      <w:r w:rsidRPr="000B7D78">
        <w:rPr>
          <w:b/>
          <w:sz w:val="26"/>
          <w:szCs w:val="26"/>
        </w:rPr>
        <w:tab/>
      </w:r>
      <w:r w:rsidRPr="000B7D78" w:rsidR="006301CE">
        <w:rPr>
          <w:b/>
          <w:bCs/>
          <w:sz w:val="26"/>
          <w:szCs w:val="26"/>
        </w:rPr>
        <w:t>Helen M.  Mickiewicz, Asst. General Counsel</w:t>
      </w:r>
    </w:p>
    <w:p w:rsidRPr="000B7D78" w:rsidR="00716468" w:rsidP="000B7D78" w:rsidRDefault="24196774" w14:paraId="2706A79D" w14:textId="7CB26A65">
      <w:pPr>
        <w:spacing w:after="120"/>
        <w:ind w:left="720" w:firstLine="720"/>
        <w:rPr>
          <w:b/>
          <w:bCs/>
          <w:sz w:val="26"/>
          <w:szCs w:val="26"/>
        </w:rPr>
      </w:pPr>
      <w:r w:rsidRPr="000B7D78">
        <w:rPr>
          <w:b/>
          <w:bCs/>
          <w:sz w:val="26"/>
          <w:szCs w:val="26"/>
        </w:rPr>
        <w:t>Lisa-Marie Clark</w:t>
      </w:r>
      <w:r w:rsidRPr="000B7D78" w:rsidR="00524442">
        <w:rPr>
          <w:b/>
          <w:bCs/>
          <w:sz w:val="26"/>
          <w:szCs w:val="26"/>
        </w:rPr>
        <w:t xml:space="preserve">, </w:t>
      </w:r>
      <w:r w:rsidRPr="000B7D78" w:rsidR="002F7095">
        <w:rPr>
          <w:b/>
          <w:bCs/>
          <w:sz w:val="26"/>
          <w:szCs w:val="26"/>
        </w:rPr>
        <w:t xml:space="preserve">Public Utilities </w:t>
      </w:r>
      <w:r w:rsidRPr="000B7D78" w:rsidR="00716468">
        <w:rPr>
          <w:b/>
          <w:bCs/>
          <w:sz w:val="26"/>
          <w:szCs w:val="26"/>
        </w:rPr>
        <w:t>Counsel</w:t>
      </w:r>
      <w:r w:rsidRPr="000B7D78" w:rsidR="002F7095">
        <w:rPr>
          <w:b/>
          <w:bCs/>
          <w:sz w:val="26"/>
          <w:szCs w:val="26"/>
        </w:rPr>
        <w:t xml:space="preserve"> IV</w:t>
      </w:r>
    </w:p>
    <w:p w:rsidRPr="000B7D78" w:rsidR="00041AE6" w:rsidP="002762FA" w:rsidRDefault="00041AE6" w14:paraId="45590249" w14:textId="77777777">
      <w:pPr>
        <w:rPr>
          <w:b/>
          <w:sz w:val="26"/>
          <w:szCs w:val="26"/>
        </w:rPr>
      </w:pPr>
    </w:p>
    <w:p w:rsidRPr="000B7D78" w:rsidR="00041AE6" w:rsidP="00A566C5" w:rsidRDefault="00041AE6" w14:paraId="02B9729B" w14:textId="50E35D58">
      <w:pPr>
        <w:ind w:left="1440" w:hanging="1440"/>
        <w:rPr>
          <w:rFonts w:eastAsia="Arial Unicode MS"/>
          <w:b/>
          <w:color w:val="000000"/>
          <w:kern w:val="28"/>
          <w:sz w:val="26"/>
          <w:szCs w:val="26"/>
          <w:u w:color="000000"/>
        </w:rPr>
      </w:pPr>
      <w:r w:rsidRPr="000B7D78">
        <w:rPr>
          <w:rFonts w:eastAsia="Arial Unicode MS"/>
          <w:b/>
          <w:color w:val="000000"/>
          <w:kern w:val="28"/>
          <w:sz w:val="26"/>
          <w:szCs w:val="26"/>
          <w:u w:color="000000"/>
        </w:rPr>
        <w:t xml:space="preserve">Subject:  </w:t>
      </w:r>
      <w:r w:rsidRPr="000B7D78">
        <w:rPr>
          <w:rFonts w:eastAsia="Arial Unicode MS"/>
          <w:b/>
          <w:color w:val="000000"/>
          <w:kern w:val="28"/>
          <w:sz w:val="26"/>
          <w:szCs w:val="26"/>
          <w:u w:color="000000"/>
        </w:rPr>
        <w:tab/>
      </w:r>
      <w:r w:rsidRPr="000B7D78" w:rsidR="00723F8C">
        <w:rPr>
          <w:rFonts w:eastAsia="Arial Unicode MS"/>
          <w:b/>
          <w:color w:val="000000"/>
          <w:kern w:val="28"/>
          <w:sz w:val="26"/>
          <w:szCs w:val="26"/>
          <w:u w:color="000000"/>
        </w:rPr>
        <w:t>Federal Highway Administration</w:t>
      </w:r>
      <w:r w:rsidRPr="000B7D78" w:rsidR="000866FE">
        <w:rPr>
          <w:rFonts w:eastAsia="Arial Unicode MS"/>
          <w:b/>
          <w:color w:val="000000"/>
          <w:kern w:val="28"/>
          <w:sz w:val="26"/>
          <w:szCs w:val="26"/>
          <w:u w:color="000000"/>
        </w:rPr>
        <w:t>’</w:t>
      </w:r>
      <w:r w:rsidRPr="000B7D78" w:rsidR="00723F8C">
        <w:rPr>
          <w:rFonts w:eastAsia="Arial Unicode MS"/>
          <w:b/>
          <w:color w:val="000000"/>
          <w:kern w:val="28"/>
          <w:sz w:val="26"/>
          <w:szCs w:val="26"/>
          <w:u w:color="000000"/>
        </w:rPr>
        <w:t>s</w:t>
      </w:r>
      <w:r w:rsidRPr="000B7D78" w:rsidR="00524442">
        <w:rPr>
          <w:rFonts w:eastAsia="Arial Unicode MS"/>
          <w:b/>
          <w:color w:val="000000"/>
          <w:kern w:val="28"/>
          <w:sz w:val="26"/>
          <w:szCs w:val="26"/>
          <w:u w:color="000000"/>
        </w:rPr>
        <w:t xml:space="preserve"> </w:t>
      </w:r>
      <w:r w:rsidRPr="000B7D78" w:rsidR="00524442">
        <w:rPr>
          <w:rFonts w:eastAsia="Arial Unicode MS"/>
          <w:b/>
          <w:i/>
          <w:color w:val="000000"/>
          <w:kern w:val="28"/>
          <w:sz w:val="26"/>
          <w:szCs w:val="26"/>
          <w:u w:color="000000"/>
        </w:rPr>
        <w:t>Notice of Propose</w:t>
      </w:r>
      <w:r w:rsidRPr="000B7D78" w:rsidR="00BD0409">
        <w:rPr>
          <w:rFonts w:eastAsia="Arial Unicode MS"/>
          <w:b/>
          <w:i/>
          <w:color w:val="000000"/>
          <w:kern w:val="28"/>
          <w:sz w:val="26"/>
          <w:szCs w:val="26"/>
          <w:u w:color="000000"/>
        </w:rPr>
        <w:t xml:space="preserve">d </w:t>
      </w:r>
      <w:r w:rsidRPr="000B7D78" w:rsidR="00723F8C">
        <w:rPr>
          <w:rFonts w:eastAsia="Arial Unicode MS"/>
          <w:b/>
          <w:i/>
          <w:color w:val="000000"/>
          <w:kern w:val="28"/>
          <w:sz w:val="26"/>
          <w:szCs w:val="26"/>
          <w:u w:color="000000"/>
        </w:rPr>
        <w:t>Amendments</w:t>
      </w:r>
      <w:r w:rsidRPr="000B7D78" w:rsidR="00310006">
        <w:rPr>
          <w:rFonts w:eastAsia="Arial Unicode MS"/>
          <w:b/>
          <w:color w:val="000000"/>
          <w:kern w:val="28"/>
          <w:sz w:val="26"/>
          <w:szCs w:val="26"/>
          <w:u w:color="000000"/>
        </w:rPr>
        <w:br/>
      </w:r>
      <w:r w:rsidRPr="000B7D78" w:rsidR="00D56754">
        <w:rPr>
          <w:rFonts w:eastAsia="Arial Unicode MS"/>
          <w:b/>
          <w:color w:val="000000"/>
          <w:kern w:val="28"/>
          <w:sz w:val="26"/>
          <w:szCs w:val="26"/>
          <w:u w:color="000000"/>
        </w:rPr>
        <w:t>(</w:t>
      </w:r>
      <w:r w:rsidRPr="000B7D78" w:rsidR="00723F8C">
        <w:rPr>
          <w:rFonts w:eastAsia="Arial Unicode MS"/>
          <w:b/>
          <w:color w:val="000000"/>
          <w:kern w:val="28"/>
          <w:sz w:val="26"/>
          <w:szCs w:val="26"/>
          <w:u w:color="000000"/>
        </w:rPr>
        <w:t>Manual on Uniform Traffic Control Devices</w:t>
      </w:r>
      <w:r w:rsidRPr="000B7D78" w:rsidR="00D56754">
        <w:rPr>
          <w:rFonts w:eastAsia="Arial Unicode MS"/>
          <w:b/>
          <w:color w:val="000000"/>
          <w:kern w:val="28"/>
          <w:sz w:val="26"/>
          <w:szCs w:val="26"/>
          <w:u w:color="000000"/>
        </w:rPr>
        <w:t>)</w:t>
      </w:r>
      <w:r w:rsidRPr="000B7D78" w:rsidR="00524442">
        <w:rPr>
          <w:rFonts w:eastAsia="Arial Unicode MS"/>
          <w:b/>
          <w:color w:val="000000"/>
          <w:kern w:val="28"/>
          <w:sz w:val="26"/>
          <w:szCs w:val="26"/>
          <w:u w:color="000000"/>
        </w:rPr>
        <w:t xml:space="preserve">, </w:t>
      </w:r>
      <w:r w:rsidRPr="000B7D78" w:rsidR="00723F8C">
        <w:rPr>
          <w:rFonts w:eastAsia="Arial Unicode MS"/>
          <w:b/>
          <w:color w:val="000000"/>
          <w:kern w:val="28"/>
          <w:sz w:val="26"/>
          <w:szCs w:val="26"/>
          <w:u w:color="000000"/>
        </w:rPr>
        <w:t>23 CFR Parts 470, 635, and 655, Docket No. FHWA–2020–0001</w:t>
      </w:r>
    </w:p>
    <w:p w:rsidRPr="000B7D78" w:rsidR="00041AE6" w:rsidP="002762FA" w:rsidRDefault="00041AE6" w14:paraId="1F6E4DBF" w14:textId="77777777">
      <w:pPr>
        <w:rPr>
          <w:rFonts w:eastAsia="Arial Unicode MS"/>
          <w:b/>
          <w:color w:val="000000"/>
          <w:kern w:val="28"/>
          <w:sz w:val="26"/>
          <w:szCs w:val="26"/>
          <w:u w:val="single" w:color="000000"/>
        </w:rPr>
      </w:pPr>
    </w:p>
    <w:p w:rsidRPr="000B7D78" w:rsidR="009F1350" w:rsidP="00203BB2" w:rsidRDefault="009F1350" w14:paraId="65A95D05" w14:textId="77777777">
      <w:pPr>
        <w:rPr>
          <w:rFonts w:eastAsia="Arial Unicode MS"/>
          <w:b/>
          <w:color w:val="000000"/>
          <w:kern w:val="28"/>
          <w:sz w:val="26"/>
          <w:szCs w:val="26"/>
          <w:u w:val="single" w:color="000000"/>
        </w:rPr>
      </w:pPr>
    </w:p>
    <w:p w:rsidRPr="000B7D78" w:rsidR="00651BB1" w:rsidRDefault="00041AE6" w14:paraId="346BD5A6" w14:textId="69569E2A">
      <w:pPr>
        <w:pStyle w:val="Body1"/>
        <w:spacing w:after="0" w:line="240" w:lineRule="auto"/>
        <w:rPr>
          <w:rFonts w:ascii="Times New Roman" w:hAnsi="Times New Roman"/>
          <w:iCs/>
          <w:sz w:val="26"/>
          <w:szCs w:val="26"/>
        </w:rPr>
      </w:pPr>
      <w:r w:rsidRPr="000B7D78">
        <w:rPr>
          <w:rFonts w:ascii="Times New Roman" w:hAnsi="Times New Roman"/>
          <w:b/>
          <w:sz w:val="26"/>
          <w:szCs w:val="26"/>
          <w:u w:val="single"/>
        </w:rPr>
        <w:t>RECOMMENDATION</w:t>
      </w:r>
      <w:r w:rsidRPr="000B7D78">
        <w:rPr>
          <w:rFonts w:ascii="Times New Roman" w:hAnsi="Times New Roman"/>
          <w:sz w:val="26"/>
          <w:szCs w:val="26"/>
        </w:rPr>
        <w:t xml:space="preserve">: </w:t>
      </w:r>
      <w:r w:rsidRPr="000B7D78" w:rsidR="00025891">
        <w:rPr>
          <w:rFonts w:ascii="Times New Roman" w:hAnsi="Times New Roman"/>
          <w:sz w:val="26"/>
          <w:szCs w:val="26"/>
        </w:rPr>
        <w:t xml:space="preserve"> </w:t>
      </w:r>
      <w:r w:rsidRPr="000B7D78" w:rsidR="00A3135B">
        <w:rPr>
          <w:rFonts w:ascii="Times New Roman" w:hAnsi="Times New Roman"/>
          <w:sz w:val="26"/>
          <w:szCs w:val="26"/>
        </w:rPr>
        <w:t>The CPUC should f</w:t>
      </w:r>
      <w:r w:rsidRPr="000B7D78" w:rsidR="00793272">
        <w:rPr>
          <w:rFonts w:ascii="Times New Roman" w:hAnsi="Times New Roman"/>
          <w:sz w:val="26"/>
          <w:szCs w:val="26"/>
        </w:rPr>
        <w:t xml:space="preserve">ile comments in response to the </w:t>
      </w:r>
      <w:r w:rsidRPr="000B7D78" w:rsidR="00793272">
        <w:rPr>
          <w:rFonts w:ascii="Times New Roman" w:hAnsi="Times New Roman"/>
          <w:i/>
          <w:sz w:val="26"/>
          <w:szCs w:val="26"/>
        </w:rPr>
        <w:t xml:space="preserve">Notice of Proposed </w:t>
      </w:r>
      <w:r w:rsidRPr="000B7D78" w:rsidR="00A4268C">
        <w:rPr>
          <w:rFonts w:ascii="Times New Roman" w:hAnsi="Times New Roman"/>
          <w:i/>
          <w:sz w:val="26"/>
          <w:szCs w:val="26"/>
        </w:rPr>
        <w:t>Amendments</w:t>
      </w:r>
      <w:r w:rsidRPr="000B7D78" w:rsidR="00793272">
        <w:rPr>
          <w:rFonts w:ascii="Times New Roman" w:hAnsi="Times New Roman"/>
          <w:i/>
          <w:sz w:val="26"/>
          <w:szCs w:val="26"/>
        </w:rPr>
        <w:t xml:space="preserve"> </w:t>
      </w:r>
      <w:r w:rsidRPr="000B7D78" w:rsidR="00793272">
        <w:rPr>
          <w:rFonts w:ascii="Times New Roman" w:hAnsi="Times New Roman"/>
          <w:sz w:val="26"/>
          <w:szCs w:val="26"/>
        </w:rPr>
        <w:t>(</w:t>
      </w:r>
      <w:r w:rsidRPr="000B7D78" w:rsidR="00A4268C">
        <w:rPr>
          <w:rFonts w:ascii="Times New Roman" w:hAnsi="Times New Roman"/>
          <w:i/>
          <w:sz w:val="26"/>
          <w:szCs w:val="26"/>
        </w:rPr>
        <w:t>NPA</w:t>
      </w:r>
      <w:r w:rsidRPr="000B7D78" w:rsidR="00793272">
        <w:rPr>
          <w:rFonts w:ascii="Times New Roman" w:hAnsi="Times New Roman"/>
          <w:sz w:val="26"/>
          <w:szCs w:val="26"/>
        </w:rPr>
        <w:t>)</w:t>
      </w:r>
      <w:r w:rsidRPr="000B7D78" w:rsidR="002F7095">
        <w:rPr>
          <w:rFonts w:ascii="Times New Roman" w:hAnsi="Times New Roman"/>
          <w:sz w:val="26"/>
          <w:szCs w:val="26"/>
        </w:rPr>
        <w:t xml:space="preserve"> to the Manual on Uniform Traffic Control Devices for Streets and Highways (MUTCD)</w:t>
      </w:r>
      <w:r w:rsidRPr="000B7D78" w:rsidR="00793272">
        <w:rPr>
          <w:rFonts w:ascii="Times New Roman" w:hAnsi="Times New Roman"/>
          <w:i/>
          <w:sz w:val="26"/>
          <w:szCs w:val="26"/>
        </w:rPr>
        <w:t xml:space="preserve"> </w:t>
      </w:r>
      <w:r w:rsidRPr="000B7D78" w:rsidR="00793272">
        <w:rPr>
          <w:rFonts w:ascii="Times New Roman" w:hAnsi="Times New Roman"/>
          <w:sz w:val="26"/>
          <w:szCs w:val="26"/>
        </w:rPr>
        <w:t xml:space="preserve">released by the Federal </w:t>
      </w:r>
      <w:r w:rsidRPr="000B7D78" w:rsidR="00A4268C">
        <w:rPr>
          <w:rFonts w:ascii="Times New Roman" w:hAnsi="Times New Roman"/>
          <w:sz w:val="26"/>
          <w:szCs w:val="26"/>
        </w:rPr>
        <w:t xml:space="preserve">Highway </w:t>
      </w:r>
      <w:r w:rsidRPr="000B7D78" w:rsidR="00524442">
        <w:rPr>
          <w:rFonts w:ascii="Times New Roman" w:hAnsi="Times New Roman"/>
          <w:sz w:val="26"/>
          <w:szCs w:val="26"/>
        </w:rPr>
        <w:t>Administration</w:t>
      </w:r>
      <w:r w:rsidRPr="000B7D78" w:rsidR="00793272">
        <w:rPr>
          <w:rFonts w:ascii="Times New Roman" w:hAnsi="Times New Roman"/>
          <w:sz w:val="26"/>
          <w:szCs w:val="26"/>
        </w:rPr>
        <w:t xml:space="preserve"> (</w:t>
      </w:r>
      <w:r w:rsidRPr="000B7D78" w:rsidR="00A4268C">
        <w:rPr>
          <w:rFonts w:ascii="Times New Roman" w:hAnsi="Times New Roman"/>
          <w:sz w:val="26"/>
          <w:szCs w:val="26"/>
        </w:rPr>
        <w:t>FHWA</w:t>
      </w:r>
      <w:r w:rsidRPr="000B7D78" w:rsidR="00793272">
        <w:rPr>
          <w:rFonts w:ascii="Times New Roman" w:hAnsi="Times New Roman"/>
          <w:sz w:val="26"/>
          <w:szCs w:val="26"/>
        </w:rPr>
        <w:t>)</w:t>
      </w:r>
      <w:r w:rsidRPr="000B7D78" w:rsidR="00A945C2">
        <w:rPr>
          <w:rFonts w:ascii="Times New Roman" w:hAnsi="Times New Roman"/>
          <w:sz w:val="26"/>
          <w:szCs w:val="26"/>
        </w:rPr>
        <w:t>,</w:t>
      </w:r>
      <w:r w:rsidRPr="000B7D78" w:rsidR="00C30D89">
        <w:rPr>
          <w:rFonts w:ascii="Times New Roman" w:hAnsi="Times New Roman"/>
          <w:sz w:val="26"/>
          <w:szCs w:val="26"/>
        </w:rPr>
        <w:t xml:space="preserve"> </w:t>
      </w:r>
      <w:r w:rsidRPr="000B7D78" w:rsidR="00A04924">
        <w:rPr>
          <w:rFonts w:ascii="Times New Roman" w:hAnsi="Times New Roman"/>
          <w:sz w:val="26"/>
          <w:szCs w:val="26"/>
        </w:rPr>
        <w:t>an agency within the</w:t>
      </w:r>
      <w:r w:rsidRPr="000B7D78" w:rsidR="00C30D89">
        <w:rPr>
          <w:rFonts w:ascii="Times New Roman" w:hAnsi="Times New Roman"/>
          <w:sz w:val="26"/>
          <w:szCs w:val="26"/>
        </w:rPr>
        <w:t xml:space="preserve"> </w:t>
      </w:r>
      <w:r w:rsidRPr="000B7D78" w:rsidR="00A945C2">
        <w:rPr>
          <w:rFonts w:ascii="Times New Roman" w:hAnsi="Times New Roman"/>
          <w:sz w:val="26"/>
          <w:szCs w:val="26"/>
        </w:rPr>
        <w:t>U.S. Department of Transportation</w:t>
      </w:r>
      <w:r w:rsidRPr="000B7D78" w:rsidR="00C30D89">
        <w:rPr>
          <w:rFonts w:ascii="Times New Roman" w:hAnsi="Times New Roman"/>
          <w:sz w:val="26"/>
          <w:szCs w:val="26"/>
        </w:rPr>
        <w:t xml:space="preserve">, </w:t>
      </w:r>
      <w:r w:rsidRPr="000B7D78" w:rsidR="00793272">
        <w:rPr>
          <w:rFonts w:ascii="Times New Roman" w:hAnsi="Times New Roman"/>
          <w:sz w:val="26"/>
          <w:szCs w:val="26"/>
        </w:rPr>
        <w:t xml:space="preserve">on </w:t>
      </w:r>
      <w:r w:rsidRPr="000B7D78" w:rsidR="00A4268C">
        <w:rPr>
          <w:rFonts w:ascii="Times New Roman" w:hAnsi="Times New Roman"/>
          <w:sz w:val="26"/>
          <w:szCs w:val="26"/>
        </w:rPr>
        <w:t>December 14</w:t>
      </w:r>
      <w:r w:rsidRPr="000B7D78" w:rsidR="00524442">
        <w:rPr>
          <w:rFonts w:ascii="Times New Roman" w:hAnsi="Times New Roman"/>
          <w:sz w:val="26"/>
          <w:szCs w:val="26"/>
        </w:rPr>
        <w:t>, 20</w:t>
      </w:r>
      <w:r w:rsidRPr="000B7D78" w:rsidR="00A4268C">
        <w:rPr>
          <w:rFonts w:ascii="Times New Roman" w:hAnsi="Times New Roman"/>
          <w:sz w:val="26"/>
          <w:szCs w:val="26"/>
        </w:rPr>
        <w:t>20</w:t>
      </w:r>
      <w:r w:rsidRPr="000B7D78" w:rsidR="00793272">
        <w:rPr>
          <w:rFonts w:ascii="Times New Roman" w:hAnsi="Times New Roman"/>
          <w:sz w:val="26"/>
          <w:szCs w:val="26"/>
        </w:rPr>
        <w:t>.</w:t>
      </w:r>
      <w:r w:rsidRPr="002D64A9" w:rsidR="00651BB1">
        <w:rPr>
          <w:rStyle w:val="FootnoteReference"/>
          <w:rFonts w:ascii="Times New Roman" w:hAnsi="Times New Roman"/>
          <w:b/>
          <w:kern w:val="28"/>
          <w:sz w:val="26"/>
          <w:szCs w:val="26"/>
          <w:u w:val="single"/>
        </w:rPr>
        <w:footnoteReference w:id="2"/>
      </w:r>
      <w:r w:rsidRPr="000B7D78" w:rsidR="00651BB1">
        <w:rPr>
          <w:rFonts w:ascii="Times New Roman" w:hAnsi="Times New Roman"/>
          <w:sz w:val="26"/>
          <w:szCs w:val="26"/>
        </w:rPr>
        <w:t xml:space="preserve">  </w:t>
      </w:r>
      <w:r w:rsidRPr="000B7D78" w:rsidR="00651BB1">
        <w:rPr>
          <w:rFonts w:ascii="Times New Roman" w:hAnsi="Times New Roman"/>
          <w:iCs/>
          <w:sz w:val="26"/>
          <w:szCs w:val="26"/>
        </w:rPr>
        <w:t>Public comments must be filed on or before May 14, 2021.</w:t>
      </w:r>
    </w:p>
    <w:p w:rsidRPr="000B7D78" w:rsidR="00651BB1" w:rsidP="00203BB2" w:rsidRDefault="00651BB1" w14:paraId="2D628859" w14:textId="33F93651">
      <w:pPr>
        <w:rPr>
          <w:sz w:val="26"/>
          <w:szCs w:val="26"/>
        </w:rPr>
      </w:pPr>
    </w:p>
    <w:p w:rsidRPr="000B7D78" w:rsidR="00651BB1" w:rsidP="000B7D78" w:rsidRDefault="00651BB1" w14:paraId="4A29613B" w14:textId="6E9EE6F7">
      <w:pPr>
        <w:pStyle w:val="Body1"/>
        <w:spacing w:after="0" w:line="240" w:lineRule="auto"/>
        <w:rPr>
          <w:rFonts w:ascii="Times New Roman" w:hAnsi="Times New Roman"/>
          <w:sz w:val="26"/>
          <w:szCs w:val="26"/>
        </w:rPr>
      </w:pPr>
      <w:r w:rsidRPr="000B7D78">
        <w:rPr>
          <w:rFonts w:ascii="Times New Roman" w:hAnsi="Times New Roman"/>
          <w:b/>
          <w:sz w:val="26"/>
          <w:szCs w:val="26"/>
          <w:u w:val="single"/>
        </w:rPr>
        <w:t>BACKGROUND</w:t>
      </w:r>
      <w:r w:rsidRPr="000B7D78">
        <w:rPr>
          <w:rFonts w:ascii="Times New Roman" w:hAnsi="Times New Roman"/>
          <w:b/>
          <w:sz w:val="26"/>
          <w:szCs w:val="26"/>
        </w:rPr>
        <w:t xml:space="preserve">:  </w:t>
      </w:r>
      <w:r w:rsidRPr="000B7D78">
        <w:rPr>
          <w:rFonts w:ascii="Times New Roman" w:hAnsi="Times New Roman"/>
          <w:sz w:val="26"/>
          <w:szCs w:val="26"/>
        </w:rPr>
        <w:t xml:space="preserve">The FHWA issued </w:t>
      </w:r>
      <w:r w:rsidRPr="000B7D78" w:rsidR="002F7095">
        <w:rPr>
          <w:rFonts w:ascii="Times New Roman" w:hAnsi="Times New Roman"/>
          <w:sz w:val="26"/>
          <w:szCs w:val="26"/>
        </w:rPr>
        <w:t>the</w:t>
      </w:r>
      <w:r w:rsidRPr="000B7D78">
        <w:rPr>
          <w:rFonts w:ascii="Times New Roman" w:hAnsi="Times New Roman"/>
          <w:sz w:val="26"/>
          <w:szCs w:val="26"/>
        </w:rPr>
        <w:t xml:space="preserve"> </w:t>
      </w:r>
      <w:r w:rsidRPr="000B7D78">
        <w:rPr>
          <w:rFonts w:ascii="Times New Roman" w:hAnsi="Times New Roman"/>
          <w:i/>
          <w:iCs/>
          <w:sz w:val="26"/>
          <w:szCs w:val="26"/>
        </w:rPr>
        <w:t>NPA</w:t>
      </w:r>
      <w:r w:rsidRPr="000B7D78">
        <w:rPr>
          <w:rFonts w:ascii="Times New Roman" w:hAnsi="Times New Roman"/>
          <w:sz w:val="26"/>
          <w:szCs w:val="26"/>
        </w:rPr>
        <w:t xml:space="preserve"> </w:t>
      </w:r>
      <w:r w:rsidRPr="000B7D78" w:rsidR="00B94C5F">
        <w:rPr>
          <w:rFonts w:ascii="Times New Roman" w:hAnsi="Times New Roman"/>
          <w:sz w:val="26"/>
          <w:szCs w:val="26"/>
        </w:rPr>
        <w:t xml:space="preserve">seeking </w:t>
      </w:r>
      <w:r w:rsidRPr="000B7D78">
        <w:rPr>
          <w:rFonts w:ascii="Times New Roman" w:hAnsi="Times New Roman"/>
          <w:sz w:val="26"/>
          <w:szCs w:val="26"/>
        </w:rPr>
        <w:t>comments on proposed changes to the MUTCD</w:t>
      </w:r>
      <w:r w:rsidRPr="000B7D78" w:rsidR="00A945C2">
        <w:rPr>
          <w:rFonts w:ascii="Times New Roman" w:hAnsi="Times New Roman"/>
          <w:sz w:val="26"/>
          <w:szCs w:val="26"/>
        </w:rPr>
        <w:t xml:space="preserve">, which is incorporated in FHWA regulations and recognized as </w:t>
      </w:r>
      <w:r w:rsidRPr="000B7D78">
        <w:rPr>
          <w:rFonts w:ascii="Times New Roman" w:hAnsi="Times New Roman"/>
          <w:sz w:val="26"/>
          <w:szCs w:val="26"/>
        </w:rPr>
        <w:t>the national standard for traffic control devices used on all public roads. The FHWA</w:t>
      </w:r>
      <w:r w:rsidRPr="000B7D78" w:rsidR="000866FE">
        <w:rPr>
          <w:rFonts w:ascii="Times New Roman" w:hAnsi="Times New Roman"/>
          <w:sz w:val="26"/>
          <w:szCs w:val="26"/>
        </w:rPr>
        <w:t>’</w:t>
      </w:r>
      <w:r w:rsidRPr="000B7D78">
        <w:rPr>
          <w:rFonts w:ascii="Times New Roman" w:hAnsi="Times New Roman"/>
          <w:sz w:val="26"/>
          <w:szCs w:val="26"/>
        </w:rPr>
        <w:t>s proposed changes are intended to promote uniformity and incorporate advances in traffic control device application. Staff from the Rail Crossings and Engineering Branch of the California Public Utilities Commission</w:t>
      </w:r>
      <w:r w:rsidRPr="000B7D78" w:rsidR="000866FE">
        <w:rPr>
          <w:rFonts w:ascii="Times New Roman" w:hAnsi="Times New Roman"/>
          <w:sz w:val="26"/>
          <w:szCs w:val="26"/>
        </w:rPr>
        <w:t>’</w:t>
      </w:r>
      <w:r w:rsidRPr="000B7D78">
        <w:rPr>
          <w:rFonts w:ascii="Times New Roman" w:hAnsi="Times New Roman"/>
          <w:sz w:val="26"/>
          <w:szCs w:val="26"/>
        </w:rPr>
        <w:t>s (CPUC or Commission) Rail Safety Division</w:t>
      </w:r>
      <w:r w:rsidR="00673199">
        <w:rPr>
          <w:rFonts w:ascii="Times New Roman" w:hAnsi="Times New Roman"/>
          <w:sz w:val="26"/>
          <w:szCs w:val="26"/>
        </w:rPr>
        <w:t xml:space="preserve"> staff</w:t>
      </w:r>
      <w:r w:rsidRPr="000B7D78">
        <w:rPr>
          <w:rFonts w:ascii="Times New Roman" w:hAnsi="Times New Roman"/>
          <w:sz w:val="26"/>
          <w:szCs w:val="26"/>
        </w:rPr>
        <w:t xml:space="preserve"> (Staff) is concerned that some of the proposed changes to design requirements may impact safety projects or might be interpreted to </w:t>
      </w:r>
      <w:r w:rsidRPr="000B7D78" w:rsidR="005412C2">
        <w:rPr>
          <w:rFonts w:ascii="Times New Roman" w:hAnsi="Times New Roman"/>
          <w:sz w:val="26"/>
          <w:szCs w:val="26"/>
        </w:rPr>
        <w:t>dilute</w:t>
      </w:r>
      <w:r w:rsidRPr="000B7D78">
        <w:rPr>
          <w:rFonts w:ascii="Times New Roman" w:hAnsi="Times New Roman"/>
          <w:sz w:val="26"/>
          <w:szCs w:val="26"/>
        </w:rPr>
        <w:t xml:space="preserve"> Commission</w:t>
      </w:r>
      <w:r w:rsidRPr="000B7D78" w:rsidR="000866FE">
        <w:rPr>
          <w:rFonts w:ascii="Times New Roman" w:hAnsi="Times New Roman"/>
          <w:sz w:val="26"/>
          <w:szCs w:val="26"/>
        </w:rPr>
        <w:t>’</w:t>
      </w:r>
      <w:r w:rsidRPr="000B7D78" w:rsidR="005412C2">
        <w:rPr>
          <w:rFonts w:ascii="Times New Roman" w:hAnsi="Times New Roman"/>
          <w:sz w:val="26"/>
          <w:szCs w:val="26"/>
        </w:rPr>
        <w:t>s regulatory</w:t>
      </w:r>
      <w:r w:rsidRPr="000B7D78">
        <w:rPr>
          <w:rFonts w:ascii="Times New Roman" w:hAnsi="Times New Roman"/>
          <w:sz w:val="26"/>
          <w:szCs w:val="26"/>
        </w:rPr>
        <w:t xml:space="preserve"> authority.  On February 2, 2020, </w:t>
      </w:r>
      <w:r w:rsidRPr="000B7D78" w:rsidR="00A945C2">
        <w:rPr>
          <w:rFonts w:ascii="Times New Roman" w:hAnsi="Times New Roman"/>
          <w:sz w:val="26"/>
          <w:szCs w:val="26"/>
        </w:rPr>
        <w:t xml:space="preserve">the </w:t>
      </w:r>
      <w:r w:rsidRPr="000B7D78">
        <w:rPr>
          <w:rFonts w:ascii="Times New Roman" w:hAnsi="Times New Roman"/>
          <w:sz w:val="26"/>
          <w:szCs w:val="26"/>
        </w:rPr>
        <w:t xml:space="preserve">FHWA extended the comment period to allow </w:t>
      </w:r>
      <w:r w:rsidRPr="000B7D78">
        <w:rPr>
          <w:rFonts w:ascii="Times New Roman" w:hAnsi="Times New Roman"/>
          <w:sz w:val="26"/>
          <w:szCs w:val="26"/>
        </w:rPr>
        <w:lastRenderedPageBreak/>
        <w:t xml:space="preserve">commenters additional time to discuss, evaluate, and submit responses to the docket. Staff seeks authority to submit comments addressing the concerns below.  </w:t>
      </w:r>
    </w:p>
    <w:p w:rsidRPr="000B7D78" w:rsidR="00651BB1" w:rsidP="0059366B" w:rsidRDefault="00651BB1" w14:paraId="2A8EB115" w14:textId="77777777">
      <w:pPr>
        <w:autoSpaceDE w:val="0"/>
        <w:autoSpaceDN w:val="0"/>
        <w:adjustRightInd w:val="0"/>
        <w:rPr>
          <w:sz w:val="26"/>
          <w:szCs w:val="26"/>
        </w:rPr>
      </w:pPr>
    </w:p>
    <w:p w:rsidRPr="000B7D78" w:rsidR="00651BB1" w:rsidP="00E06968" w:rsidRDefault="00C05F1F" w14:paraId="4290277F" w14:textId="5B7E70AD">
      <w:pPr>
        <w:autoSpaceDE w:val="0"/>
        <w:autoSpaceDN w:val="0"/>
        <w:adjustRightInd w:val="0"/>
        <w:rPr>
          <w:sz w:val="26"/>
          <w:szCs w:val="26"/>
        </w:rPr>
      </w:pPr>
      <w:r w:rsidRPr="000B7D78">
        <w:rPr>
          <w:sz w:val="26"/>
          <w:szCs w:val="26"/>
        </w:rPr>
        <w:t>California</w:t>
      </w:r>
      <w:r w:rsidRPr="000B7D78" w:rsidR="000866FE">
        <w:rPr>
          <w:sz w:val="26"/>
          <w:szCs w:val="26"/>
        </w:rPr>
        <w:t>’</w:t>
      </w:r>
      <w:r w:rsidRPr="000B7D78">
        <w:rPr>
          <w:sz w:val="26"/>
          <w:szCs w:val="26"/>
        </w:rPr>
        <w:t>s well-established regulatory framework addresses the safety of railroads,</w:t>
      </w:r>
      <w:r w:rsidRPr="002D64A9">
        <w:rPr>
          <w:rStyle w:val="FootnoteReference"/>
          <w:b/>
          <w:bCs/>
          <w:sz w:val="26"/>
          <w:szCs w:val="26"/>
          <w:u w:val="single"/>
        </w:rPr>
        <w:footnoteReference w:id="3"/>
      </w:r>
      <w:r w:rsidRPr="000B7D78">
        <w:rPr>
          <w:sz w:val="26"/>
          <w:szCs w:val="26"/>
        </w:rPr>
        <w:t xml:space="preserve"> rail transit systems,</w:t>
      </w:r>
      <w:r w:rsidRPr="002D64A9">
        <w:rPr>
          <w:rStyle w:val="FootnoteReference"/>
          <w:b/>
          <w:sz w:val="26"/>
          <w:szCs w:val="26"/>
          <w:u w:val="single"/>
        </w:rPr>
        <w:footnoteReference w:id="4"/>
      </w:r>
      <w:r w:rsidRPr="000B7D78">
        <w:rPr>
          <w:sz w:val="26"/>
          <w:szCs w:val="26"/>
        </w:rPr>
        <w:t xml:space="preserve"> and grade crossings.</w:t>
      </w:r>
      <w:r w:rsidRPr="002D64A9">
        <w:rPr>
          <w:rStyle w:val="FootnoteReference"/>
          <w:b/>
          <w:bCs/>
          <w:sz w:val="26"/>
          <w:szCs w:val="26"/>
          <w:u w:val="single"/>
        </w:rPr>
        <w:footnoteReference w:id="5"/>
      </w:r>
      <w:r w:rsidRPr="000B7D78">
        <w:rPr>
          <w:sz w:val="26"/>
          <w:szCs w:val="26"/>
        </w:rPr>
        <w:t xml:space="preserve">  Specifically, t</w:t>
      </w:r>
      <w:r w:rsidRPr="000B7D78" w:rsidR="00651BB1">
        <w:rPr>
          <w:sz w:val="26"/>
          <w:szCs w:val="26"/>
        </w:rPr>
        <w:t>he CPUC exercises exclusive jurisdiction to determine and prescribe the configuration of rail crossings, such as tracks which cross at the same level with roadways or pathways (grade crossings).</w:t>
      </w:r>
      <w:r w:rsidRPr="002D64A9" w:rsidR="00651BB1">
        <w:rPr>
          <w:rStyle w:val="FootnoteReference"/>
          <w:b/>
          <w:bCs/>
          <w:sz w:val="26"/>
          <w:szCs w:val="26"/>
          <w:u w:val="single"/>
        </w:rPr>
        <w:footnoteReference w:id="6"/>
      </w:r>
      <w:r w:rsidRPr="000B7D78" w:rsidR="00651BB1">
        <w:rPr>
          <w:sz w:val="26"/>
          <w:szCs w:val="26"/>
        </w:rPr>
        <w:t xml:space="preserve">  </w:t>
      </w:r>
      <w:r w:rsidRPr="000B7D78" w:rsidR="000F5D03">
        <w:rPr>
          <w:sz w:val="26"/>
          <w:szCs w:val="26"/>
        </w:rPr>
        <w:t xml:space="preserve">The </w:t>
      </w:r>
      <w:r w:rsidRPr="000B7D78" w:rsidR="00651BB1">
        <w:rPr>
          <w:sz w:val="26"/>
          <w:szCs w:val="26"/>
        </w:rPr>
        <w:t>CPUC</w:t>
      </w:r>
      <w:r w:rsidRPr="000B7D78" w:rsidR="0094542B">
        <w:rPr>
          <w:sz w:val="26"/>
          <w:szCs w:val="26"/>
        </w:rPr>
        <w:t xml:space="preserve"> delegates</w:t>
      </w:r>
      <w:r w:rsidRPr="000B7D78" w:rsidR="00651BB1">
        <w:rPr>
          <w:sz w:val="26"/>
          <w:szCs w:val="26"/>
        </w:rPr>
        <w:t xml:space="preserve"> review of grade crossing safety</w:t>
      </w:r>
      <w:r w:rsidRPr="000B7D78" w:rsidR="0094542B">
        <w:rPr>
          <w:sz w:val="26"/>
          <w:szCs w:val="26"/>
        </w:rPr>
        <w:t xml:space="preserve"> to its Rail Crossings and Engineering Branch</w:t>
      </w:r>
      <w:r w:rsidRPr="000B7D78" w:rsidR="00651BB1">
        <w:rPr>
          <w:sz w:val="26"/>
          <w:szCs w:val="26"/>
        </w:rPr>
        <w:t xml:space="preserve">.  </w:t>
      </w:r>
    </w:p>
    <w:p w:rsidRPr="000B7D78" w:rsidR="00651BB1" w:rsidP="00E06968" w:rsidRDefault="00651BB1" w14:paraId="7CAA8785" w14:textId="77777777">
      <w:pPr>
        <w:autoSpaceDE w:val="0"/>
        <w:autoSpaceDN w:val="0"/>
        <w:adjustRightInd w:val="0"/>
        <w:rPr>
          <w:sz w:val="26"/>
          <w:szCs w:val="26"/>
        </w:rPr>
      </w:pPr>
    </w:p>
    <w:p w:rsidRPr="000B7D78" w:rsidR="00651BB1" w:rsidP="00E06968" w:rsidRDefault="00651BB1" w14:paraId="7B0398D6" w14:textId="0B7262DC">
      <w:pPr>
        <w:autoSpaceDE w:val="0"/>
        <w:autoSpaceDN w:val="0"/>
        <w:adjustRightInd w:val="0"/>
        <w:rPr>
          <w:sz w:val="26"/>
          <w:szCs w:val="26"/>
        </w:rPr>
      </w:pPr>
      <w:r w:rsidRPr="000B7D78">
        <w:rPr>
          <w:sz w:val="26"/>
          <w:szCs w:val="26"/>
        </w:rPr>
        <w:t xml:space="preserve">The </w:t>
      </w:r>
      <w:r w:rsidRPr="000B7D78" w:rsidR="00B2402D">
        <w:rPr>
          <w:sz w:val="26"/>
          <w:szCs w:val="26"/>
        </w:rPr>
        <w:t>CPUC</w:t>
      </w:r>
      <w:r w:rsidRPr="000B7D78" w:rsidR="000866FE">
        <w:rPr>
          <w:sz w:val="26"/>
          <w:szCs w:val="26"/>
        </w:rPr>
        <w:t>’</w:t>
      </w:r>
      <w:r w:rsidRPr="000B7D78" w:rsidR="00B2402D">
        <w:rPr>
          <w:sz w:val="26"/>
          <w:szCs w:val="26"/>
        </w:rPr>
        <w:t xml:space="preserve">s regulatory authority works in tandem with the </w:t>
      </w:r>
      <w:r w:rsidRPr="000B7D78">
        <w:rPr>
          <w:sz w:val="26"/>
          <w:szCs w:val="26"/>
        </w:rPr>
        <w:t>California Department of Transportation (Caltrans)</w:t>
      </w:r>
      <w:r w:rsidRPr="000B7D78" w:rsidR="00B2402D">
        <w:rPr>
          <w:sz w:val="26"/>
          <w:szCs w:val="26"/>
        </w:rPr>
        <w:t>.  Caltrans</w:t>
      </w:r>
      <w:r w:rsidRPr="000B7D78">
        <w:rPr>
          <w:sz w:val="26"/>
          <w:szCs w:val="26"/>
        </w:rPr>
        <w:t xml:space="preserve"> is required to adopt a version of the MUTCD, the </w:t>
      </w:r>
      <w:r w:rsidRPr="000B7D78">
        <w:rPr>
          <w:i/>
          <w:iCs/>
          <w:sz w:val="26"/>
          <w:szCs w:val="26"/>
        </w:rPr>
        <w:t>California MUTCD</w:t>
      </w:r>
      <w:r w:rsidRPr="000B7D78">
        <w:rPr>
          <w:sz w:val="26"/>
          <w:szCs w:val="26"/>
        </w:rPr>
        <w:t>, that is in “substantial conformance” with the national standard.</w:t>
      </w:r>
      <w:r w:rsidRPr="002D64A9">
        <w:rPr>
          <w:rStyle w:val="FootnoteReference"/>
          <w:b/>
          <w:bCs/>
          <w:sz w:val="26"/>
          <w:szCs w:val="26"/>
          <w:u w:val="single"/>
        </w:rPr>
        <w:footnoteReference w:id="7"/>
      </w:r>
      <w:r w:rsidRPr="000B7D78">
        <w:rPr>
          <w:sz w:val="26"/>
          <w:szCs w:val="26"/>
        </w:rPr>
        <w:t xml:space="preserve">  </w:t>
      </w:r>
      <w:r w:rsidRPr="000B7D78" w:rsidR="00B2402D">
        <w:rPr>
          <w:sz w:val="26"/>
          <w:szCs w:val="26"/>
        </w:rPr>
        <w:t xml:space="preserve">The CPUC routinely evaluates MUTCD compliance at grade crossings throughout the state.  In all, the </w:t>
      </w:r>
      <w:r w:rsidRPr="000B7D78">
        <w:rPr>
          <w:sz w:val="26"/>
          <w:szCs w:val="26"/>
        </w:rPr>
        <w:t xml:space="preserve">CPUC oversees more than 6,500 grade crossings that are subject to MUTCD requirements (open, at-grade, public), including over 650 locations with railroad preemption of traffic signals.  </w:t>
      </w:r>
    </w:p>
    <w:p w:rsidRPr="000B7D78" w:rsidR="00651BB1" w:rsidP="0059366B" w:rsidRDefault="00651BB1" w14:paraId="61B153FB" w14:textId="77777777">
      <w:pPr>
        <w:autoSpaceDE w:val="0"/>
        <w:autoSpaceDN w:val="0"/>
        <w:adjustRightInd w:val="0"/>
        <w:rPr>
          <w:sz w:val="26"/>
          <w:szCs w:val="26"/>
        </w:rPr>
      </w:pPr>
    </w:p>
    <w:p w:rsidRPr="000B7D78" w:rsidR="00651BB1" w:rsidP="00E179AF" w:rsidRDefault="00206675" w14:paraId="2B4EF906" w14:textId="5557A0C7">
      <w:pPr>
        <w:autoSpaceDE w:val="0"/>
        <w:autoSpaceDN w:val="0"/>
        <w:adjustRightInd w:val="0"/>
        <w:rPr>
          <w:sz w:val="26"/>
          <w:szCs w:val="26"/>
        </w:rPr>
      </w:pPr>
      <w:r w:rsidRPr="000B7D78">
        <w:rPr>
          <w:sz w:val="26"/>
          <w:szCs w:val="26"/>
        </w:rPr>
        <w:t xml:space="preserve">In 2008, the CPUC commented on the preceding </w:t>
      </w:r>
      <w:r w:rsidRPr="000B7D78">
        <w:rPr>
          <w:i/>
          <w:iCs/>
          <w:sz w:val="26"/>
          <w:szCs w:val="26"/>
        </w:rPr>
        <w:t>NPA</w:t>
      </w:r>
      <w:r w:rsidRPr="000B7D78">
        <w:rPr>
          <w:sz w:val="26"/>
          <w:szCs w:val="26"/>
        </w:rPr>
        <w:t xml:space="preserve"> to adopt changes to the MUTCD.  The </w:t>
      </w:r>
      <w:r w:rsidRPr="000B7D78" w:rsidR="00436350">
        <w:rPr>
          <w:sz w:val="26"/>
          <w:szCs w:val="26"/>
        </w:rPr>
        <w:t>FHWA published its revisions to the</w:t>
      </w:r>
      <w:r w:rsidRPr="000B7D78">
        <w:rPr>
          <w:sz w:val="26"/>
          <w:szCs w:val="26"/>
        </w:rPr>
        <w:t xml:space="preserve"> MUTCD</w:t>
      </w:r>
      <w:r w:rsidRPr="000B7D78" w:rsidR="00436350">
        <w:rPr>
          <w:sz w:val="26"/>
          <w:szCs w:val="26"/>
        </w:rPr>
        <w:t xml:space="preserve"> </w:t>
      </w:r>
      <w:r w:rsidRPr="000B7D78">
        <w:rPr>
          <w:sz w:val="26"/>
          <w:szCs w:val="26"/>
        </w:rPr>
        <w:t xml:space="preserve">in 2009.  In the current </w:t>
      </w:r>
      <w:r w:rsidRPr="000B7D78">
        <w:rPr>
          <w:i/>
          <w:iCs/>
          <w:sz w:val="26"/>
          <w:szCs w:val="26"/>
        </w:rPr>
        <w:t xml:space="preserve">NPA, </w:t>
      </w:r>
      <w:r w:rsidRPr="000B7D78">
        <w:rPr>
          <w:sz w:val="26"/>
          <w:szCs w:val="26"/>
        </w:rPr>
        <w:t>t</w:t>
      </w:r>
      <w:r w:rsidRPr="000B7D78" w:rsidR="00651BB1">
        <w:rPr>
          <w:sz w:val="26"/>
          <w:szCs w:val="26"/>
        </w:rPr>
        <w:t xml:space="preserve">he FHWA proposes extensive revisions to the standards, guidance, options, and definitions </w:t>
      </w:r>
      <w:r w:rsidRPr="000B7D78">
        <w:rPr>
          <w:sz w:val="26"/>
          <w:szCs w:val="26"/>
        </w:rPr>
        <w:t xml:space="preserve">within the MUTCD </w:t>
      </w:r>
      <w:r w:rsidRPr="000B7D78" w:rsidR="00651BB1">
        <w:rPr>
          <w:sz w:val="26"/>
          <w:szCs w:val="26"/>
        </w:rPr>
        <w:t xml:space="preserve">that directly relate to grade crossing safety.  Consequently, the proposed national standard will affect many aspects of the design and safety of grade crossings that are within the jurisdiction of </w:t>
      </w:r>
      <w:r w:rsidRPr="000B7D78" w:rsidR="000F5D03">
        <w:rPr>
          <w:sz w:val="26"/>
          <w:szCs w:val="26"/>
        </w:rPr>
        <w:t xml:space="preserve">the </w:t>
      </w:r>
      <w:r w:rsidRPr="000B7D78" w:rsidR="00651BB1">
        <w:rPr>
          <w:sz w:val="26"/>
          <w:szCs w:val="26"/>
        </w:rPr>
        <w:t>CPUC.</w:t>
      </w:r>
    </w:p>
    <w:p w:rsidRPr="000B7D78" w:rsidR="00651BB1" w:rsidP="0059366B" w:rsidRDefault="00651BB1" w14:paraId="2530A257" w14:textId="2A0B734D">
      <w:pPr>
        <w:autoSpaceDE w:val="0"/>
        <w:autoSpaceDN w:val="0"/>
        <w:adjustRightInd w:val="0"/>
        <w:rPr>
          <w:sz w:val="26"/>
          <w:szCs w:val="26"/>
        </w:rPr>
      </w:pPr>
    </w:p>
    <w:p w:rsidRPr="000B7D78" w:rsidR="00651BB1" w:rsidP="0059366B" w:rsidRDefault="00651BB1" w14:paraId="725DB5D0" w14:textId="7F0865DE">
      <w:pPr>
        <w:autoSpaceDE w:val="0"/>
        <w:autoSpaceDN w:val="0"/>
        <w:adjustRightInd w:val="0"/>
        <w:rPr>
          <w:sz w:val="26"/>
          <w:szCs w:val="26"/>
        </w:rPr>
      </w:pPr>
      <w:r w:rsidRPr="000B7D78">
        <w:rPr>
          <w:sz w:val="26"/>
          <w:szCs w:val="26"/>
        </w:rPr>
        <w:t>The Commission should file comments in line with Staff</w:t>
      </w:r>
      <w:r w:rsidRPr="000B7D78" w:rsidR="000866FE">
        <w:rPr>
          <w:sz w:val="26"/>
          <w:szCs w:val="26"/>
        </w:rPr>
        <w:t>’</w:t>
      </w:r>
      <w:r w:rsidRPr="000B7D78">
        <w:rPr>
          <w:sz w:val="26"/>
          <w:szCs w:val="26"/>
        </w:rPr>
        <w:t xml:space="preserve">s recommendations below on matters that impact both state authority and technical safety details related to grade crossing design. </w:t>
      </w:r>
      <w:r w:rsidRPr="000B7D78" w:rsidR="00DA5E43">
        <w:rPr>
          <w:sz w:val="26"/>
          <w:szCs w:val="26"/>
        </w:rPr>
        <w:t>Staff</w:t>
      </w:r>
      <w:r w:rsidRPr="000B7D78" w:rsidR="000866FE">
        <w:rPr>
          <w:sz w:val="26"/>
          <w:szCs w:val="26"/>
        </w:rPr>
        <w:t>’</w:t>
      </w:r>
      <w:r w:rsidRPr="000B7D78" w:rsidR="00DA5E43">
        <w:rPr>
          <w:sz w:val="26"/>
          <w:szCs w:val="26"/>
        </w:rPr>
        <w:t>s r</w:t>
      </w:r>
      <w:r w:rsidRPr="000B7D78">
        <w:rPr>
          <w:sz w:val="26"/>
          <w:szCs w:val="26"/>
        </w:rPr>
        <w:t xml:space="preserve">ecommendations </w:t>
      </w:r>
      <w:r w:rsidRPr="000B7D78" w:rsidR="00DA5E43">
        <w:rPr>
          <w:sz w:val="26"/>
          <w:szCs w:val="26"/>
        </w:rPr>
        <w:t xml:space="preserve">address </w:t>
      </w:r>
      <w:r w:rsidRPr="000B7D78" w:rsidR="00FA74D1">
        <w:rPr>
          <w:sz w:val="26"/>
          <w:szCs w:val="26"/>
        </w:rPr>
        <w:t xml:space="preserve">the </w:t>
      </w:r>
      <w:r w:rsidRPr="000B7D78" w:rsidR="00DA5E43">
        <w:rPr>
          <w:sz w:val="26"/>
          <w:szCs w:val="26"/>
        </w:rPr>
        <w:t xml:space="preserve">increased </w:t>
      </w:r>
      <w:r w:rsidRPr="000B7D78" w:rsidR="005B7BEF">
        <w:rPr>
          <w:sz w:val="26"/>
          <w:szCs w:val="26"/>
        </w:rPr>
        <w:t>influence</w:t>
      </w:r>
      <w:r w:rsidRPr="000B7D78" w:rsidR="00DA5E43">
        <w:rPr>
          <w:sz w:val="26"/>
          <w:szCs w:val="26"/>
        </w:rPr>
        <w:t xml:space="preserve"> of </w:t>
      </w:r>
      <w:r w:rsidRPr="000B7D78">
        <w:rPr>
          <w:sz w:val="26"/>
          <w:szCs w:val="26"/>
        </w:rPr>
        <w:t xml:space="preserve">the </w:t>
      </w:r>
      <w:r w:rsidRPr="000B7D78" w:rsidR="00AD62A8">
        <w:rPr>
          <w:sz w:val="26"/>
          <w:szCs w:val="26"/>
        </w:rPr>
        <w:t>D</w:t>
      </w:r>
      <w:r w:rsidRPr="000B7D78">
        <w:rPr>
          <w:sz w:val="26"/>
          <w:szCs w:val="26"/>
        </w:rPr>
        <w:t xml:space="preserve">iagnostic </w:t>
      </w:r>
      <w:r w:rsidRPr="000B7D78" w:rsidR="00AD62A8">
        <w:rPr>
          <w:sz w:val="26"/>
          <w:szCs w:val="26"/>
        </w:rPr>
        <w:t>T</w:t>
      </w:r>
      <w:r w:rsidRPr="000B7D78">
        <w:rPr>
          <w:sz w:val="26"/>
          <w:szCs w:val="26"/>
        </w:rPr>
        <w:t xml:space="preserve">eam </w:t>
      </w:r>
      <w:r w:rsidRPr="000B7D78" w:rsidR="00CA53E6">
        <w:rPr>
          <w:sz w:val="26"/>
          <w:szCs w:val="26"/>
        </w:rPr>
        <w:t xml:space="preserve">which could possibly dilute </w:t>
      </w:r>
      <w:r w:rsidRPr="000B7D78" w:rsidR="00EF30A2">
        <w:rPr>
          <w:sz w:val="26"/>
          <w:szCs w:val="26"/>
        </w:rPr>
        <w:t xml:space="preserve">the </w:t>
      </w:r>
      <w:r w:rsidRPr="000B7D78">
        <w:rPr>
          <w:sz w:val="26"/>
          <w:szCs w:val="26"/>
        </w:rPr>
        <w:t>CPUC</w:t>
      </w:r>
      <w:r w:rsidRPr="000B7D78" w:rsidR="000866FE">
        <w:rPr>
          <w:sz w:val="26"/>
          <w:szCs w:val="26"/>
        </w:rPr>
        <w:t>’</w:t>
      </w:r>
      <w:r w:rsidRPr="000B7D78" w:rsidR="00EF30A2">
        <w:rPr>
          <w:sz w:val="26"/>
          <w:szCs w:val="26"/>
        </w:rPr>
        <w:t>s</w:t>
      </w:r>
      <w:r w:rsidRPr="000B7D78">
        <w:rPr>
          <w:sz w:val="26"/>
          <w:szCs w:val="26"/>
        </w:rPr>
        <w:t xml:space="preserve"> authority, </w:t>
      </w:r>
      <w:r w:rsidRPr="000B7D78" w:rsidR="00CA53E6">
        <w:rPr>
          <w:sz w:val="26"/>
          <w:szCs w:val="26"/>
        </w:rPr>
        <w:t xml:space="preserve">the expanded use of a provision that permits legal protections, </w:t>
      </w:r>
      <w:r w:rsidRPr="000B7D78">
        <w:rPr>
          <w:sz w:val="26"/>
          <w:szCs w:val="26"/>
        </w:rPr>
        <w:t xml:space="preserve">and </w:t>
      </w:r>
      <w:r w:rsidRPr="000B7D78" w:rsidR="00DA5E43">
        <w:rPr>
          <w:sz w:val="26"/>
          <w:szCs w:val="26"/>
        </w:rPr>
        <w:t xml:space="preserve">changes in </w:t>
      </w:r>
      <w:r w:rsidRPr="000B7D78">
        <w:rPr>
          <w:sz w:val="26"/>
          <w:szCs w:val="26"/>
        </w:rPr>
        <w:t>grade crossing design requirements, including traffic signals and preemption, pedestrian safety, warning devices, signs</w:t>
      </w:r>
      <w:r w:rsidRPr="000B7D78" w:rsidR="004D5245">
        <w:rPr>
          <w:sz w:val="26"/>
          <w:szCs w:val="26"/>
        </w:rPr>
        <w:t>,</w:t>
      </w:r>
      <w:r w:rsidRPr="000B7D78">
        <w:rPr>
          <w:sz w:val="26"/>
          <w:szCs w:val="26"/>
        </w:rPr>
        <w:t xml:space="preserve"> and markings.</w:t>
      </w:r>
      <w:r w:rsidRPr="000B7D78" w:rsidR="005B0C6E">
        <w:rPr>
          <w:sz w:val="26"/>
          <w:szCs w:val="26"/>
        </w:rPr>
        <w:t xml:space="preserve">  Staff conferred with Caltrans about the proposed MUTCD to maintain coordination between the </w:t>
      </w:r>
      <w:r w:rsidR="00673199">
        <w:rPr>
          <w:sz w:val="26"/>
          <w:szCs w:val="26"/>
        </w:rPr>
        <w:t xml:space="preserve">two </w:t>
      </w:r>
      <w:r w:rsidRPr="000B7D78" w:rsidR="005B0C6E">
        <w:rPr>
          <w:sz w:val="26"/>
          <w:szCs w:val="26"/>
        </w:rPr>
        <w:t>agencies.</w:t>
      </w:r>
      <w:r w:rsidRPr="002D64A9" w:rsidR="005B0C6E">
        <w:rPr>
          <w:rStyle w:val="FootnoteReference"/>
          <w:b/>
          <w:bCs/>
          <w:sz w:val="26"/>
          <w:szCs w:val="26"/>
          <w:u w:val="single"/>
        </w:rPr>
        <w:footnoteReference w:id="8"/>
      </w:r>
    </w:p>
    <w:p w:rsidRPr="000B7D78" w:rsidR="00651BB1" w:rsidP="008A329B" w:rsidRDefault="00651BB1" w14:paraId="68D06029" w14:textId="1CFECBD2">
      <w:pPr>
        <w:autoSpaceDE w:val="0"/>
        <w:autoSpaceDN w:val="0"/>
        <w:adjustRightInd w:val="0"/>
        <w:rPr>
          <w:sz w:val="26"/>
          <w:szCs w:val="26"/>
        </w:rPr>
      </w:pPr>
      <w:r w:rsidRPr="000B7D78">
        <w:rPr>
          <w:sz w:val="26"/>
          <w:szCs w:val="26"/>
        </w:rPr>
        <w:lastRenderedPageBreak/>
        <w:t>The MUTCD is a large document with broad applicability to public roadways and pathways.  The proposed text includes 700 pages throughout nine major parts, with many additional pages of proposed figures and tables. Multiple parts of the MUTCD discuss traffic control devices which are used near grade crossings</w:t>
      </w:r>
      <w:r w:rsidRPr="000B7D78" w:rsidR="005B7BEF">
        <w:rPr>
          <w:sz w:val="26"/>
          <w:szCs w:val="26"/>
        </w:rPr>
        <w:t>.</w:t>
      </w:r>
      <w:r w:rsidRPr="000B7D78">
        <w:rPr>
          <w:sz w:val="26"/>
          <w:szCs w:val="26"/>
        </w:rPr>
        <w:t xml:space="preserve"> </w:t>
      </w:r>
      <w:r w:rsidRPr="000B7D78" w:rsidR="005B7BEF">
        <w:rPr>
          <w:sz w:val="26"/>
          <w:szCs w:val="26"/>
        </w:rPr>
        <w:t>D</w:t>
      </w:r>
      <w:r w:rsidRPr="000B7D78">
        <w:rPr>
          <w:sz w:val="26"/>
          <w:szCs w:val="26"/>
        </w:rPr>
        <w:t>etails that are specific to grade crossings are primarily included in Part 8 titled “Traffic Control for Railroad and Light Rail Transit Grade Crossings.”</w:t>
      </w:r>
      <w:r w:rsidRPr="000B7D78" w:rsidDel="00006E35">
        <w:rPr>
          <w:sz w:val="26"/>
          <w:szCs w:val="26"/>
        </w:rPr>
        <w:t xml:space="preserve"> </w:t>
      </w:r>
      <w:r w:rsidRPr="000B7D78">
        <w:rPr>
          <w:sz w:val="26"/>
          <w:szCs w:val="26"/>
        </w:rPr>
        <w:t xml:space="preserve"> Staff analysis and recommendations focus </w:t>
      </w:r>
      <w:r w:rsidRPr="000B7D78" w:rsidR="001021E8">
        <w:rPr>
          <w:sz w:val="26"/>
          <w:szCs w:val="26"/>
        </w:rPr>
        <w:t xml:space="preserve">primarily </w:t>
      </w:r>
      <w:r w:rsidRPr="000B7D78">
        <w:rPr>
          <w:sz w:val="26"/>
          <w:szCs w:val="26"/>
        </w:rPr>
        <w:t>on proposed revisions identified in Part 8 of the MUTCD.</w:t>
      </w:r>
    </w:p>
    <w:p w:rsidRPr="002D64A9" w:rsidR="00651BB1" w:rsidP="002D64A9" w:rsidRDefault="00651BB1" w14:paraId="37F067BD" w14:textId="0982F2D4">
      <w:pPr>
        <w:autoSpaceDE w:val="0"/>
        <w:autoSpaceDN w:val="0"/>
        <w:adjustRightInd w:val="0"/>
        <w:rPr>
          <w:sz w:val="26"/>
          <w:szCs w:val="26"/>
        </w:rPr>
      </w:pPr>
    </w:p>
    <w:p w:rsidRPr="000B7D78" w:rsidR="00651BB1" w:rsidP="005E02F0" w:rsidRDefault="00651BB1" w14:paraId="01C6E6ED" w14:textId="22076D58">
      <w:pPr>
        <w:pStyle w:val="Body1"/>
        <w:spacing w:after="0" w:line="240" w:lineRule="auto"/>
        <w:rPr>
          <w:rFonts w:ascii="Times New Roman" w:hAnsi="Times New Roman"/>
          <w:sz w:val="26"/>
          <w:szCs w:val="26"/>
        </w:rPr>
      </w:pPr>
      <w:r w:rsidRPr="000B7D78">
        <w:rPr>
          <w:rFonts w:ascii="Times New Roman" w:hAnsi="Times New Roman"/>
          <w:b/>
          <w:caps/>
          <w:sz w:val="26"/>
          <w:szCs w:val="26"/>
          <w:u w:val="single"/>
        </w:rPr>
        <w:t>DISCUSSION AND RECOMMENDATIONS</w:t>
      </w:r>
      <w:r w:rsidRPr="000B7D78">
        <w:rPr>
          <w:rFonts w:ascii="Times New Roman" w:hAnsi="Times New Roman"/>
          <w:sz w:val="26"/>
          <w:szCs w:val="26"/>
        </w:rPr>
        <w:t xml:space="preserve">:  Staff recommends the CPUC file comments as </w:t>
      </w:r>
      <w:r w:rsidRPr="000B7D78" w:rsidR="00866F39">
        <w:rPr>
          <w:rFonts w:ascii="Times New Roman" w:hAnsi="Times New Roman"/>
          <w:sz w:val="26"/>
          <w:szCs w:val="26"/>
        </w:rPr>
        <w:t xml:space="preserve">summarized </w:t>
      </w:r>
      <w:r w:rsidRPr="000B7D78">
        <w:rPr>
          <w:rFonts w:ascii="Times New Roman" w:hAnsi="Times New Roman"/>
          <w:sz w:val="26"/>
          <w:szCs w:val="26"/>
        </w:rPr>
        <w:t>below.</w:t>
      </w:r>
      <w:r w:rsidRPr="002D64A9">
        <w:rPr>
          <w:rStyle w:val="FootnoteReference"/>
          <w:rFonts w:ascii="Times New Roman" w:hAnsi="Times New Roman"/>
          <w:b/>
          <w:bCs/>
          <w:sz w:val="26"/>
          <w:szCs w:val="26"/>
          <w:u w:val="single"/>
        </w:rPr>
        <w:footnoteReference w:id="9"/>
      </w:r>
    </w:p>
    <w:p w:rsidRPr="000B7D78" w:rsidR="00651BB1" w:rsidP="002D64A9" w:rsidRDefault="00651BB1" w14:paraId="23AE2FD1" w14:textId="7DE55D15">
      <w:pPr>
        <w:pStyle w:val="Heading1"/>
        <w:numPr>
          <w:ilvl w:val="0"/>
          <w:numId w:val="12"/>
        </w:numPr>
        <w:ind w:left="540"/>
        <w:rPr>
          <w:i/>
          <w:iCs/>
        </w:rPr>
      </w:pPr>
      <w:r w:rsidRPr="000B7D78">
        <w:t xml:space="preserve">Diagnostic Team and </w:t>
      </w:r>
      <w:r w:rsidRPr="000B7D78" w:rsidR="00EF30A2">
        <w:t xml:space="preserve">the </w:t>
      </w:r>
      <w:r w:rsidRPr="000B7D78">
        <w:t>CPUC</w:t>
      </w:r>
      <w:r w:rsidRPr="000B7D78" w:rsidR="000866FE">
        <w:t>’</w:t>
      </w:r>
      <w:r w:rsidRPr="000B7D78" w:rsidR="00EF30A2">
        <w:t>s</w:t>
      </w:r>
      <w:r w:rsidRPr="000B7D78">
        <w:t xml:space="preserve"> authority</w:t>
      </w:r>
    </w:p>
    <w:p w:rsidRPr="000B7D78" w:rsidR="00651BB1" w:rsidP="000F2B38" w:rsidRDefault="00651BB1" w14:paraId="02D2B072" w14:textId="304C5B0C">
      <w:pPr>
        <w:rPr>
          <w:sz w:val="26"/>
          <w:szCs w:val="26"/>
        </w:rPr>
      </w:pPr>
    </w:p>
    <w:p w:rsidRPr="000B7D78" w:rsidR="00651BB1" w:rsidP="00C47C1C" w:rsidRDefault="00651BB1" w14:paraId="1FFFDCC0" w14:textId="45EF30B5">
      <w:pPr>
        <w:rPr>
          <w:sz w:val="26"/>
          <w:szCs w:val="26"/>
        </w:rPr>
      </w:pPr>
      <w:r w:rsidRPr="000B7D78">
        <w:rPr>
          <w:sz w:val="26"/>
          <w:szCs w:val="26"/>
        </w:rPr>
        <w:t xml:space="preserve">While Staff supports the general concept of a Diagnostic Team process, the </w:t>
      </w:r>
      <w:r w:rsidRPr="000B7D78">
        <w:rPr>
          <w:i/>
          <w:iCs/>
          <w:sz w:val="26"/>
          <w:szCs w:val="26"/>
        </w:rPr>
        <w:t>NPA</w:t>
      </w:r>
      <w:r w:rsidRPr="000B7D78">
        <w:rPr>
          <w:sz w:val="26"/>
          <w:szCs w:val="26"/>
        </w:rPr>
        <w:t xml:space="preserve"> language creates fundamental conflicts with the existing regulatory framework on grade crossing safety at both railroad and light rail transit </w:t>
      </w:r>
      <w:r w:rsidRPr="000B7D78" w:rsidR="00285CC0">
        <w:rPr>
          <w:sz w:val="26"/>
          <w:szCs w:val="26"/>
        </w:rPr>
        <w:t xml:space="preserve">(LRT) </w:t>
      </w:r>
      <w:r w:rsidRPr="000B7D78">
        <w:rPr>
          <w:sz w:val="26"/>
          <w:szCs w:val="26"/>
        </w:rPr>
        <w:t xml:space="preserve">tracks. The Diagnostic Team must defer to the state regulatory authorities to mandate public safety improvements at grade crossings. </w:t>
      </w:r>
    </w:p>
    <w:p w:rsidRPr="000B7D78" w:rsidR="00651BB1" w:rsidP="000F2B38" w:rsidRDefault="00651BB1" w14:paraId="7C4DA90F" w14:textId="77777777">
      <w:pPr>
        <w:rPr>
          <w:sz w:val="26"/>
          <w:szCs w:val="26"/>
        </w:rPr>
      </w:pPr>
    </w:p>
    <w:p w:rsidRPr="000B7D78" w:rsidR="00651BB1" w:rsidP="000F2B38" w:rsidRDefault="00651BB1" w14:paraId="2347A035" w14:textId="66FF566F">
      <w:pPr>
        <w:rPr>
          <w:sz w:val="26"/>
          <w:szCs w:val="26"/>
        </w:rPr>
      </w:pPr>
      <w:r w:rsidRPr="000B7D78">
        <w:rPr>
          <w:sz w:val="26"/>
          <w:szCs w:val="26"/>
        </w:rPr>
        <w:t xml:space="preserve">The </w:t>
      </w:r>
      <w:r w:rsidRPr="000B7D78">
        <w:rPr>
          <w:i/>
          <w:iCs/>
          <w:sz w:val="26"/>
          <w:szCs w:val="26"/>
        </w:rPr>
        <w:t>NPA</w:t>
      </w:r>
      <w:r w:rsidRPr="000B7D78">
        <w:rPr>
          <w:sz w:val="26"/>
          <w:szCs w:val="26"/>
        </w:rPr>
        <w:t xml:space="preserve"> would mandate that a Diagnostic Team reach consensus and determine the design of new or modified grade crossing traffic control systems. Requiring consensus of a Diagnostic Team may have the unintended effect of diminishing the CPUC</w:t>
      </w:r>
      <w:r w:rsidRPr="000B7D78" w:rsidR="000866FE">
        <w:rPr>
          <w:sz w:val="26"/>
          <w:szCs w:val="26"/>
        </w:rPr>
        <w:t>’</w:t>
      </w:r>
      <w:r w:rsidRPr="000B7D78">
        <w:rPr>
          <w:sz w:val="26"/>
          <w:szCs w:val="26"/>
        </w:rPr>
        <w:t xml:space="preserve">s authority. </w:t>
      </w:r>
      <w:r w:rsidRPr="000B7D78" w:rsidR="00CD59F4">
        <w:rPr>
          <w:sz w:val="26"/>
          <w:szCs w:val="26"/>
        </w:rPr>
        <w:t xml:space="preserve"> </w:t>
      </w:r>
      <w:r w:rsidRPr="000B7D78">
        <w:rPr>
          <w:sz w:val="26"/>
          <w:szCs w:val="26"/>
        </w:rPr>
        <w:t>The CPUC exercises constitutional and statutory authority over grade crossings pursuant to California Public Utilities Code §§ 1202</w:t>
      </w:r>
      <w:r w:rsidRPr="000B7D78" w:rsidR="00381990">
        <w:rPr>
          <w:sz w:val="26"/>
          <w:szCs w:val="26"/>
        </w:rPr>
        <w:t>,</w:t>
      </w:r>
      <w:r w:rsidRPr="000B7D78">
        <w:rPr>
          <w:sz w:val="26"/>
          <w:szCs w:val="26"/>
        </w:rPr>
        <w:t xml:space="preserve"> </w:t>
      </w:r>
      <w:r w:rsidRPr="000B7D78">
        <w:rPr>
          <w:i/>
          <w:iCs/>
          <w:sz w:val="26"/>
          <w:szCs w:val="26"/>
        </w:rPr>
        <w:t>et seq.</w:t>
      </w:r>
      <w:r w:rsidRPr="000B7D78" w:rsidR="00381990">
        <w:rPr>
          <w:sz w:val="26"/>
          <w:szCs w:val="26"/>
        </w:rPr>
        <w:t>,</w:t>
      </w:r>
      <w:r w:rsidRPr="000B7D78">
        <w:rPr>
          <w:sz w:val="26"/>
          <w:szCs w:val="26"/>
        </w:rPr>
        <w:t xml:space="preserve"> and 99152.  The CPUC places public safety as the primary focu</w:t>
      </w:r>
      <w:r w:rsidRPr="000B7D78" w:rsidR="00381990">
        <w:rPr>
          <w:sz w:val="26"/>
          <w:szCs w:val="26"/>
        </w:rPr>
        <w:t>s</w:t>
      </w:r>
      <w:r w:rsidRPr="000B7D78">
        <w:rPr>
          <w:sz w:val="26"/>
          <w:szCs w:val="26"/>
        </w:rPr>
        <w:t xml:space="preserve"> when approving construction or modification of grade crossing traffic control systems</w:t>
      </w:r>
      <w:r w:rsidRPr="000B7D78" w:rsidR="00155B16">
        <w:rPr>
          <w:sz w:val="26"/>
          <w:szCs w:val="26"/>
        </w:rPr>
        <w:t>.</w:t>
      </w:r>
      <w:r w:rsidRPr="002D64A9">
        <w:rPr>
          <w:rStyle w:val="FootnoteReference"/>
          <w:b/>
          <w:bCs/>
          <w:sz w:val="26"/>
          <w:szCs w:val="26"/>
          <w:u w:val="single"/>
        </w:rPr>
        <w:footnoteReference w:id="10"/>
      </w:r>
      <w:r w:rsidRPr="000B7D78">
        <w:rPr>
          <w:sz w:val="26"/>
          <w:szCs w:val="26"/>
        </w:rPr>
        <w:t xml:space="preserve"> A Diagnostic Team consists of stakeholders, including local governments and the railroads, who may not </w:t>
      </w:r>
      <w:r w:rsidRPr="000B7D78" w:rsidR="00783853">
        <w:rPr>
          <w:sz w:val="26"/>
          <w:szCs w:val="26"/>
        </w:rPr>
        <w:t xml:space="preserve">always </w:t>
      </w:r>
      <w:r w:rsidRPr="000B7D78">
        <w:rPr>
          <w:sz w:val="26"/>
          <w:szCs w:val="26"/>
        </w:rPr>
        <w:t>place public safety as a</w:t>
      </w:r>
      <w:r w:rsidRPr="000B7D78" w:rsidR="00783853">
        <w:rPr>
          <w:sz w:val="26"/>
          <w:szCs w:val="26"/>
        </w:rPr>
        <w:t xml:space="preserve"> top</w:t>
      </w:r>
      <w:r w:rsidRPr="000B7D78">
        <w:rPr>
          <w:sz w:val="26"/>
          <w:szCs w:val="26"/>
        </w:rPr>
        <w:t xml:space="preserve"> priority and may </w:t>
      </w:r>
      <w:r w:rsidRPr="000B7D78" w:rsidR="00EF5C04">
        <w:rPr>
          <w:sz w:val="26"/>
          <w:szCs w:val="26"/>
        </w:rPr>
        <w:t>have competing</w:t>
      </w:r>
      <w:r w:rsidRPr="000B7D78" w:rsidR="00F060C2">
        <w:rPr>
          <w:sz w:val="26"/>
          <w:szCs w:val="26"/>
        </w:rPr>
        <w:t xml:space="preserve"> concerns</w:t>
      </w:r>
      <w:r w:rsidRPr="000B7D78">
        <w:rPr>
          <w:sz w:val="26"/>
          <w:szCs w:val="26"/>
        </w:rPr>
        <w:t xml:space="preserve"> about costs.  There </w:t>
      </w:r>
      <w:r w:rsidRPr="000B7D78" w:rsidR="006C1AA1">
        <w:rPr>
          <w:sz w:val="26"/>
          <w:szCs w:val="26"/>
        </w:rPr>
        <w:t xml:space="preserve">also </w:t>
      </w:r>
      <w:r w:rsidRPr="000B7D78">
        <w:rPr>
          <w:sz w:val="26"/>
          <w:szCs w:val="26"/>
        </w:rPr>
        <w:t xml:space="preserve">may be professional differences of opinion among stakeholders, which often includes multiple agencies and railroads.  </w:t>
      </w:r>
    </w:p>
    <w:p w:rsidRPr="000B7D78" w:rsidR="00651BB1" w:rsidP="000F2B38" w:rsidRDefault="00651BB1" w14:paraId="77EC99A0" w14:textId="3ABD86C4">
      <w:pPr>
        <w:rPr>
          <w:sz w:val="26"/>
          <w:szCs w:val="26"/>
        </w:rPr>
      </w:pPr>
    </w:p>
    <w:p w:rsidRPr="000B7D78" w:rsidR="00651BB1" w:rsidP="008407C7" w:rsidRDefault="00651BB1" w14:paraId="17908294" w14:textId="60604C79">
      <w:pPr>
        <w:rPr>
          <w:sz w:val="26"/>
          <w:szCs w:val="26"/>
        </w:rPr>
      </w:pPr>
      <w:r w:rsidRPr="000B7D78">
        <w:rPr>
          <w:sz w:val="26"/>
          <w:szCs w:val="26"/>
        </w:rPr>
        <w:t>Staff</w:t>
      </w:r>
      <w:r w:rsidRPr="000B7D78" w:rsidR="000866FE">
        <w:rPr>
          <w:sz w:val="26"/>
          <w:szCs w:val="26"/>
        </w:rPr>
        <w:t>’</w:t>
      </w:r>
      <w:r w:rsidRPr="000B7D78">
        <w:rPr>
          <w:sz w:val="26"/>
          <w:szCs w:val="26"/>
        </w:rPr>
        <w:t xml:space="preserve">s primary recommendation is that FHWA add an Option statement clarifying </w:t>
      </w:r>
      <w:r w:rsidRPr="000B7D78" w:rsidR="00A114D4">
        <w:rPr>
          <w:sz w:val="26"/>
          <w:szCs w:val="26"/>
        </w:rPr>
        <w:t xml:space="preserve">that </w:t>
      </w:r>
      <w:r w:rsidRPr="000B7D78">
        <w:rPr>
          <w:sz w:val="26"/>
          <w:szCs w:val="26"/>
        </w:rPr>
        <w:t xml:space="preserve">the regulatory agency holds </w:t>
      </w:r>
      <w:r w:rsidRPr="000B7D78" w:rsidR="00B63FFD">
        <w:rPr>
          <w:sz w:val="26"/>
          <w:szCs w:val="26"/>
        </w:rPr>
        <w:t xml:space="preserve">exclusive </w:t>
      </w:r>
      <w:r w:rsidRPr="000B7D78">
        <w:rPr>
          <w:sz w:val="26"/>
          <w:szCs w:val="26"/>
        </w:rPr>
        <w:t xml:space="preserve">authority to determine and prescribe the grade crossing traffic control system.  </w:t>
      </w:r>
      <w:r w:rsidRPr="000B7D78" w:rsidR="006C1AA1">
        <w:rPr>
          <w:sz w:val="26"/>
          <w:szCs w:val="26"/>
        </w:rPr>
        <w:t>The CPUC recommends the following language be adopted:</w:t>
      </w:r>
    </w:p>
    <w:p w:rsidRPr="000B7D78" w:rsidR="00651BB1" w:rsidP="008407C7" w:rsidRDefault="00651BB1" w14:paraId="1DEE2715" w14:textId="77777777">
      <w:pPr>
        <w:rPr>
          <w:sz w:val="26"/>
          <w:szCs w:val="26"/>
          <w:u w:val="single"/>
        </w:rPr>
      </w:pPr>
    </w:p>
    <w:p w:rsidRPr="000B7D78" w:rsidR="00651BB1" w:rsidP="008407C7" w:rsidRDefault="00651BB1" w14:paraId="545E16C3" w14:textId="23296230">
      <w:pPr>
        <w:ind w:left="720"/>
        <w:rPr>
          <w:i/>
          <w:iCs/>
          <w:sz w:val="26"/>
          <w:szCs w:val="26"/>
        </w:rPr>
      </w:pPr>
      <w:r w:rsidRPr="000B7D78">
        <w:rPr>
          <w:i/>
          <w:iCs/>
          <w:color w:val="FF0000"/>
          <w:sz w:val="26"/>
          <w:szCs w:val="26"/>
        </w:rPr>
        <w:lastRenderedPageBreak/>
        <w:t xml:space="preserve">Option: </w:t>
      </w:r>
      <w:r w:rsidRPr="000B7D78" w:rsidR="0090380E">
        <w:rPr>
          <w:i/>
          <w:iCs/>
          <w:color w:val="FF0000"/>
          <w:sz w:val="26"/>
          <w:szCs w:val="26"/>
        </w:rPr>
        <w:t>T</w:t>
      </w:r>
      <w:r w:rsidRPr="000B7D78">
        <w:rPr>
          <w:i/>
          <w:iCs/>
          <w:color w:val="FF0000"/>
          <w:sz w:val="26"/>
          <w:szCs w:val="26"/>
        </w:rPr>
        <w:t>he regulatory agency with statutory authority (if applicable) may determine and prescribe the grade crossing traffic control system.</w:t>
      </w:r>
    </w:p>
    <w:p w:rsidRPr="000B7D78" w:rsidR="00651BB1" w:rsidP="008407C7" w:rsidRDefault="00651BB1" w14:paraId="389C1147" w14:textId="77777777">
      <w:pPr>
        <w:rPr>
          <w:sz w:val="26"/>
          <w:szCs w:val="26"/>
        </w:rPr>
      </w:pPr>
    </w:p>
    <w:p w:rsidRPr="000B7D78" w:rsidR="00651BB1" w:rsidP="008407C7" w:rsidRDefault="00651BB1" w14:paraId="564FB3D9" w14:textId="68C130F0">
      <w:pPr>
        <w:rPr>
          <w:sz w:val="26"/>
          <w:szCs w:val="26"/>
        </w:rPr>
      </w:pPr>
      <w:r w:rsidRPr="000B7D78">
        <w:rPr>
          <w:sz w:val="26"/>
          <w:szCs w:val="26"/>
        </w:rPr>
        <w:t>The CPUC</w:t>
      </w:r>
      <w:r w:rsidRPr="000B7D78" w:rsidR="000866FE">
        <w:rPr>
          <w:sz w:val="26"/>
          <w:szCs w:val="26"/>
        </w:rPr>
        <w:t>’</w:t>
      </w:r>
      <w:r w:rsidRPr="000B7D78">
        <w:rPr>
          <w:sz w:val="26"/>
          <w:szCs w:val="26"/>
        </w:rPr>
        <w:t xml:space="preserve">s authority over grade crossings is not jointly administered with regulated entities; it is exclusive to the state government.  In cases where a Diagnostic Team cannot reach agreement, the </w:t>
      </w:r>
      <w:r w:rsidRPr="000B7D78" w:rsidR="00AD62A8">
        <w:rPr>
          <w:sz w:val="26"/>
          <w:szCs w:val="26"/>
        </w:rPr>
        <w:t>D</w:t>
      </w:r>
      <w:r w:rsidRPr="000B7D78">
        <w:rPr>
          <w:sz w:val="26"/>
          <w:szCs w:val="26"/>
        </w:rPr>
        <w:t xml:space="preserve">iagnostic </w:t>
      </w:r>
      <w:r w:rsidRPr="000B7D78" w:rsidR="00AD62A8">
        <w:rPr>
          <w:sz w:val="26"/>
          <w:szCs w:val="26"/>
        </w:rPr>
        <w:t>T</w:t>
      </w:r>
      <w:r w:rsidRPr="000B7D78">
        <w:rPr>
          <w:sz w:val="26"/>
          <w:szCs w:val="26"/>
        </w:rPr>
        <w:t xml:space="preserve">eam process does not provide a mechanism </w:t>
      </w:r>
      <w:r w:rsidRPr="000B7D78" w:rsidR="006C1AA1">
        <w:rPr>
          <w:sz w:val="26"/>
          <w:szCs w:val="26"/>
        </w:rPr>
        <w:t>for dispute resolution</w:t>
      </w:r>
      <w:r w:rsidRPr="000B7D78">
        <w:rPr>
          <w:sz w:val="26"/>
          <w:szCs w:val="26"/>
        </w:rPr>
        <w:t>.  The CPUC</w:t>
      </w:r>
      <w:r w:rsidRPr="000B7D78" w:rsidR="001C7663">
        <w:rPr>
          <w:sz w:val="26"/>
          <w:szCs w:val="26"/>
        </w:rPr>
        <w:t xml:space="preserve"> </w:t>
      </w:r>
      <w:r w:rsidRPr="000B7D78">
        <w:rPr>
          <w:sz w:val="26"/>
          <w:szCs w:val="26"/>
        </w:rPr>
        <w:t>provides a formalized process</w:t>
      </w:r>
      <w:r w:rsidRPr="000B7D78" w:rsidR="00D10DF9">
        <w:rPr>
          <w:rStyle w:val="FootnoteReference"/>
          <w:sz w:val="26"/>
          <w:szCs w:val="26"/>
        </w:rPr>
        <w:footnoteReference w:id="11"/>
      </w:r>
      <w:r w:rsidRPr="000B7D78">
        <w:rPr>
          <w:sz w:val="26"/>
          <w:szCs w:val="26"/>
        </w:rPr>
        <w:t xml:space="preserve"> for an administrative law judge to resolve disputes regarding grade crossing projects.  </w:t>
      </w:r>
    </w:p>
    <w:p w:rsidRPr="005724BA" w:rsidR="005724BA" w:rsidP="00517407" w:rsidRDefault="005724BA" w14:paraId="11D9F71B" w14:textId="77777777">
      <w:pPr>
        <w:rPr>
          <w:sz w:val="26"/>
          <w:szCs w:val="26"/>
        </w:rPr>
      </w:pPr>
    </w:p>
    <w:p w:rsidRPr="000B7D78" w:rsidR="00026815" w:rsidP="00517407" w:rsidRDefault="002D64A9" w14:paraId="48061416" w14:textId="1D20E410">
      <w:pPr>
        <w:pStyle w:val="Heading1"/>
        <w:spacing w:before="0" w:after="0"/>
        <w:rPr>
          <w:i/>
          <w:iCs/>
        </w:rPr>
      </w:pPr>
      <w:r>
        <w:t>II.</w:t>
      </w:r>
      <w:r>
        <w:tab/>
      </w:r>
      <w:r w:rsidRPr="000B7D78" w:rsidR="002B30D1">
        <w:t>Grade Crossing Design Requirements</w:t>
      </w:r>
    </w:p>
    <w:p w:rsidRPr="000B7D78" w:rsidR="00AB1DA2" w:rsidP="00517407" w:rsidRDefault="00AB1DA2" w14:paraId="79525BDD" w14:textId="77777777">
      <w:pPr>
        <w:rPr>
          <w:sz w:val="26"/>
          <w:szCs w:val="26"/>
        </w:rPr>
      </w:pPr>
    </w:p>
    <w:p w:rsidR="00AB1DA2" w:rsidP="00A2394B" w:rsidRDefault="00AB1DA2" w14:paraId="290758A5" w14:textId="4C97DF30">
      <w:pPr>
        <w:rPr>
          <w:b/>
          <w:bCs/>
          <w:sz w:val="26"/>
          <w:szCs w:val="26"/>
        </w:rPr>
      </w:pPr>
      <w:r w:rsidRPr="000B7D78">
        <w:rPr>
          <w:b/>
          <w:bCs/>
          <w:sz w:val="26"/>
          <w:szCs w:val="26"/>
        </w:rPr>
        <w:t>Topic 1: Traffic Signals and Preemption</w:t>
      </w:r>
    </w:p>
    <w:p w:rsidRPr="000B7D78" w:rsidR="002D64A9" w:rsidP="00A2394B" w:rsidRDefault="002D64A9" w14:paraId="795A050F" w14:textId="77777777">
      <w:pPr>
        <w:rPr>
          <w:b/>
          <w:bCs/>
          <w:sz w:val="26"/>
          <w:szCs w:val="26"/>
        </w:rPr>
      </w:pPr>
    </w:p>
    <w:p w:rsidR="00075686" w:rsidP="000E22DD" w:rsidRDefault="00571F9C" w14:paraId="4FEB15C5" w14:textId="66FDFDCB">
      <w:pPr>
        <w:pStyle w:val="ListParagraph"/>
        <w:autoSpaceDE w:val="0"/>
        <w:autoSpaceDN w:val="0"/>
        <w:adjustRightInd w:val="0"/>
        <w:ind w:left="0"/>
        <w:rPr>
          <w:sz w:val="26"/>
          <w:szCs w:val="26"/>
        </w:rPr>
      </w:pPr>
      <w:r w:rsidRPr="000B7D78">
        <w:rPr>
          <w:sz w:val="26"/>
          <w:szCs w:val="26"/>
        </w:rPr>
        <w:t xml:space="preserve">The </w:t>
      </w:r>
      <w:r w:rsidRPr="000B7D78">
        <w:rPr>
          <w:i/>
          <w:iCs/>
          <w:sz w:val="26"/>
          <w:szCs w:val="26"/>
        </w:rPr>
        <w:t>NPA</w:t>
      </w:r>
      <w:r w:rsidRPr="000B7D78">
        <w:rPr>
          <w:sz w:val="26"/>
          <w:szCs w:val="26"/>
        </w:rPr>
        <w:t xml:space="preserve"> proposes extensive revisions regarding traffic signal preemption at grade crossings.  These changes may significantly change the requirements for traffic signal design and operation at or near grade crossings, which may impact public safety.</w:t>
      </w:r>
      <w:r w:rsidRPr="000B7D78" w:rsidR="00C9121D">
        <w:rPr>
          <w:sz w:val="26"/>
          <w:szCs w:val="26"/>
        </w:rPr>
        <w:t xml:space="preserve">  </w:t>
      </w:r>
      <w:r w:rsidRPr="000B7D78" w:rsidR="005E2AB9">
        <w:rPr>
          <w:sz w:val="26"/>
          <w:szCs w:val="26"/>
        </w:rPr>
        <w:t>Staff proposes</w:t>
      </w:r>
      <w:r w:rsidRPr="000B7D78" w:rsidR="00BC5544">
        <w:rPr>
          <w:sz w:val="26"/>
          <w:szCs w:val="26"/>
        </w:rPr>
        <w:t xml:space="preserve"> </w:t>
      </w:r>
      <w:r w:rsidRPr="000B7D78" w:rsidR="005E2AB9">
        <w:rPr>
          <w:sz w:val="26"/>
          <w:szCs w:val="26"/>
        </w:rPr>
        <w:t>comments on this topic</w:t>
      </w:r>
      <w:r w:rsidRPr="000B7D78" w:rsidR="006D4D12">
        <w:rPr>
          <w:sz w:val="26"/>
          <w:szCs w:val="26"/>
        </w:rPr>
        <w:t xml:space="preserve"> including the following</w:t>
      </w:r>
      <w:r w:rsidRPr="000B7D78" w:rsidR="00075686">
        <w:rPr>
          <w:sz w:val="26"/>
          <w:szCs w:val="26"/>
        </w:rPr>
        <w:t>:</w:t>
      </w:r>
    </w:p>
    <w:p w:rsidRPr="000B7D78" w:rsidR="002D64A9" w:rsidP="000E22DD" w:rsidRDefault="002D64A9" w14:paraId="38FE315C" w14:textId="77777777">
      <w:pPr>
        <w:pStyle w:val="ListParagraph"/>
        <w:autoSpaceDE w:val="0"/>
        <w:autoSpaceDN w:val="0"/>
        <w:adjustRightInd w:val="0"/>
        <w:ind w:left="0"/>
        <w:rPr>
          <w:sz w:val="26"/>
          <w:szCs w:val="26"/>
        </w:rPr>
      </w:pPr>
    </w:p>
    <w:p w:rsidRPr="000B7D78" w:rsidR="00C957EA" w:rsidP="002D64A9" w:rsidRDefault="00E010C7" w14:paraId="4F8AF9A6" w14:textId="1CB79C6E">
      <w:pPr>
        <w:pStyle w:val="ListParagraph"/>
        <w:numPr>
          <w:ilvl w:val="0"/>
          <w:numId w:val="9"/>
        </w:numPr>
        <w:spacing w:after="120"/>
        <w:ind w:left="1080" w:right="1440"/>
        <w:rPr>
          <w:sz w:val="26"/>
          <w:szCs w:val="26"/>
        </w:rPr>
      </w:pPr>
      <w:r w:rsidRPr="000B7D78">
        <w:rPr>
          <w:sz w:val="26"/>
          <w:szCs w:val="26"/>
        </w:rPr>
        <w:t xml:space="preserve">Extend the proposed </w:t>
      </w:r>
      <w:r w:rsidRPr="000B7D78" w:rsidR="00B8001A">
        <w:rPr>
          <w:sz w:val="26"/>
          <w:szCs w:val="26"/>
        </w:rPr>
        <w:t>10-year target compliance date</w:t>
      </w:r>
      <w:r w:rsidRPr="000B7D78" w:rsidR="006D4D12">
        <w:rPr>
          <w:sz w:val="26"/>
          <w:szCs w:val="26"/>
        </w:rPr>
        <w:t xml:space="preserve"> </w:t>
      </w:r>
      <w:r w:rsidRPr="000B7D78" w:rsidR="00BC5544">
        <w:rPr>
          <w:sz w:val="26"/>
          <w:szCs w:val="26"/>
        </w:rPr>
        <w:t>regarding</w:t>
      </w:r>
      <w:r w:rsidRPr="000B7D78" w:rsidR="006D4D12">
        <w:rPr>
          <w:sz w:val="26"/>
          <w:szCs w:val="26"/>
        </w:rPr>
        <w:t xml:space="preserve"> traffic signal preemption</w:t>
      </w:r>
      <w:r w:rsidRPr="000B7D78" w:rsidR="00D77B83">
        <w:rPr>
          <w:sz w:val="26"/>
          <w:szCs w:val="26"/>
        </w:rPr>
        <w:t>.</w:t>
      </w:r>
    </w:p>
    <w:p w:rsidRPr="000B7D78" w:rsidR="00B8001A" w:rsidP="002D64A9" w:rsidRDefault="00E010C7" w14:paraId="4001EAC0" w14:textId="13D20466">
      <w:pPr>
        <w:pStyle w:val="ListParagraph"/>
        <w:numPr>
          <w:ilvl w:val="0"/>
          <w:numId w:val="9"/>
        </w:numPr>
        <w:spacing w:after="120"/>
        <w:ind w:left="1080" w:right="1440"/>
        <w:rPr>
          <w:sz w:val="26"/>
          <w:szCs w:val="26"/>
        </w:rPr>
      </w:pPr>
      <w:r w:rsidRPr="000B7D78">
        <w:rPr>
          <w:sz w:val="26"/>
          <w:szCs w:val="26"/>
        </w:rPr>
        <w:t xml:space="preserve">Provide </w:t>
      </w:r>
      <w:r w:rsidRPr="000B7D78" w:rsidR="00D77B83">
        <w:rPr>
          <w:sz w:val="26"/>
          <w:szCs w:val="26"/>
        </w:rPr>
        <w:t xml:space="preserve">various </w:t>
      </w:r>
      <w:r w:rsidRPr="000B7D78" w:rsidR="00B56A23">
        <w:rPr>
          <w:sz w:val="26"/>
          <w:szCs w:val="26"/>
        </w:rPr>
        <w:t xml:space="preserve">technical definitions and descriptions </w:t>
      </w:r>
      <w:r w:rsidRPr="000B7D78">
        <w:rPr>
          <w:sz w:val="26"/>
          <w:szCs w:val="26"/>
        </w:rPr>
        <w:t xml:space="preserve">for </w:t>
      </w:r>
      <w:r w:rsidRPr="000B7D78" w:rsidR="00B56A23">
        <w:rPr>
          <w:sz w:val="26"/>
          <w:szCs w:val="26"/>
        </w:rPr>
        <w:t>preemption</w:t>
      </w:r>
      <w:r w:rsidRPr="000B7D78" w:rsidR="00C873C3">
        <w:rPr>
          <w:sz w:val="26"/>
          <w:szCs w:val="26"/>
        </w:rPr>
        <w:t xml:space="preserve"> (advance preemption, maximum preemption time, </w:t>
      </w:r>
      <w:r w:rsidRPr="000B7D78" w:rsidR="00130227">
        <w:rPr>
          <w:sz w:val="26"/>
          <w:szCs w:val="26"/>
        </w:rPr>
        <w:t>separation time, minimum warning time, etc.)</w:t>
      </w:r>
      <w:r w:rsidRPr="000B7D78" w:rsidR="002717CC">
        <w:rPr>
          <w:sz w:val="26"/>
          <w:szCs w:val="26"/>
        </w:rPr>
        <w:t>.</w:t>
      </w:r>
    </w:p>
    <w:p w:rsidRPr="000B7D78" w:rsidR="00B56A23" w:rsidP="002D64A9" w:rsidRDefault="00CE52F1" w14:paraId="61626DC5" w14:textId="3FAA2E00">
      <w:pPr>
        <w:pStyle w:val="ListParagraph"/>
        <w:numPr>
          <w:ilvl w:val="0"/>
          <w:numId w:val="9"/>
        </w:numPr>
        <w:spacing w:after="120"/>
        <w:ind w:left="1080" w:right="1440"/>
        <w:rPr>
          <w:sz w:val="26"/>
          <w:szCs w:val="26"/>
        </w:rPr>
      </w:pPr>
      <w:r w:rsidRPr="000B7D78">
        <w:rPr>
          <w:sz w:val="26"/>
          <w:szCs w:val="26"/>
        </w:rPr>
        <w:t>Do not specify the frequency of periodic joint inspections</w:t>
      </w:r>
      <w:r w:rsidRPr="000B7D78" w:rsidR="00EB236B">
        <w:rPr>
          <w:sz w:val="26"/>
          <w:szCs w:val="26"/>
        </w:rPr>
        <w:t xml:space="preserve"> of traffic signal preemption</w:t>
      </w:r>
      <w:r w:rsidRPr="000B7D78" w:rsidR="00D77B83">
        <w:rPr>
          <w:sz w:val="26"/>
          <w:szCs w:val="26"/>
        </w:rPr>
        <w:t>.</w:t>
      </w:r>
    </w:p>
    <w:p w:rsidRPr="000B7D78" w:rsidR="00CE52F1" w:rsidP="002D64A9" w:rsidRDefault="00F035B8" w14:paraId="603EB267" w14:textId="51A9A1EB">
      <w:pPr>
        <w:pStyle w:val="ListParagraph"/>
        <w:numPr>
          <w:ilvl w:val="0"/>
          <w:numId w:val="9"/>
        </w:numPr>
        <w:spacing w:after="120"/>
        <w:ind w:left="1080" w:right="1440"/>
        <w:rPr>
          <w:sz w:val="26"/>
          <w:szCs w:val="26"/>
        </w:rPr>
      </w:pPr>
      <w:r w:rsidRPr="000B7D78">
        <w:rPr>
          <w:sz w:val="26"/>
          <w:szCs w:val="26"/>
        </w:rPr>
        <w:t xml:space="preserve">Do not require all traffic signal faces within </w:t>
      </w:r>
      <w:r w:rsidRPr="000B7D78" w:rsidR="00A028E8">
        <w:rPr>
          <w:sz w:val="26"/>
          <w:szCs w:val="26"/>
        </w:rPr>
        <w:t>50 feet of track to display red upon preemption</w:t>
      </w:r>
      <w:r w:rsidRPr="000B7D78" w:rsidR="00D77B83">
        <w:rPr>
          <w:sz w:val="26"/>
          <w:szCs w:val="26"/>
        </w:rPr>
        <w:t>.</w:t>
      </w:r>
    </w:p>
    <w:p w:rsidRPr="000B7D78" w:rsidR="00A028E8" w:rsidP="002D64A9" w:rsidRDefault="007770CD" w14:paraId="266AE44C" w14:textId="73B5A1FD">
      <w:pPr>
        <w:pStyle w:val="ListParagraph"/>
        <w:numPr>
          <w:ilvl w:val="0"/>
          <w:numId w:val="9"/>
        </w:numPr>
        <w:spacing w:after="120"/>
        <w:ind w:left="1080" w:right="1440"/>
        <w:rPr>
          <w:sz w:val="26"/>
          <w:szCs w:val="26"/>
        </w:rPr>
      </w:pPr>
      <w:r w:rsidRPr="000B7D78">
        <w:rPr>
          <w:sz w:val="26"/>
          <w:szCs w:val="26"/>
        </w:rPr>
        <w:t xml:space="preserve">Correct an error in the reference to </w:t>
      </w:r>
      <w:r w:rsidRPr="000B7D78" w:rsidR="003766F4">
        <w:rPr>
          <w:sz w:val="26"/>
          <w:szCs w:val="26"/>
        </w:rPr>
        <w:t>IEEE 1570 standard</w:t>
      </w:r>
      <w:r w:rsidRPr="000B7D78" w:rsidR="00D77B83">
        <w:rPr>
          <w:sz w:val="26"/>
          <w:szCs w:val="26"/>
        </w:rPr>
        <w:t>.</w:t>
      </w:r>
    </w:p>
    <w:p w:rsidRPr="000B7D78" w:rsidR="003766F4" w:rsidP="002D64A9" w:rsidRDefault="00981133" w14:paraId="6B241238" w14:textId="08E964C0">
      <w:pPr>
        <w:pStyle w:val="ListParagraph"/>
        <w:numPr>
          <w:ilvl w:val="0"/>
          <w:numId w:val="9"/>
        </w:numPr>
        <w:spacing w:after="120"/>
        <w:ind w:left="1080" w:right="1440"/>
        <w:rPr>
          <w:sz w:val="26"/>
          <w:szCs w:val="26"/>
        </w:rPr>
      </w:pPr>
      <w:r w:rsidRPr="000B7D78">
        <w:rPr>
          <w:sz w:val="26"/>
          <w:szCs w:val="26"/>
        </w:rPr>
        <w:t xml:space="preserve">Allow flexibility in the selection and operation of blank-out turn prohibition signs (do not require TRAIN text, allow turn-prohibition </w:t>
      </w:r>
      <w:r w:rsidRPr="000B7D78" w:rsidR="0025078E">
        <w:rPr>
          <w:sz w:val="26"/>
          <w:szCs w:val="26"/>
        </w:rPr>
        <w:t>under multiple conditions</w:t>
      </w:r>
      <w:r w:rsidRPr="000B7D78" w:rsidR="007D050F">
        <w:rPr>
          <w:sz w:val="26"/>
          <w:szCs w:val="26"/>
        </w:rPr>
        <w:t>).</w:t>
      </w:r>
    </w:p>
    <w:p w:rsidRPr="000B7D78" w:rsidR="007D050F" w:rsidP="002D64A9" w:rsidRDefault="00CA3D5D" w14:paraId="67E715AD" w14:textId="2FC35D74">
      <w:pPr>
        <w:pStyle w:val="ListParagraph"/>
        <w:numPr>
          <w:ilvl w:val="0"/>
          <w:numId w:val="9"/>
        </w:numPr>
        <w:spacing w:after="120"/>
        <w:ind w:left="1080" w:right="1440"/>
        <w:rPr>
          <w:sz w:val="26"/>
          <w:szCs w:val="26"/>
        </w:rPr>
      </w:pPr>
      <w:r w:rsidRPr="000B7D78">
        <w:rPr>
          <w:sz w:val="26"/>
          <w:szCs w:val="26"/>
        </w:rPr>
        <w:t xml:space="preserve">Delete a </w:t>
      </w:r>
      <w:r w:rsidRPr="000B7D78" w:rsidR="009D7BCB">
        <w:rPr>
          <w:sz w:val="26"/>
          <w:szCs w:val="26"/>
        </w:rPr>
        <w:t xml:space="preserve">proposed </w:t>
      </w:r>
      <w:r w:rsidRPr="000B7D78">
        <w:rPr>
          <w:sz w:val="26"/>
          <w:szCs w:val="26"/>
        </w:rPr>
        <w:t>requirement for extended queue clearance time when pre-signals are used.</w:t>
      </w:r>
    </w:p>
    <w:p w:rsidRPr="000B7D78" w:rsidR="001D2B48" w:rsidP="002D64A9" w:rsidRDefault="008B1996" w14:paraId="73442959" w14:textId="6A23F703">
      <w:pPr>
        <w:pStyle w:val="ListParagraph"/>
        <w:numPr>
          <w:ilvl w:val="0"/>
          <w:numId w:val="9"/>
        </w:numPr>
        <w:spacing w:after="120"/>
        <w:ind w:left="1080" w:right="1440"/>
        <w:rPr>
          <w:sz w:val="26"/>
          <w:szCs w:val="26"/>
        </w:rPr>
      </w:pPr>
      <w:r w:rsidRPr="000B7D78">
        <w:rPr>
          <w:sz w:val="26"/>
          <w:szCs w:val="26"/>
        </w:rPr>
        <w:t>Reduce or eliminate proposed requirement</w:t>
      </w:r>
      <w:r w:rsidRPr="000B7D78" w:rsidR="00EC368C">
        <w:rPr>
          <w:sz w:val="26"/>
          <w:szCs w:val="26"/>
        </w:rPr>
        <w:t>s</w:t>
      </w:r>
      <w:r w:rsidRPr="000B7D78">
        <w:rPr>
          <w:sz w:val="26"/>
          <w:szCs w:val="26"/>
        </w:rPr>
        <w:t xml:space="preserve"> that would prohibit </w:t>
      </w:r>
      <w:r w:rsidRPr="000B7D78" w:rsidR="004A23E9">
        <w:rPr>
          <w:sz w:val="26"/>
          <w:szCs w:val="26"/>
        </w:rPr>
        <w:t xml:space="preserve">left-turn green arrow, right-turn green arrow, and </w:t>
      </w:r>
      <w:r w:rsidRPr="000B7D78" w:rsidR="00BF051F">
        <w:rPr>
          <w:sz w:val="26"/>
          <w:szCs w:val="26"/>
        </w:rPr>
        <w:t xml:space="preserve">circular green indications in pre-signal </w:t>
      </w:r>
      <w:r w:rsidRPr="000B7D78" w:rsidR="000A3A73">
        <w:rPr>
          <w:sz w:val="26"/>
          <w:szCs w:val="26"/>
        </w:rPr>
        <w:t>faces.</w:t>
      </w:r>
      <w:r w:rsidRPr="000B7D78" w:rsidR="00CD2ECE">
        <w:rPr>
          <w:sz w:val="26"/>
          <w:szCs w:val="26"/>
        </w:rPr>
        <w:t xml:space="preserve">  </w:t>
      </w:r>
    </w:p>
    <w:p w:rsidRPr="000B7D78" w:rsidR="006B2245" w:rsidP="002D64A9" w:rsidRDefault="0053316D" w14:paraId="67674DD8" w14:textId="49FB52DB">
      <w:pPr>
        <w:pStyle w:val="ListParagraph"/>
        <w:numPr>
          <w:ilvl w:val="0"/>
          <w:numId w:val="9"/>
        </w:numPr>
        <w:spacing w:after="120"/>
        <w:ind w:left="1080" w:right="1440"/>
        <w:rPr>
          <w:sz w:val="26"/>
          <w:szCs w:val="26"/>
        </w:rPr>
      </w:pPr>
      <w:r w:rsidRPr="000B7D78">
        <w:rPr>
          <w:sz w:val="26"/>
          <w:szCs w:val="26"/>
        </w:rPr>
        <w:lastRenderedPageBreak/>
        <w:t xml:space="preserve">Reduce </w:t>
      </w:r>
      <w:r w:rsidRPr="000B7D78" w:rsidR="00441D0C">
        <w:rPr>
          <w:sz w:val="26"/>
          <w:szCs w:val="26"/>
        </w:rPr>
        <w:t xml:space="preserve">a </w:t>
      </w:r>
      <w:r w:rsidRPr="000B7D78">
        <w:rPr>
          <w:sz w:val="26"/>
          <w:szCs w:val="26"/>
        </w:rPr>
        <w:t xml:space="preserve">proposed requirement that would require </w:t>
      </w:r>
      <w:r w:rsidRPr="000B7D78" w:rsidR="001D2B48">
        <w:rPr>
          <w:sz w:val="26"/>
          <w:szCs w:val="26"/>
        </w:rPr>
        <w:t xml:space="preserve">use of </w:t>
      </w:r>
      <w:r w:rsidRPr="000B7D78" w:rsidR="002D2DA5">
        <w:rPr>
          <w:sz w:val="26"/>
          <w:szCs w:val="26"/>
        </w:rPr>
        <w:t xml:space="preserve">“lane signal” signs </w:t>
      </w:r>
      <w:r w:rsidRPr="000B7D78" w:rsidR="006119F5">
        <w:rPr>
          <w:sz w:val="26"/>
          <w:szCs w:val="26"/>
        </w:rPr>
        <w:t>and visibility</w:t>
      </w:r>
      <w:r w:rsidRPr="000B7D78" w:rsidR="00441D0C">
        <w:rPr>
          <w:sz w:val="26"/>
          <w:szCs w:val="26"/>
        </w:rPr>
        <w:t>-</w:t>
      </w:r>
      <w:r w:rsidRPr="000B7D78" w:rsidR="006119F5">
        <w:rPr>
          <w:sz w:val="26"/>
          <w:szCs w:val="26"/>
        </w:rPr>
        <w:t xml:space="preserve">limited signal </w:t>
      </w:r>
      <w:r w:rsidRPr="000B7D78" w:rsidR="008B1996">
        <w:rPr>
          <w:sz w:val="26"/>
          <w:szCs w:val="26"/>
        </w:rPr>
        <w:t>faces on pre-signals.</w:t>
      </w:r>
    </w:p>
    <w:p w:rsidRPr="000B7D78" w:rsidR="000A3A73" w:rsidP="002D64A9" w:rsidRDefault="00543D73" w14:paraId="026E9675" w14:textId="537F74DB">
      <w:pPr>
        <w:pStyle w:val="ListParagraph"/>
        <w:numPr>
          <w:ilvl w:val="0"/>
          <w:numId w:val="9"/>
        </w:numPr>
        <w:spacing w:after="120"/>
        <w:ind w:left="1080" w:right="1440"/>
        <w:rPr>
          <w:sz w:val="26"/>
          <w:szCs w:val="26"/>
        </w:rPr>
      </w:pPr>
      <w:r w:rsidRPr="000B7D78">
        <w:rPr>
          <w:sz w:val="26"/>
          <w:szCs w:val="26"/>
        </w:rPr>
        <w:t>Modify the proposed requirement to place turn prohibition signs at a pre-signal, rather than beyond a pre-signal at the downstream intersection.</w:t>
      </w:r>
    </w:p>
    <w:p w:rsidRPr="000B7D78" w:rsidR="00543D73" w:rsidP="002D64A9" w:rsidRDefault="009A1990" w14:paraId="6696793C" w14:textId="49A680C9">
      <w:pPr>
        <w:pStyle w:val="ListParagraph"/>
        <w:numPr>
          <w:ilvl w:val="0"/>
          <w:numId w:val="9"/>
        </w:numPr>
        <w:spacing w:after="120"/>
        <w:ind w:left="1080" w:right="1440"/>
        <w:rPr>
          <w:sz w:val="26"/>
          <w:szCs w:val="26"/>
        </w:rPr>
      </w:pPr>
      <w:r w:rsidRPr="000B7D78">
        <w:rPr>
          <w:sz w:val="26"/>
          <w:szCs w:val="26"/>
        </w:rPr>
        <w:t xml:space="preserve">Delete </w:t>
      </w:r>
      <w:r w:rsidRPr="000B7D78" w:rsidR="00D77B83">
        <w:rPr>
          <w:sz w:val="26"/>
          <w:szCs w:val="26"/>
        </w:rPr>
        <w:t xml:space="preserve">guidance language which suggests using </w:t>
      </w:r>
      <w:r w:rsidRPr="000B7D78">
        <w:rPr>
          <w:sz w:val="26"/>
          <w:szCs w:val="26"/>
        </w:rPr>
        <w:t xml:space="preserve">a bell in </w:t>
      </w:r>
      <w:r w:rsidRPr="000B7D78" w:rsidR="00C324B4">
        <w:rPr>
          <w:sz w:val="26"/>
          <w:szCs w:val="26"/>
        </w:rPr>
        <w:t xml:space="preserve">conjunction with </w:t>
      </w:r>
      <w:r w:rsidRPr="000B7D78" w:rsidR="00C8515D">
        <w:rPr>
          <w:sz w:val="26"/>
          <w:szCs w:val="26"/>
        </w:rPr>
        <w:t>traffic control signals</w:t>
      </w:r>
      <w:r w:rsidRPr="000B7D78" w:rsidR="00D77B83">
        <w:rPr>
          <w:sz w:val="26"/>
          <w:szCs w:val="26"/>
        </w:rPr>
        <w:t>.</w:t>
      </w:r>
    </w:p>
    <w:p w:rsidRPr="000B7D78" w:rsidR="00AB1DA2" w:rsidP="00AB1DA2" w:rsidRDefault="00AB1DA2" w14:paraId="2B87DA8D" w14:textId="77777777">
      <w:pPr>
        <w:rPr>
          <w:sz w:val="26"/>
          <w:szCs w:val="26"/>
        </w:rPr>
      </w:pPr>
    </w:p>
    <w:p w:rsidR="00AB1DA2" w:rsidP="00AB1DA2" w:rsidRDefault="00AB1DA2" w14:paraId="294B4827" w14:textId="0AB85D62">
      <w:pPr>
        <w:rPr>
          <w:b/>
          <w:bCs/>
          <w:sz w:val="26"/>
          <w:szCs w:val="26"/>
        </w:rPr>
      </w:pPr>
      <w:r w:rsidRPr="000B7D78">
        <w:rPr>
          <w:b/>
          <w:bCs/>
          <w:sz w:val="26"/>
          <w:szCs w:val="26"/>
        </w:rPr>
        <w:t xml:space="preserve">Topic 2: </w:t>
      </w:r>
      <w:r w:rsidRPr="000B7D78" w:rsidR="00C957EA">
        <w:rPr>
          <w:b/>
          <w:bCs/>
          <w:sz w:val="26"/>
          <w:szCs w:val="26"/>
        </w:rPr>
        <w:t>Pedestrian Safety</w:t>
      </w:r>
    </w:p>
    <w:p w:rsidRPr="000B7D78" w:rsidR="002D64A9" w:rsidP="00AB1DA2" w:rsidRDefault="002D64A9" w14:paraId="5DE32C9A" w14:textId="77777777">
      <w:pPr>
        <w:rPr>
          <w:b/>
          <w:bCs/>
          <w:sz w:val="26"/>
          <w:szCs w:val="26"/>
        </w:rPr>
      </w:pPr>
    </w:p>
    <w:p w:rsidR="00532AE2" w:rsidP="00532AE2" w:rsidRDefault="00571F9C" w14:paraId="0D24187B" w14:textId="6F32EC08">
      <w:pPr>
        <w:rPr>
          <w:sz w:val="26"/>
          <w:szCs w:val="26"/>
        </w:rPr>
      </w:pPr>
      <w:r w:rsidRPr="000B7D78">
        <w:rPr>
          <w:sz w:val="26"/>
          <w:szCs w:val="26"/>
        </w:rPr>
        <w:t xml:space="preserve">The </w:t>
      </w:r>
      <w:r w:rsidRPr="000B7D78">
        <w:rPr>
          <w:i/>
          <w:iCs/>
          <w:sz w:val="26"/>
          <w:szCs w:val="26"/>
        </w:rPr>
        <w:t>NPA</w:t>
      </w:r>
      <w:r w:rsidRPr="000B7D78">
        <w:rPr>
          <w:sz w:val="26"/>
          <w:szCs w:val="26"/>
        </w:rPr>
        <w:t xml:space="preserve"> proposes extensive revisions regarding sidewalks and pathways.  These changes may significantly change the requirements for pedestrian and bicycle treatments at or near grade crossings, which may impact public safety.</w:t>
      </w:r>
      <w:r w:rsidRPr="000B7D78" w:rsidR="002169E7">
        <w:rPr>
          <w:sz w:val="26"/>
          <w:szCs w:val="26"/>
        </w:rPr>
        <w:t xml:space="preserve">  </w:t>
      </w:r>
      <w:r w:rsidRPr="000B7D78" w:rsidR="00BC5544">
        <w:rPr>
          <w:sz w:val="26"/>
          <w:szCs w:val="26"/>
        </w:rPr>
        <w:t>Staff proposes comments on this topic including the following:</w:t>
      </w:r>
    </w:p>
    <w:p w:rsidRPr="000B7D78" w:rsidR="002D64A9" w:rsidP="00532AE2" w:rsidRDefault="002D64A9" w14:paraId="0F95D1D1" w14:textId="77777777">
      <w:pPr>
        <w:rPr>
          <w:sz w:val="26"/>
          <w:szCs w:val="26"/>
        </w:rPr>
      </w:pPr>
    </w:p>
    <w:p w:rsidRPr="000B7D78" w:rsidR="00462892" w:rsidP="005724BA" w:rsidRDefault="00026B29" w14:paraId="18B662CD" w14:textId="465FBB26">
      <w:pPr>
        <w:pStyle w:val="ListParagraph"/>
        <w:numPr>
          <w:ilvl w:val="0"/>
          <w:numId w:val="11"/>
        </w:numPr>
        <w:spacing w:after="120"/>
        <w:ind w:right="720"/>
        <w:rPr>
          <w:sz w:val="26"/>
          <w:szCs w:val="26"/>
        </w:rPr>
      </w:pPr>
      <w:r w:rsidRPr="000B7D78">
        <w:rPr>
          <w:sz w:val="26"/>
          <w:szCs w:val="26"/>
        </w:rPr>
        <w:t xml:space="preserve">Allow </w:t>
      </w:r>
      <w:r w:rsidRPr="000B7D78" w:rsidR="00460AB0">
        <w:rPr>
          <w:sz w:val="26"/>
          <w:szCs w:val="26"/>
        </w:rPr>
        <w:t xml:space="preserve">some signs to use </w:t>
      </w:r>
      <w:r w:rsidRPr="000B7D78">
        <w:rPr>
          <w:sz w:val="26"/>
          <w:szCs w:val="26"/>
        </w:rPr>
        <w:t xml:space="preserve">smaller </w:t>
      </w:r>
      <w:r w:rsidRPr="000B7D78" w:rsidR="000516A9">
        <w:rPr>
          <w:sz w:val="26"/>
          <w:szCs w:val="26"/>
        </w:rPr>
        <w:t>size</w:t>
      </w:r>
      <w:r w:rsidRPr="000B7D78">
        <w:rPr>
          <w:sz w:val="26"/>
          <w:szCs w:val="26"/>
        </w:rPr>
        <w:t>s</w:t>
      </w:r>
      <w:r w:rsidRPr="000B7D78" w:rsidR="00055CB0">
        <w:rPr>
          <w:sz w:val="26"/>
          <w:szCs w:val="26"/>
        </w:rPr>
        <w:t xml:space="preserve"> </w:t>
      </w:r>
      <w:r w:rsidRPr="000B7D78" w:rsidR="000516A9">
        <w:rPr>
          <w:sz w:val="26"/>
          <w:szCs w:val="26"/>
        </w:rPr>
        <w:t xml:space="preserve">for pedestrian </w:t>
      </w:r>
      <w:r w:rsidRPr="000B7D78" w:rsidR="00C767C0">
        <w:rPr>
          <w:sz w:val="26"/>
          <w:szCs w:val="26"/>
        </w:rPr>
        <w:t>and bicycle use.</w:t>
      </w:r>
    </w:p>
    <w:p w:rsidRPr="000B7D78" w:rsidR="003649A5" w:rsidP="005724BA" w:rsidRDefault="00460AB0" w14:paraId="19DF2EBC" w14:textId="08A682B9">
      <w:pPr>
        <w:pStyle w:val="ListParagraph"/>
        <w:numPr>
          <w:ilvl w:val="0"/>
          <w:numId w:val="11"/>
        </w:numPr>
        <w:spacing w:after="120"/>
        <w:ind w:right="720"/>
        <w:rPr>
          <w:sz w:val="26"/>
          <w:szCs w:val="26"/>
        </w:rPr>
      </w:pPr>
      <w:r w:rsidRPr="000B7D78">
        <w:rPr>
          <w:sz w:val="26"/>
          <w:szCs w:val="26"/>
        </w:rPr>
        <w:t>Make v</w:t>
      </w:r>
      <w:r w:rsidRPr="000B7D78" w:rsidR="004A7638">
        <w:rPr>
          <w:sz w:val="26"/>
          <w:szCs w:val="26"/>
        </w:rPr>
        <w:t>arious c</w:t>
      </w:r>
      <w:r w:rsidRPr="000B7D78" w:rsidR="003649A5">
        <w:rPr>
          <w:sz w:val="26"/>
          <w:szCs w:val="26"/>
        </w:rPr>
        <w:t>orrections to figure number</w:t>
      </w:r>
      <w:r w:rsidRPr="000B7D78">
        <w:rPr>
          <w:sz w:val="26"/>
          <w:szCs w:val="26"/>
        </w:rPr>
        <w:t>s</w:t>
      </w:r>
      <w:r w:rsidRPr="000B7D78" w:rsidR="004A7638">
        <w:rPr>
          <w:sz w:val="26"/>
          <w:szCs w:val="26"/>
        </w:rPr>
        <w:t xml:space="preserve">, figure </w:t>
      </w:r>
      <w:r w:rsidRPr="000B7D78" w:rsidR="003959B1">
        <w:rPr>
          <w:sz w:val="26"/>
          <w:szCs w:val="26"/>
        </w:rPr>
        <w:t>titles</w:t>
      </w:r>
      <w:r w:rsidRPr="000B7D78" w:rsidR="001B1CBB">
        <w:rPr>
          <w:sz w:val="26"/>
          <w:szCs w:val="26"/>
        </w:rPr>
        <w:t>, table number</w:t>
      </w:r>
      <w:r w:rsidRPr="000B7D78">
        <w:rPr>
          <w:sz w:val="26"/>
          <w:szCs w:val="26"/>
        </w:rPr>
        <w:t>s</w:t>
      </w:r>
      <w:r w:rsidRPr="000B7D78" w:rsidR="001B1CBB">
        <w:rPr>
          <w:sz w:val="26"/>
          <w:szCs w:val="26"/>
        </w:rPr>
        <w:t xml:space="preserve"> and </w:t>
      </w:r>
      <w:r w:rsidRPr="000B7D78" w:rsidR="004A7638">
        <w:rPr>
          <w:sz w:val="26"/>
          <w:szCs w:val="26"/>
        </w:rPr>
        <w:t xml:space="preserve">sign </w:t>
      </w:r>
      <w:r w:rsidRPr="000B7D78" w:rsidR="001B1CBB">
        <w:rPr>
          <w:sz w:val="26"/>
          <w:szCs w:val="26"/>
        </w:rPr>
        <w:t>codes.</w:t>
      </w:r>
    </w:p>
    <w:p w:rsidRPr="000B7D78" w:rsidR="00907400" w:rsidP="005724BA" w:rsidRDefault="004D6EC0" w14:paraId="0675A19D" w14:textId="195C9F57">
      <w:pPr>
        <w:pStyle w:val="ListParagraph"/>
        <w:numPr>
          <w:ilvl w:val="0"/>
          <w:numId w:val="11"/>
        </w:numPr>
        <w:spacing w:after="120"/>
        <w:ind w:right="720"/>
        <w:rPr>
          <w:sz w:val="26"/>
          <w:szCs w:val="26"/>
        </w:rPr>
      </w:pPr>
      <w:r w:rsidRPr="000B7D78">
        <w:rPr>
          <w:sz w:val="26"/>
          <w:szCs w:val="26"/>
        </w:rPr>
        <w:t>Revise g</w:t>
      </w:r>
      <w:r w:rsidRPr="000B7D78" w:rsidR="00907400">
        <w:rPr>
          <w:sz w:val="26"/>
          <w:szCs w:val="26"/>
        </w:rPr>
        <w:t xml:space="preserve">uidance to </w:t>
      </w:r>
      <w:r w:rsidRPr="000B7D78">
        <w:rPr>
          <w:sz w:val="26"/>
          <w:szCs w:val="26"/>
        </w:rPr>
        <w:t xml:space="preserve">discourage </w:t>
      </w:r>
      <w:r w:rsidRPr="000B7D78" w:rsidR="00243063">
        <w:rPr>
          <w:sz w:val="26"/>
          <w:szCs w:val="26"/>
        </w:rPr>
        <w:t xml:space="preserve">a </w:t>
      </w:r>
      <w:r w:rsidRPr="000B7D78" w:rsidR="00907400">
        <w:rPr>
          <w:sz w:val="26"/>
          <w:szCs w:val="26"/>
        </w:rPr>
        <w:t xml:space="preserve">narrow angle </w:t>
      </w:r>
      <w:r w:rsidRPr="000B7D78" w:rsidR="00243063">
        <w:rPr>
          <w:sz w:val="26"/>
          <w:szCs w:val="26"/>
        </w:rPr>
        <w:t xml:space="preserve">of approach to tracks, </w:t>
      </w:r>
      <w:r w:rsidRPr="000B7D78" w:rsidR="00907400">
        <w:rPr>
          <w:sz w:val="26"/>
          <w:szCs w:val="26"/>
        </w:rPr>
        <w:t xml:space="preserve">rather than </w:t>
      </w:r>
      <w:r w:rsidRPr="000B7D78" w:rsidR="00243063">
        <w:rPr>
          <w:sz w:val="26"/>
          <w:szCs w:val="26"/>
        </w:rPr>
        <w:t xml:space="preserve">emphasizing a </w:t>
      </w:r>
      <w:r w:rsidRPr="000B7D78" w:rsidR="00907400">
        <w:rPr>
          <w:sz w:val="26"/>
          <w:szCs w:val="26"/>
        </w:rPr>
        <w:t>perpendicular angle.</w:t>
      </w:r>
    </w:p>
    <w:p w:rsidRPr="000B7D78" w:rsidR="00143FA3" w:rsidP="005724BA" w:rsidRDefault="00DC366B" w14:paraId="5DF95D2B" w14:textId="268A11F2">
      <w:pPr>
        <w:pStyle w:val="ListParagraph"/>
        <w:numPr>
          <w:ilvl w:val="0"/>
          <w:numId w:val="11"/>
        </w:numPr>
        <w:spacing w:after="120"/>
        <w:ind w:right="720"/>
        <w:rPr>
          <w:sz w:val="26"/>
          <w:szCs w:val="26"/>
        </w:rPr>
      </w:pPr>
      <w:r w:rsidRPr="000B7D78">
        <w:rPr>
          <w:sz w:val="26"/>
          <w:szCs w:val="26"/>
        </w:rPr>
        <w:t xml:space="preserve">Clarify </w:t>
      </w:r>
      <w:r w:rsidRPr="000B7D78" w:rsidR="00143FA3">
        <w:rPr>
          <w:sz w:val="26"/>
          <w:szCs w:val="26"/>
        </w:rPr>
        <w:t>that detectable warning should be placed at both swing gates and automatic gates</w:t>
      </w:r>
      <w:r w:rsidRPr="000B7D78" w:rsidR="00C767C0">
        <w:rPr>
          <w:sz w:val="26"/>
          <w:szCs w:val="26"/>
        </w:rPr>
        <w:t>.</w:t>
      </w:r>
    </w:p>
    <w:p w:rsidRPr="000B7D78" w:rsidR="00DC366B" w:rsidP="005724BA" w:rsidRDefault="00143FA3" w14:paraId="069907F6" w14:textId="7441C460">
      <w:pPr>
        <w:pStyle w:val="ListParagraph"/>
        <w:numPr>
          <w:ilvl w:val="0"/>
          <w:numId w:val="11"/>
        </w:numPr>
        <w:spacing w:after="120"/>
        <w:ind w:right="720"/>
        <w:rPr>
          <w:sz w:val="26"/>
          <w:szCs w:val="26"/>
        </w:rPr>
      </w:pPr>
      <w:r w:rsidRPr="000B7D78">
        <w:rPr>
          <w:sz w:val="26"/>
          <w:szCs w:val="26"/>
        </w:rPr>
        <w:t xml:space="preserve">Clarify that detectable warning should be placed </w:t>
      </w:r>
      <w:r w:rsidRPr="000B7D78" w:rsidR="00672F3F">
        <w:rPr>
          <w:sz w:val="26"/>
          <w:szCs w:val="26"/>
        </w:rPr>
        <w:t>two</w:t>
      </w:r>
      <w:r w:rsidRPr="000B7D78">
        <w:rPr>
          <w:sz w:val="26"/>
          <w:szCs w:val="26"/>
        </w:rPr>
        <w:t xml:space="preserve"> feet in advance of warning devices</w:t>
      </w:r>
      <w:r w:rsidRPr="000B7D78" w:rsidR="00C767C0">
        <w:rPr>
          <w:sz w:val="26"/>
          <w:szCs w:val="26"/>
        </w:rPr>
        <w:t>.</w:t>
      </w:r>
    </w:p>
    <w:p w:rsidRPr="000B7D78" w:rsidR="00486CEB" w:rsidP="005724BA" w:rsidRDefault="001A2E00" w14:paraId="56503700" w14:textId="1A178206">
      <w:pPr>
        <w:pStyle w:val="ListParagraph"/>
        <w:numPr>
          <w:ilvl w:val="0"/>
          <w:numId w:val="11"/>
        </w:numPr>
        <w:spacing w:after="120"/>
        <w:ind w:right="720"/>
        <w:rPr>
          <w:sz w:val="26"/>
          <w:szCs w:val="26"/>
        </w:rPr>
      </w:pPr>
      <w:r w:rsidRPr="000B7D78">
        <w:rPr>
          <w:sz w:val="26"/>
          <w:szCs w:val="26"/>
        </w:rPr>
        <w:t xml:space="preserve">Allow </w:t>
      </w:r>
      <w:r w:rsidRPr="000B7D78" w:rsidR="00DC366B">
        <w:rPr>
          <w:sz w:val="26"/>
          <w:szCs w:val="26"/>
        </w:rPr>
        <w:t xml:space="preserve">placement of detectable warning </w:t>
      </w:r>
      <w:r w:rsidRPr="000B7D78" w:rsidR="00EC2CC3">
        <w:rPr>
          <w:sz w:val="26"/>
          <w:szCs w:val="26"/>
        </w:rPr>
        <w:t xml:space="preserve">at less than 12 feet from </w:t>
      </w:r>
      <w:r w:rsidRPr="000B7D78">
        <w:rPr>
          <w:sz w:val="26"/>
          <w:szCs w:val="26"/>
        </w:rPr>
        <w:t xml:space="preserve">the </w:t>
      </w:r>
      <w:r w:rsidRPr="000B7D78" w:rsidR="00EC2CC3">
        <w:rPr>
          <w:sz w:val="26"/>
          <w:szCs w:val="26"/>
        </w:rPr>
        <w:t>nearest</w:t>
      </w:r>
      <w:r w:rsidRPr="000B7D78">
        <w:rPr>
          <w:sz w:val="26"/>
          <w:szCs w:val="26"/>
        </w:rPr>
        <w:t xml:space="preserve"> </w:t>
      </w:r>
      <w:r w:rsidRPr="000B7D78" w:rsidR="00EC2CC3">
        <w:rPr>
          <w:sz w:val="26"/>
          <w:szCs w:val="26"/>
        </w:rPr>
        <w:t xml:space="preserve">rail in certain situations, such as pedestrian crossings </w:t>
      </w:r>
      <w:r w:rsidRPr="000B7D78" w:rsidR="00C767C0">
        <w:rPr>
          <w:sz w:val="26"/>
          <w:szCs w:val="26"/>
        </w:rPr>
        <w:t xml:space="preserve">at </w:t>
      </w:r>
      <w:r w:rsidRPr="000B7D78" w:rsidR="00285CC0">
        <w:rPr>
          <w:sz w:val="26"/>
          <w:szCs w:val="26"/>
        </w:rPr>
        <w:t>LRT</w:t>
      </w:r>
      <w:r w:rsidRPr="000B7D78" w:rsidR="00C767C0">
        <w:rPr>
          <w:sz w:val="26"/>
          <w:szCs w:val="26"/>
        </w:rPr>
        <w:t xml:space="preserve"> stations.</w:t>
      </w:r>
    </w:p>
    <w:p w:rsidRPr="000B7D78" w:rsidR="00DE2A53" w:rsidP="005724BA" w:rsidRDefault="004D2410" w14:paraId="4ADD8A7E" w14:textId="09ABF91D">
      <w:pPr>
        <w:pStyle w:val="ListParagraph"/>
        <w:numPr>
          <w:ilvl w:val="0"/>
          <w:numId w:val="11"/>
        </w:numPr>
        <w:spacing w:after="120"/>
        <w:ind w:right="720"/>
        <w:rPr>
          <w:sz w:val="26"/>
          <w:szCs w:val="26"/>
        </w:rPr>
      </w:pPr>
      <w:r w:rsidRPr="000B7D78">
        <w:rPr>
          <w:sz w:val="26"/>
          <w:szCs w:val="26"/>
        </w:rPr>
        <w:t xml:space="preserve">Clarify </w:t>
      </w:r>
      <w:r w:rsidRPr="000B7D78" w:rsidR="001F2FB9">
        <w:rPr>
          <w:sz w:val="26"/>
          <w:szCs w:val="26"/>
        </w:rPr>
        <w:t>multiple figures through</w:t>
      </w:r>
      <w:r w:rsidRPr="000B7D78">
        <w:rPr>
          <w:sz w:val="26"/>
          <w:szCs w:val="26"/>
        </w:rPr>
        <w:t xml:space="preserve"> changes including</w:t>
      </w:r>
      <w:r w:rsidRPr="000B7D78" w:rsidR="00DE2A53">
        <w:rPr>
          <w:sz w:val="26"/>
          <w:szCs w:val="26"/>
        </w:rPr>
        <w:t>:</w:t>
      </w:r>
      <w:r w:rsidRPr="000B7D78" w:rsidR="001F2FB9">
        <w:rPr>
          <w:sz w:val="26"/>
          <w:szCs w:val="26"/>
        </w:rPr>
        <w:t xml:space="preserve"> </w:t>
      </w:r>
    </w:p>
    <w:p w:rsidRPr="000B7D78" w:rsidR="00432A4B" w:rsidP="005724BA" w:rsidRDefault="004D2410" w14:paraId="3E682B5D" w14:textId="7400537B">
      <w:pPr>
        <w:pStyle w:val="ListParagraph"/>
        <w:numPr>
          <w:ilvl w:val="1"/>
          <w:numId w:val="11"/>
        </w:numPr>
        <w:spacing w:after="120"/>
        <w:ind w:right="720"/>
        <w:rPr>
          <w:sz w:val="26"/>
          <w:szCs w:val="26"/>
        </w:rPr>
      </w:pPr>
      <w:r w:rsidRPr="000B7D78">
        <w:rPr>
          <w:sz w:val="26"/>
          <w:szCs w:val="26"/>
        </w:rPr>
        <w:t xml:space="preserve">Remove </w:t>
      </w:r>
      <w:r w:rsidRPr="000B7D78" w:rsidR="003806C6">
        <w:rPr>
          <w:sz w:val="26"/>
          <w:szCs w:val="26"/>
        </w:rPr>
        <w:t>detail</w:t>
      </w:r>
      <w:r w:rsidRPr="000B7D78" w:rsidR="00432A4B">
        <w:rPr>
          <w:sz w:val="26"/>
          <w:szCs w:val="26"/>
        </w:rPr>
        <w:t xml:space="preserve"> in example figures</w:t>
      </w:r>
      <w:r w:rsidRPr="000B7D78" w:rsidR="003806C6">
        <w:rPr>
          <w:sz w:val="26"/>
          <w:szCs w:val="26"/>
        </w:rPr>
        <w:t xml:space="preserve"> that is unnecessary, redundant</w:t>
      </w:r>
      <w:r w:rsidRPr="000B7D78" w:rsidR="00672F3F">
        <w:rPr>
          <w:sz w:val="26"/>
          <w:szCs w:val="26"/>
        </w:rPr>
        <w:t>,</w:t>
      </w:r>
      <w:r w:rsidRPr="000B7D78" w:rsidR="003806C6">
        <w:rPr>
          <w:sz w:val="26"/>
          <w:szCs w:val="26"/>
        </w:rPr>
        <w:t xml:space="preserve"> or confusing</w:t>
      </w:r>
      <w:r w:rsidRPr="000B7D78">
        <w:rPr>
          <w:sz w:val="26"/>
          <w:szCs w:val="26"/>
        </w:rPr>
        <w:t>.</w:t>
      </w:r>
    </w:p>
    <w:p w:rsidRPr="000B7D78" w:rsidR="001A2E00" w:rsidP="005724BA" w:rsidRDefault="004D2410" w14:paraId="77DDA7CD" w14:textId="32CD01DB">
      <w:pPr>
        <w:pStyle w:val="ListParagraph"/>
        <w:numPr>
          <w:ilvl w:val="1"/>
          <w:numId w:val="11"/>
        </w:numPr>
        <w:spacing w:after="120"/>
        <w:ind w:right="720"/>
        <w:rPr>
          <w:sz w:val="26"/>
          <w:szCs w:val="26"/>
        </w:rPr>
      </w:pPr>
      <w:r w:rsidRPr="000B7D78">
        <w:rPr>
          <w:sz w:val="26"/>
          <w:szCs w:val="26"/>
        </w:rPr>
        <w:t xml:space="preserve">Clarify that the </w:t>
      </w:r>
      <w:r w:rsidRPr="000B7D78" w:rsidR="001F2FB9">
        <w:rPr>
          <w:sz w:val="26"/>
          <w:szCs w:val="26"/>
        </w:rPr>
        <w:t>stop line</w:t>
      </w:r>
      <w:r w:rsidRPr="000B7D78" w:rsidR="00DE2A53">
        <w:rPr>
          <w:sz w:val="26"/>
          <w:szCs w:val="26"/>
        </w:rPr>
        <w:t xml:space="preserve"> </w:t>
      </w:r>
      <w:r w:rsidRPr="000B7D78">
        <w:rPr>
          <w:sz w:val="26"/>
          <w:szCs w:val="26"/>
        </w:rPr>
        <w:t xml:space="preserve">is optional </w:t>
      </w:r>
      <w:r w:rsidRPr="000B7D78" w:rsidR="00DE2A53">
        <w:rPr>
          <w:sz w:val="26"/>
          <w:szCs w:val="26"/>
        </w:rPr>
        <w:t>along sidewalks</w:t>
      </w:r>
      <w:r w:rsidRPr="000B7D78">
        <w:rPr>
          <w:sz w:val="26"/>
          <w:szCs w:val="26"/>
        </w:rPr>
        <w:t>.</w:t>
      </w:r>
      <w:r w:rsidRPr="000B7D78" w:rsidR="00DE2A53">
        <w:rPr>
          <w:sz w:val="26"/>
          <w:szCs w:val="26"/>
        </w:rPr>
        <w:t xml:space="preserve"> </w:t>
      </w:r>
    </w:p>
    <w:p w:rsidRPr="000B7D78" w:rsidR="00DE2A53" w:rsidP="005724BA" w:rsidRDefault="004D2410" w14:paraId="4B4FE1EB" w14:textId="63854646">
      <w:pPr>
        <w:pStyle w:val="ListParagraph"/>
        <w:numPr>
          <w:ilvl w:val="1"/>
          <w:numId w:val="11"/>
        </w:numPr>
        <w:spacing w:after="120"/>
        <w:ind w:right="720"/>
        <w:rPr>
          <w:sz w:val="26"/>
          <w:szCs w:val="26"/>
        </w:rPr>
      </w:pPr>
      <w:r w:rsidRPr="000B7D78">
        <w:rPr>
          <w:sz w:val="26"/>
          <w:szCs w:val="26"/>
        </w:rPr>
        <w:t xml:space="preserve">Relocate the </w:t>
      </w:r>
      <w:r w:rsidRPr="000B7D78" w:rsidR="00DE2A53">
        <w:rPr>
          <w:sz w:val="26"/>
          <w:szCs w:val="26"/>
        </w:rPr>
        <w:t xml:space="preserve">detectable warning to </w:t>
      </w:r>
      <w:r w:rsidRPr="000B7D78">
        <w:rPr>
          <w:sz w:val="26"/>
          <w:szCs w:val="26"/>
        </w:rPr>
        <w:t xml:space="preserve">be shown </w:t>
      </w:r>
      <w:r w:rsidRPr="000B7D78" w:rsidR="00672F3F">
        <w:rPr>
          <w:sz w:val="26"/>
          <w:szCs w:val="26"/>
        </w:rPr>
        <w:t>two</w:t>
      </w:r>
      <w:r w:rsidRPr="000B7D78" w:rsidR="00DE2A53">
        <w:rPr>
          <w:sz w:val="26"/>
          <w:szCs w:val="26"/>
        </w:rPr>
        <w:t xml:space="preserve"> feet in advance of warning devices</w:t>
      </w:r>
      <w:r w:rsidRPr="000B7D78">
        <w:rPr>
          <w:sz w:val="26"/>
          <w:szCs w:val="26"/>
        </w:rPr>
        <w:t>.</w:t>
      </w:r>
    </w:p>
    <w:p w:rsidRPr="000B7D78" w:rsidR="00DE2A53" w:rsidP="005724BA" w:rsidRDefault="00BA3F98" w14:paraId="77CD31EB" w14:textId="300CC55C">
      <w:pPr>
        <w:pStyle w:val="ListParagraph"/>
        <w:numPr>
          <w:ilvl w:val="1"/>
          <w:numId w:val="11"/>
        </w:numPr>
        <w:spacing w:after="120"/>
        <w:ind w:right="720"/>
        <w:rPr>
          <w:sz w:val="26"/>
          <w:szCs w:val="26"/>
        </w:rPr>
      </w:pPr>
      <w:r w:rsidRPr="000B7D78">
        <w:rPr>
          <w:sz w:val="26"/>
          <w:szCs w:val="26"/>
        </w:rPr>
        <w:t xml:space="preserve">Reference most </w:t>
      </w:r>
      <w:r w:rsidRPr="000B7D78" w:rsidR="00137A26">
        <w:rPr>
          <w:sz w:val="26"/>
          <w:szCs w:val="26"/>
        </w:rPr>
        <w:t xml:space="preserve">dimensions </w:t>
      </w:r>
      <w:r w:rsidRPr="000B7D78">
        <w:rPr>
          <w:sz w:val="26"/>
          <w:szCs w:val="26"/>
        </w:rPr>
        <w:t xml:space="preserve">to the </w:t>
      </w:r>
      <w:r w:rsidRPr="000B7D78" w:rsidR="00137A26">
        <w:rPr>
          <w:sz w:val="26"/>
          <w:szCs w:val="26"/>
        </w:rPr>
        <w:t>nearest rail, rather than center of track</w:t>
      </w:r>
      <w:r w:rsidRPr="000B7D78">
        <w:rPr>
          <w:sz w:val="26"/>
          <w:szCs w:val="26"/>
        </w:rPr>
        <w:t>.</w:t>
      </w:r>
    </w:p>
    <w:p w:rsidRPr="000B7D78" w:rsidR="00BD38D9" w:rsidP="005724BA" w:rsidRDefault="00BA3F98" w14:paraId="1F387D71" w14:textId="6A19D91A">
      <w:pPr>
        <w:pStyle w:val="ListParagraph"/>
        <w:numPr>
          <w:ilvl w:val="1"/>
          <w:numId w:val="11"/>
        </w:numPr>
        <w:spacing w:after="120"/>
        <w:ind w:right="720"/>
        <w:rPr>
          <w:sz w:val="26"/>
          <w:szCs w:val="26"/>
        </w:rPr>
      </w:pPr>
      <w:r w:rsidRPr="000B7D78">
        <w:rPr>
          <w:sz w:val="26"/>
          <w:szCs w:val="26"/>
        </w:rPr>
        <w:t>S</w:t>
      </w:r>
      <w:r w:rsidRPr="000B7D78" w:rsidR="00BD38D9">
        <w:rPr>
          <w:sz w:val="26"/>
          <w:szCs w:val="26"/>
        </w:rPr>
        <w:t xml:space="preserve">how </w:t>
      </w:r>
      <w:r w:rsidRPr="000B7D78" w:rsidR="003365A3">
        <w:rPr>
          <w:sz w:val="26"/>
          <w:szCs w:val="26"/>
        </w:rPr>
        <w:t xml:space="preserve">location of </w:t>
      </w:r>
      <w:r w:rsidRPr="000B7D78">
        <w:rPr>
          <w:sz w:val="26"/>
          <w:szCs w:val="26"/>
        </w:rPr>
        <w:t xml:space="preserve">advance warning </w:t>
      </w:r>
      <w:r w:rsidRPr="000B7D78" w:rsidR="00BD38D9">
        <w:rPr>
          <w:sz w:val="26"/>
          <w:szCs w:val="26"/>
        </w:rPr>
        <w:t>sign adjacent to advance warning markings</w:t>
      </w:r>
      <w:r w:rsidRPr="000B7D78" w:rsidR="003365A3">
        <w:rPr>
          <w:sz w:val="26"/>
          <w:szCs w:val="26"/>
        </w:rPr>
        <w:t>.</w:t>
      </w:r>
    </w:p>
    <w:p w:rsidRPr="000B7D78" w:rsidR="00350838" w:rsidP="005724BA" w:rsidRDefault="00EA0D23" w14:paraId="0C9EC3E1" w14:textId="7C74BFDA">
      <w:pPr>
        <w:pStyle w:val="ListParagraph"/>
        <w:numPr>
          <w:ilvl w:val="0"/>
          <w:numId w:val="11"/>
        </w:numPr>
        <w:spacing w:after="120"/>
        <w:ind w:right="720"/>
        <w:rPr>
          <w:sz w:val="26"/>
          <w:szCs w:val="26"/>
        </w:rPr>
      </w:pPr>
      <w:r w:rsidRPr="000B7D78">
        <w:rPr>
          <w:sz w:val="26"/>
          <w:szCs w:val="26"/>
        </w:rPr>
        <w:lastRenderedPageBreak/>
        <w:t xml:space="preserve">Allow use of the </w:t>
      </w:r>
      <w:r w:rsidRPr="000B7D78" w:rsidR="00B03FC0">
        <w:rPr>
          <w:sz w:val="26"/>
          <w:szCs w:val="26"/>
        </w:rPr>
        <w:t>“</w:t>
      </w:r>
      <w:r w:rsidRPr="000B7D78" w:rsidR="00590D7B">
        <w:rPr>
          <w:sz w:val="26"/>
          <w:szCs w:val="26"/>
        </w:rPr>
        <w:t>Light Rail Transit (Trolley) Crossing / LOOK BOTH WAYS</w:t>
      </w:r>
      <w:r w:rsidRPr="000B7D78" w:rsidR="00B03FC0">
        <w:rPr>
          <w:sz w:val="26"/>
          <w:szCs w:val="26"/>
        </w:rPr>
        <w:t>”</w:t>
      </w:r>
      <w:r w:rsidRPr="000B7D78" w:rsidR="00590D7B">
        <w:rPr>
          <w:sz w:val="26"/>
          <w:szCs w:val="26"/>
        </w:rPr>
        <w:t xml:space="preserve"> sign</w:t>
      </w:r>
      <w:r w:rsidRPr="000B7D78" w:rsidR="00D656E8">
        <w:rPr>
          <w:sz w:val="26"/>
          <w:szCs w:val="26"/>
        </w:rPr>
        <w:t>.</w:t>
      </w:r>
    </w:p>
    <w:p w:rsidRPr="000B7D78" w:rsidR="000743DA" w:rsidP="005724BA" w:rsidRDefault="00F538C6" w14:paraId="1D288C72" w14:textId="14F46849">
      <w:pPr>
        <w:pStyle w:val="ListParagraph"/>
        <w:numPr>
          <w:ilvl w:val="0"/>
          <w:numId w:val="11"/>
        </w:numPr>
        <w:spacing w:after="120"/>
        <w:ind w:right="720"/>
        <w:rPr>
          <w:sz w:val="26"/>
          <w:szCs w:val="26"/>
        </w:rPr>
      </w:pPr>
      <w:r w:rsidRPr="000B7D78">
        <w:rPr>
          <w:sz w:val="26"/>
          <w:szCs w:val="26"/>
        </w:rPr>
        <w:t xml:space="preserve">Provide </w:t>
      </w:r>
      <w:r w:rsidRPr="000B7D78" w:rsidR="00C96FC3">
        <w:rPr>
          <w:sz w:val="26"/>
          <w:szCs w:val="26"/>
        </w:rPr>
        <w:t xml:space="preserve">refuge area </w:t>
      </w:r>
      <w:r w:rsidRPr="000B7D78" w:rsidR="00D656E8">
        <w:rPr>
          <w:sz w:val="26"/>
          <w:szCs w:val="26"/>
        </w:rPr>
        <w:t xml:space="preserve">if </w:t>
      </w:r>
      <w:r w:rsidRPr="000B7D78" w:rsidR="00C96FC3">
        <w:rPr>
          <w:sz w:val="26"/>
          <w:szCs w:val="26"/>
        </w:rPr>
        <w:t>there is 30 feet</w:t>
      </w:r>
      <w:r w:rsidRPr="000B7D78" w:rsidR="00D656E8">
        <w:rPr>
          <w:sz w:val="26"/>
          <w:szCs w:val="26"/>
        </w:rPr>
        <w:t xml:space="preserve"> or more</w:t>
      </w:r>
      <w:r w:rsidRPr="000B7D78">
        <w:rPr>
          <w:sz w:val="26"/>
          <w:szCs w:val="26"/>
        </w:rPr>
        <w:t>, rather than 38 fee</w:t>
      </w:r>
      <w:r w:rsidRPr="000B7D78" w:rsidR="00D656E8">
        <w:rPr>
          <w:sz w:val="26"/>
          <w:szCs w:val="26"/>
        </w:rPr>
        <w:t>t</w:t>
      </w:r>
      <w:r w:rsidRPr="000B7D78" w:rsidR="00C96FC3">
        <w:rPr>
          <w:sz w:val="26"/>
          <w:szCs w:val="26"/>
        </w:rPr>
        <w:t xml:space="preserve"> or more</w:t>
      </w:r>
      <w:r w:rsidRPr="000B7D78" w:rsidR="00D656E8">
        <w:rPr>
          <w:sz w:val="26"/>
          <w:szCs w:val="26"/>
        </w:rPr>
        <w:t>,</w:t>
      </w:r>
      <w:r w:rsidRPr="000B7D78" w:rsidR="00C96FC3">
        <w:rPr>
          <w:sz w:val="26"/>
          <w:szCs w:val="26"/>
        </w:rPr>
        <w:t xml:space="preserve"> between nearest rails</w:t>
      </w:r>
      <w:r w:rsidRPr="000B7D78" w:rsidR="00D656E8">
        <w:rPr>
          <w:sz w:val="26"/>
          <w:szCs w:val="26"/>
        </w:rPr>
        <w:t>.</w:t>
      </w:r>
    </w:p>
    <w:p w:rsidRPr="000B7D78" w:rsidR="00C96FC3" w:rsidP="005724BA" w:rsidRDefault="00D71321" w14:paraId="5A2CC977" w14:textId="7F516F5D">
      <w:pPr>
        <w:pStyle w:val="ListParagraph"/>
        <w:numPr>
          <w:ilvl w:val="0"/>
          <w:numId w:val="11"/>
        </w:numPr>
        <w:spacing w:after="120"/>
        <w:ind w:right="720"/>
        <w:rPr>
          <w:sz w:val="26"/>
          <w:szCs w:val="26"/>
        </w:rPr>
      </w:pPr>
      <w:r w:rsidRPr="000B7D78">
        <w:rPr>
          <w:sz w:val="26"/>
          <w:szCs w:val="26"/>
        </w:rPr>
        <w:t>Use</w:t>
      </w:r>
      <w:r w:rsidRPr="000B7D78" w:rsidR="008919D2">
        <w:rPr>
          <w:sz w:val="26"/>
          <w:szCs w:val="26"/>
        </w:rPr>
        <w:t xml:space="preserve"> the</w:t>
      </w:r>
      <w:r w:rsidRPr="000B7D78">
        <w:rPr>
          <w:sz w:val="26"/>
          <w:szCs w:val="26"/>
        </w:rPr>
        <w:t xml:space="preserve"> term </w:t>
      </w:r>
      <w:r w:rsidRPr="000B7D78" w:rsidR="00E36793">
        <w:rPr>
          <w:sz w:val="26"/>
          <w:szCs w:val="26"/>
        </w:rPr>
        <w:t>“</w:t>
      </w:r>
      <w:r w:rsidRPr="000B7D78">
        <w:rPr>
          <w:sz w:val="26"/>
          <w:szCs w:val="26"/>
        </w:rPr>
        <w:t>e</w:t>
      </w:r>
      <w:r w:rsidRPr="000B7D78" w:rsidR="00E36793">
        <w:rPr>
          <w:sz w:val="26"/>
          <w:szCs w:val="26"/>
        </w:rPr>
        <w:t xml:space="preserve">mergency escape” term </w:t>
      </w:r>
      <w:r w:rsidRPr="000B7D78" w:rsidR="008919D2">
        <w:rPr>
          <w:sz w:val="26"/>
          <w:szCs w:val="26"/>
        </w:rPr>
        <w:t xml:space="preserve">rather than </w:t>
      </w:r>
      <w:r w:rsidRPr="000B7D78" w:rsidR="00E36793">
        <w:rPr>
          <w:sz w:val="26"/>
          <w:szCs w:val="26"/>
        </w:rPr>
        <w:t>“emergency exit</w:t>
      </w:r>
      <w:r w:rsidRPr="000B7D78" w:rsidR="008919D2">
        <w:rPr>
          <w:sz w:val="26"/>
          <w:szCs w:val="26"/>
        </w:rPr>
        <w:t>.</w:t>
      </w:r>
      <w:r w:rsidRPr="000B7D78" w:rsidR="00E36793">
        <w:rPr>
          <w:sz w:val="26"/>
          <w:szCs w:val="26"/>
        </w:rPr>
        <w:t>”</w:t>
      </w:r>
    </w:p>
    <w:p w:rsidRPr="000B7D78" w:rsidR="00E36793" w:rsidP="005724BA" w:rsidRDefault="00D71321" w14:paraId="5AFC9873" w14:textId="7BA59EEE">
      <w:pPr>
        <w:pStyle w:val="ListParagraph"/>
        <w:numPr>
          <w:ilvl w:val="0"/>
          <w:numId w:val="11"/>
        </w:numPr>
        <w:spacing w:after="120"/>
        <w:ind w:right="720"/>
        <w:rPr>
          <w:sz w:val="26"/>
          <w:szCs w:val="26"/>
        </w:rPr>
      </w:pPr>
      <w:r w:rsidRPr="000B7D78">
        <w:rPr>
          <w:sz w:val="26"/>
          <w:szCs w:val="26"/>
        </w:rPr>
        <w:t>Do not specify a maximum height for a “horizontal hanging bar</w:t>
      </w:r>
      <w:r w:rsidRPr="000B7D78" w:rsidR="008919D2">
        <w:rPr>
          <w:sz w:val="26"/>
          <w:szCs w:val="26"/>
        </w:rPr>
        <w:t>.</w:t>
      </w:r>
      <w:r w:rsidRPr="000B7D78">
        <w:rPr>
          <w:sz w:val="26"/>
          <w:szCs w:val="26"/>
        </w:rPr>
        <w:t>”</w:t>
      </w:r>
    </w:p>
    <w:p w:rsidRPr="000B7D78" w:rsidR="00462892" w:rsidP="00AB1DA2" w:rsidRDefault="00462892" w14:paraId="46C05FEC" w14:textId="77777777">
      <w:pPr>
        <w:rPr>
          <w:sz w:val="26"/>
          <w:szCs w:val="26"/>
        </w:rPr>
      </w:pPr>
    </w:p>
    <w:p w:rsidR="00AB1DA2" w:rsidP="00AB1DA2" w:rsidRDefault="00AB1DA2" w14:paraId="086CCC20" w14:textId="528A8C97">
      <w:pPr>
        <w:rPr>
          <w:b/>
          <w:bCs/>
          <w:sz w:val="26"/>
          <w:szCs w:val="26"/>
        </w:rPr>
      </w:pPr>
      <w:r w:rsidRPr="000B7D78">
        <w:rPr>
          <w:b/>
          <w:bCs/>
          <w:sz w:val="26"/>
          <w:szCs w:val="26"/>
        </w:rPr>
        <w:t xml:space="preserve">Topic </w:t>
      </w:r>
      <w:r w:rsidRPr="000B7D78" w:rsidR="00C957EA">
        <w:rPr>
          <w:b/>
          <w:bCs/>
          <w:sz w:val="26"/>
          <w:szCs w:val="26"/>
        </w:rPr>
        <w:t>3</w:t>
      </w:r>
      <w:r w:rsidRPr="000B7D78">
        <w:rPr>
          <w:b/>
          <w:bCs/>
          <w:sz w:val="26"/>
          <w:szCs w:val="26"/>
        </w:rPr>
        <w:t xml:space="preserve">: </w:t>
      </w:r>
      <w:r w:rsidRPr="000B7D78" w:rsidR="00C957EA">
        <w:rPr>
          <w:b/>
          <w:bCs/>
          <w:sz w:val="26"/>
          <w:szCs w:val="26"/>
        </w:rPr>
        <w:t>Warning Devices, Signs</w:t>
      </w:r>
      <w:r w:rsidRPr="000B7D78" w:rsidR="00285CC0">
        <w:rPr>
          <w:b/>
          <w:bCs/>
          <w:sz w:val="26"/>
          <w:szCs w:val="26"/>
        </w:rPr>
        <w:t>,</w:t>
      </w:r>
      <w:r w:rsidRPr="000B7D78" w:rsidR="00C957EA">
        <w:rPr>
          <w:b/>
          <w:bCs/>
          <w:sz w:val="26"/>
          <w:szCs w:val="26"/>
        </w:rPr>
        <w:t xml:space="preserve"> and Markings</w:t>
      </w:r>
      <w:r w:rsidRPr="000B7D78" w:rsidDel="00C957EA" w:rsidR="00C957EA">
        <w:rPr>
          <w:b/>
          <w:bCs/>
          <w:sz w:val="26"/>
          <w:szCs w:val="26"/>
        </w:rPr>
        <w:t xml:space="preserve"> </w:t>
      </w:r>
    </w:p>
    <w:p w:rsidRPr="000B7D78" w:rsidR="005724BA" w:rsidP="00AB1DA2" w:rsidRDefault="005724BA" w14:paraId="284065E8" w14:textId="77777777">
      <w:pPr>
        <w:rPr>
          <w:b/>
          <w:bCs/>
          <w:sz w:val="26"/>
          <w:szCs w:val="26"/>
        </w:rPr>
      </w:pPr>
    </w:p>
    <w:p w:rsidR="00BC5544" w:rsidP="00BC5544" w:rsidRDefault="00571F9C" w14:paraId="4601C5ED" w14:textId="49924215">
      <w:pPr>
        <w:rPr>
          <w:sz w:val="26"/>
          <w:szCs w:val="26"/>
        </w:rPr>
      </w:pPr>
      <w:r w:rsidRPr="000B7D78">
        <w:rPr>
          <w:sz w:val="26"/>
          <w:szCs w:val="26"/>
        </w:rPr>
        <w:t xml:space="preserve">The </w:t>
      </w:r>
      <w:r w:rsidRPr="000B7D78">
        <w:rPr>
          <w:i/>
          <w:iCs/>
          <w:sz w:val="26"/>
          <w:szCs w:val="26"/>
        </w:rPr>
        <w:t>NPA</w:t>
      </w:r>
      <w:r w:rsidRPr="000B7D78">
        <w:rPr>
          <w:sz w:val="26"/>
          <w:szCs w:val="26"/>
        </w:rPr>
        <w:t xml:space="preserve"> proposes revisions regarding placement requirements for warning devices, signs</w:t>
      </w:r>
      <w:r w:rsidRPr="000B7D78" w:rsidR="00285CC0">
        <w:rPr>
          <w:sz w:val="26"/>
          <w:szCs w:val="26"/>
        </w:rPr>
        <w:t>,</w:t>
      </w:r>
      <w:r w:rsidRPr="000B7D78">
        <w:rPr>
          <w:sz w:val="26"/>
          <w:szCs w:val="26"/>
        </w:rPr>
        <w:t xml:space="preserve"> and markings at grade crossings, such as minimum clearance of warning devices from track, selection of signs, and related details.  These are</w:t>
      </w:r>
      <w:r w:rsidRPr="000B7D78" w:rsidR="00056845">
        <w:rPr>
          <w:sz w:val="26"/>
          <w:szCs w:val="26"/>
        </w:rPr>
        <w:t xml:space="preserve"> </w:t>
      </w:r>
      <w:r w:rsidRPr="000B7D78">
        <w:rPr>
          <w:sz w:val="26"/>
          <w:szCs w:val="26"/>
        </w:rPr>
        <w:t>minor updates primarily to promote uniformity and consistency with typical practices.</w:t>
      </w:r>
      <w:r w:rsidRPr="000B7D78" w:rsidR="002169E7">
        <w:rPr>
          <w:sz w:val="26"/>
          <w:szCs w:val="26"/>
        </w:rPr>
        <w:t xml:space="preserve">  </w:t>
      </w:r>
      <w:r w:rsidRPr="000B7D78" w:rsidR="00BC5544">
        <w:rPr>
          <w:sz w:val="26"/>
          <w:szCs w:val="26"/>
        </w:rPr>
        <w:t>Staff proposes comments on this topic including the following:</w:t>
      </w:r>
    </w:p>
    <w:p w:rsidRPr="000B7D78" w:rsidR="005724BA" w:rsidP="00BC5544" w:rsidRDefault="005724BA" w14:paraId="0AFE0071" w14:textId="77777777">
      <w:pPr>
        <w:rPr>
          <w:sz w:val="26"/>
          <w:szCs w:val="26"/>
        </w:rPr>
      </w:pPr>
    </w:p>
    <w:p w:rsidRPr="000B7D78" w:rsidR="00AB1DA2" w:rsidP="005724BA" w:rsidRDefault="00761A97" w14:paraId="6C11F83A" w14:textId="02F56A53">
      <w:pPr>
        <w:pStyle w:val="ListParagraph"/>
        <w:numPr>
          <w:ilvl w:val="0"/>
          <w:numId w:val="10"/>
        </w:numPr>
        <w:spacing w:after="120"/>
        <w:ind w:right="1440"/>
        <w:rPr>
          <w:sz w:val="26"/>
          <w:szCs w:val="26"/>
        </w:rPr>
      </w:pPr>
      <w:r w:rsidRPr="000B7D78">
        <w:rPr>
          <w:sz w:val="26"/>
          <w:szCs w:val="26"/>
        </w:rPr>
        <w:t xml:space="preserve">Require </w:t>
      </w:r>
      <w:r w:rsidRPr="000B7D78" w:rsidR="001F5E21">
        <w:rPr>
          <w:sz w:val="26"/>
          <w:szCs w:val="26"/>
        </w:rPr>
        <w:t xml:space="preserve">a </w:t>
      </w:r>
      <w:r w:rsidRPr="000B7D78" w:rsidR="002F52FA">
        <w:rPr>
          <w:sz w:val="26"/>
          <w:szCs w:val="26"/>
        </w:rPr>
        <w:t xml:space="preserve">Crossbuck </w:t>
      </w:r>
      <w:r w:rsidRPr="000B7D78" w:rsidR="00C1202F">
        <w:rPr>
          <w:sz w:val="26"/>
          <w:szCs w:val="26"/>
        </w:rPr>
        <w:t xml:space="preserve">sign </w:t>
      </w:r>
      <w:r w:rsidRPr="000B7D78" w:rsidR="00A71C57">
        <w:rPr>
          <w:sz w:val="26"/>
          <w:szCs w:val="26"/>
        </w:rPr>
        <w:t xml:space="preserve">at each </w:t>
      </w:r>
      <w:r w:rsidRPr="000B7D78" w:rsidR="00C1202F">
        <w:rPr>
          <w:sz w:val="26"/>
          <w:szCs w:val="26"/>
        </w:rPr>
        <w:t xml:space="preserve">highway-LRT grade crossing on a </w:t>
      </w:r>
      <w:r w:rsidRPr="000B7D78" w:rsidR="006843A6">
        <w:rPr>
          <w:sz w:val="26"/>
          <w:szCs w:val="26"/>
        </w:rPr>
        <w:t xml:space="preserve">semi-exclusive </w:t>
      </w:r>
      <w:r w:rsidRPr="000B7D78" w:rsidR="00C1202F">
        <w:rPr>
          <w:sz w:val="26"/>
          <w:szCs w:val="26"/>
        </w:rPr>
        <w:t>alignment</w:t>
      </w:r>
      <w:r w:rsidRPr="000B7D78" w:rsidR="003703DB">
        <w:rPr>
          <w:sz w:val="26"/>
          <w:szCs w:val="26"/>
        </w:rPr>
        <w:t>.</w:t>
      </w:r>
    </w:p>
    <w:p w:rsidRPr="000B7D78" w:rsidR="00761A97" w:rsidP="005724BA" w:rsidRDefault="00D259C2" w14:paraId="46D57209" w14:textId="049CF774">
      <w:pPr>
        <w:pStyle w:val="ListParagraph"/>
        <w:numPr>
          <w:ilvl w:val="0"/>
          <w:numId w:val="10"/>
        </w:numPr>
        <w:spacing w:after="120"/>
        <w:ind w:right="1440"/>
        <w:rPr>
          <w:sz w:val="26"/>
          <w:szCs w:val="26"/>
        </w:rPr>
      </w:pPr>
      <w:r w:rsidRPr="000B7D78">
        <w:rPr>
          <w:sz w:val="26"/>
          <w:szCs w:val="26"/>
        </w:rPr>
        <w:t xml:space="preserve">Remove </w:t>
      </w:r>
      <w:r w:rsidRPr="000B7D78" w:rsidR="0029642F">
        <w:rPr>
          <w:sz w:val="26"/>
          <w:szCs w:val="26"/>
        </w:rPr>
        <w:t xml:space="preserve">requirements that state </w:t>
      </w:r>
      <w:r w:rsidRPr="000B7D78" w:rsidR="00B17901">
        <w:rPr>
          <w:sz w:val="26"/>
          <w:szCs w:val="26"/>
        </w:rPr>
        <w:t xml:space="preserve">an exact </w:t>
      </w:r>
      <w:r w:rsidRPr="000B7D78" w:rsidR="00C675DD">
        <w:rPr>
          <w:sz w:val="26"/>
          <w:szCs w:val="26"/>
        </w:rPr>
        <w:t xml:space="preserve">minimum </w:t>
      </w:r>
      <w:r w:rsidRPr="000B7D78" w:rsidR="00052509">
        <w:rPr>
          <w:sz w:val="26"/>
          <w:szCs w:val="26"/>
        </w:rPr>
        <w:t xml:space="preserve">clearance </w:t>
      </w:r>
      <w:r w:rsidRPr="000B7D78" w:rsidR="001F5E21">
        <w:rPr>
          <w:sz w:val="26"/>
          <w:szCs w:val="26"/>
        </w:rPr>
        <w:t xml:space="preserve">distance </w:t>
      </w:r>
      <w:r w:rsidRPr="000B7D78" w:rsidR="00147131">
        <w:rPr>
          <w:sz w:val="26"/>
          <w:szCs w:val="26"/>
        </w:rPr>
        <w:t>from track</w:t>
      </w:r>
      <w:r w:rsidRPr="000B7D78" w:rsidR="00417A10">
        <w:rPr>
          <w:sz w:val="26"/>
          <w:szCs w:val="26"/>
        </w:rPr>
        <w:t xml:space="preserve"> to</w:t>
      </w:r>
      <w:r w:rsidRPr="000B7D78" w:rsidR="00147131">
        <w:rPr>
          <w:sz w:val="26"/>
          <w:szCs w:val="26"/>
        </w:rPr>
        <w:t xml:space="preserve"> </w:t>
      </w:r>
      <w:r w:rsidRPr="000B7D78" w:rsidR="00591309">
        <w:rPr>
          <w:sz w:val="26"/>
          <w:szCs w:val="26"/>
        </w:rPr>
        <w:t xml:space="preserve">allow for </w:t>
      </w:r>
      <w:r w:rsidRPr="000B7D78" w:rsidR="00147131">
        <w:rPr>
          <w:sz w:val="26"/>
          <w:szCs w:val="26"/>
        </w:rPr>
        <w:t>differences between</w:t>
      </w:r>
      <w:r w:rsidRPr="000B7D78" w:rsidR="00C675DD">
        <w:rPr>
          <w:sz w:val="26"/>
          <w:szCs w:val="26"/>
        </w:rPr>
        <w:t xml:space="preserve"> requirements </w:t>
      </w:r>
      <w:r w:rsidRPr="000B7D78" w:rsidR="00B17901">
        <w:rPr>
          <w:sz w:val="26"/>
          <w:szCs w:val="26"/>
        </w:rPr>
        <w:t xml:space="preserve">of </w:t>
      </w:r>
      <w:r w:rsidRPr="000B7D78" w:rsidR="00147131">
        <w:rPr>
          <w:sz w:val="26"/>
          <w:szCs w:val="26"/>
        </w:rPr>
        <w:t xml:space="preserve">railroad and </w:t>
      </w:r>
      <w:r w:rsidRPr="000B7D78" w:rsidR="00285CC0">
        <w:rPr>
          <w:sz w:val="26"/>
          <w:szCs w:val="26"/>
        </w:rPr>
        <w:t>LRT</w:t>
      </w:r>
      <w:r w:rsidRPr="000B7D78" w:rsidR="00147131">
        <w:rPr>
          <w:sz w:val="26"/>
          <w:szCs w:val="26"/>
        </w:rPr>
        <w:t xml:space="preserve"> systems</w:t>
      </w:r>
      <w:r w:rsidRPr="000B7D78" w:rsidR="00417A10">
        <w:rPr>
          <w:sz w:val="26"/>
          <w:szCs w:val="26"/>
        </w:rPr>
        <w:t>.</w:t>
      </w:r>
    </w:p>
    <w:p w:rsidRPr="000B7D78" w:rsidR="00C1202F" w:rsidP="005724BA" w:rsidRDefault="00787063" w14:paraId="0260EE65" w14:textId="60E37112">
      <w:pPr>
        <w:pStyle w:val="ListParagraph"/>
        <w:numPr>
          <w:ilvl w:val="0"/>
          <w:numId w:val="10"/>
        </w:numPr>
        <w:spacing w:after="120"/>
        <w:ind w:right="1440"/>
        <w:rPr>
          <w:sz w:val="26"/>
          <w:szCs w:val="26"/>
        </w:rPr>
      </w:pPr>
      <w:r w:rsidRPr="000B7D78">
        <w:rPr>
          <w:sz w:val="26"/>
          <w:szCs w:val="26"/>
        </w:rPr>
        <w:t xml:space="preserve">Discuss </w:t>
      </w:r>
      <w:r w:rsidRPr="000B7D78" w:rsidR="00591309">
        <w:rPr>
          <w:sz w:val="26"/>
          <w:szCs w:val="26"/>
        </w:rPr>
        <w:t>regulatory requirements</w:t>
      </w:r>
      <w:r w:rsidRPr="000B7D78" w:rsidR="00761A97">
        <w:rPr>
          <w:sz w:val="26"/>
          <w:szCs w:val="26"/>
        </w:rPr>
        <w:t xml:space="preserve"> for minimum clearance </w:t>
      </w:r>
      <w:r w:rsidRPr="000B7D78">
        <w:rPr>
          <w:sz w:val="26"/>
          <w:szCs w:val="26"/>
        </w:rPr>
        <w:t>distance from track</w:t>
      </w:r>
      <w:r w:rsidRPr="000B7D78" w:rsidR="00591309">
        <w:rPr>
          <w:sz w:val="26"/>
          <w:szCs w:val="26"/>
        </w:rPr>
        <w:t>.</w:t>
      </w:r>
    </w:p>
    <w:p w:rsidRPr="000B7D78" w:rsidR="00591309" w:rsidP="005724BA" w:rsidRDefault="00EA183B" w14:paraId="48E6337E" w14:textId="540D554D">
      <w:pPr>
        <w:pStyle w:val="ListParagraph"/>
        <w:numPr>
          <w:ilvl w:val="0"/>
          <w:numId w:val="10"/>
        </w:numPr>
        <w:spacing w:after="120"/>
        <w:ind w:right="1440"/>
        <w:rPr>
          <w:sz w:val="26"/>
          <w:szCs w:val="26"/>
        </w:rPr>
      </w:pPr>
      <w:r w:rsidRPr="000B7D78">
        <w:rPr>
          <w:sz w:val="26"/>
          <w:szCs w:val="26"/>
        </w:rPr>
        <w:t xml:space="preserve">Include figures </w:t>
      </w:r>
      <w:r w:rsidRPr="000B7D78" w:rsidR="008D7318">
        <w:rPr>
          <w:sz w:val="26"/>
          <w:szCs w:val="26"/>
        </w:rPr>
        <w:t xml:space="preserve">that illustrate </w:t>
      </w:r>
      <w:r w:rsidRPr="000B7D78">
        <w:rPr>
          <w:sz w:val="26"/>
          <w:szCs w:val="26"/>
        </w:rPr>
        <w:t>all signs discussed in the text</w:t>
      </w:r>
      <w:r w:rsidRPr="000B7D78" w:rsidR="003703DB">
        <w:rPr>
          <w:sz w:val="26"/>
          <w:szCs w:val="26"/>
        </w:rPr>
        <w:t>.</w:t>
      </w:r>
    </w:p>
    <w:p w:rsidRPr="000B7D78" w:rsidR="007C1259" w:rsidP="005724BA" w:rsidRDefault="006B0855" w14:paraId="69C2EDFE" w14:textId="671430DC">
      <w:pPr>
        <w:pStyle w:val="ListParagraph"/>
        <w:numPr>
          <w:ilvl w:val="0"/>
          <w:numId w:val="10"/>
        </w:numPr>
        <w:spacing w:after="120"/>
        <w:ind w:right="1440"/>
        <w:rPr>
          <w:sz w:val="26"/>
          <w:szCs w:val="26"/>
        </w:rPr>
      </w:pPr>
      <w:r w:rsidRPr="000B7D78">
        <w:rPr>
          <w:sz w:val="26"/>
          <w:szCs w:val="26"/>
        </w:rPr>
        <w:t xml:space="preserve">Review </w:t>
      </w:r>
      <w:r w:rsidRPr="000B7D78" w:rsidR="00EF5B2A">
        <w:rPr>
          <w:sz w:val="26"/>
          <w:szCs w:val="26"/>
        </w:rPr>
        <w:t>c</w:t>
      </w:r>
      <w:r w:rsidRPr="000B7D78" w:rsidR="007C1259">
        <w:rPr>
          <w:sz w:val="26"/>
          <w:szCs w:val="26"/>
        </w:rPr>
        <w:t xml:space="preserve">onsistency </w:t>
      </w:r>
      <w:r w:rsidRPr="000B7D78">
        <w:rPr>
          <w:sz w:val="26"/>
          <w:szCs w:val="26"/>
        </w:rPr>
        <w:t xml:space="preserve">of </w:t>
      </w:r>
      <w:r w:rsidRPr="000B7D78" w:rsidR="00EF5B2A">
        <w:rPr>
          <w:sz w:val="26"/>
          <w:szCs w:val="26"/>
        </w:rPr>
        <w:t xml:space="preserve">requirements </w:t>
      </w:r>
      <w:r w:rsidRPr="000B7D78" w:rsidR="00160997">
        <w:rPr>
          <w:sz w:val="26"/>
          <w:szCs w:val="26"/>
        </w:rPr>
        <w:t xml:space="preserve">for </w:t>
      </w:r>
      <w:r w:rsidRPr="000B7D78" w:rsidR="007C1259">
        <w:rPr>
          <w:sz w:val="26"/>
          <w:szCs w:val="26"/>
        </w:rPr>
        <w:t>retroreflective strip</w:t>
      </w:r>
      <w:r w:rsidRPr="000B7D78" w:rsidR="00160997">
        <w:rPr>
          <w:sz w:val="26"/>
          <w:szCs w:val="26"/>
        </w:rPr>
        <w:t>s</w:t>
      </w:r>
      <w:r w:rsidRPr="000B7D78" w:rsidR="007C1259">
        <w:rPr>
          <w:sz w:val="26"/>
          <w:szCs w:val="26"/>
        </w:rPr>
        <w:t xml:space="preserve"> on </w:t>
      </w:r>
      <w:r w:rsidRPr="000B7D78" w:rsidR="00160997">
        <w:rPr>
          <w:sz w:val="26"/>
          <w:szCs w:val="26"/>
        </w:rPr>
        <w:t xml:space="preserve">a </w:t>
      </w:r>
      <w:r w:rsidRPr="000B7D78" w:rsidR="007C1259">
        <w:rPr>
          <w:sz w:val="26"/>
          <w:szCs w:val="26"/>
        </w:rPr>
        <w:t xml:space="preserve">Crossbuck </w:t>
      </w:r>
      <w:r w:rsidRPr="000B7D78" w:rsidR="001827EB">
        <w:rPr>
          <w:sz w:val="26"/>
          <w:szCs w:val="26"/>
        </w:rPr>
        <w:t>A</w:t>
      </w:r>
      <w:r w:rsidRPr="000B7D78" w:rsidR="007C1259">
        <w:rPr>
          <w:sz w:val="26"/>
          <w:szCs w:val="26"/>
        </w:rPr>
        <w:t>ssembly</w:t>
      </w:r>
      <w:r w:rsidRPr="000B7D78" w:rsidR="00E94A80">
        <w:rPr>
          <w:sz w:val="26"/>
          <w:szCs w:val="26"/>
        </w:rPr>
        <w:t xml:space="preserve"> post</w:t>
      </w:r>
      <w:r w:rsidRPr="000B7D78" w:rsidR="003703DB">
        <w:rPr>
          <w:sz w:val="26"/>
          <w:szCs w:val="26"/>
        </w:rPr>
        <w:t>.</w:t>
      </w:r>
    </w:p>
    <w:p w:rsidRPr="000B7D78" w:rsidR="007C1259" w:rsidP="005724BA" w:rsidRDefault="00581323" w14:paraId="0FFECBDE" w14:textId="5026CAF3">
      <w:pPr>
        <w:pStyle w:val="ListParagraph"/>
        <w:numPr>
          <w:ilvl w:val="0"/>
          <w:numId w:val="10"/>
        </w:numPr>
        <w:spacing w:after="120"/>
        <w:ind w:right="1440"/>
        <w:rPr>
          <w:sz w:val="26"/>
          <w:szCs w:val="26"/>
        </w:rPr>
      </w:pPr>
      <w:r w:rsidRPr="000B7D78">
        <w:rPr>
          <w:sz w:val="26"/>
          <w:szCs w:val="26"/>
        </w:rPr>
        <w:t xml:space="preserve">Add exception </w:t>
      </w:r>
      <w:r w:rsidRPr="000B7D78" w:rsidR="00E94A80">
        <w:rPr>
          <w:sz w:val="26"/>
          <w:szCs w:val="26"/>
        </w:rPr>
        <w:t xml:space="preserve">to omit </w:t>
      </w:r>
      <w:r w:rsidRPr="000B7D78">
        <w:rPr>
          <w:sz w:val="26"/>
          <w:szCs w:val="26"/>
        </w:rPr>
        <w:t>advance warning sign</w:t>
      </w:r>
      <w:r w:rsidRPr="000B7D78" w:rsidR="00923F6C">
        <w:rPr>
          <w:sz w:val="26"/>
          <w:szCs w:val="26"/>
        </w:rPr>
        <w:t>s</w:t>
      </w:r>
      <w:r w:rsidRPr="000B7D78">
        <w:rPr>
          <w:sz w:val="26"/>
          <w:szCs w:val="26"/>
        </w:rPr>
        <w:t xml:space="preserve"> </w:t>
      </w:r>
      <w:r w:rsidRPr="000B7D78" w:rsidR="006B0855">
        <w:rPr>
          <w:sz w:val="26"/>
          <w:szCs w:val="26"/>
        </w:rPr>
        <w:t xml:space="preserve">at highway-LRT crossings </w:t>
      </w:r>
      <w:r w:rsidRPr="000B7D78" w:rsidR="00E94A80">
        <w:rPr>
          <w:sz w:val="26"/>
          <w:szCs w:val="26"/>
        </w:rPr>
        <w:t xml:space="preserve">where </w:t>
      </w:r>
      <w:r w:rsidRPr="000B7D78">
        <w:rPr>
          <w:sz w:val="26"/>
          <w:szCs w:val="26"/>
        </w:rPr>
        <w:t xml:space="preserve">Crossbuck </w:t>
      </w:r>
      <w:r w:rsidRPr="000B7D78" w:rsidR="005D2B38">
        <w:rPr>
          <w:sz w:val="26"/>
          <w:szCs w:val="26"/>
        </w:rPr>
        <w:t xml:space="preserve">sign </w:t>
      </w:r>
      <w:r w:rsidRPr="000B7D78">
        <w:rPr>
          <w:sz w:val="26"/>
          <w:szCs w:val="26"/>
        </w:rPr>
        <w:t xml:space="preserve">is not </w:t>
      </w:r>
      <w:r w:rsidRPr="000B7D78" w:rsidR="00E94A80">
        <w:rPr>
          <w:sz w:val="26"/>
          <w:szCs w:val="26"/>
        </w:rPr>
        <w:t>required</w:t>
      </w:r>
      <w:r w:rsidRPr="000B7D78">
        <w:rPr>
          <w:sz w:val="26"/>
          <w:szCs w:val="26"/>
        </w:rPr>
        <w:t>.</w:t>
      </w:r>
    </w:p>
    <w:p w:rsidRPr="000B7D78" w:rsidR="00581323" w:rsidP="005724BA" w:rsidRDefault="00F926E6" w14:paraId="1304407D" w14:textId="0D2A76B0">
      <w:pPr>
        <w:pStyle w:val="ListParagraph"/>
        <w:numPr>
          <w:ilvl w:val="0"/>
          <w:numId w:val="10"/>
        </w:numPr>
        <w:spacing w:after="120"/>
        <w:ind w:right="1440"/>
        <w:rPr>
          <w:sz w:val="26"/>
          <w:szCs w:val="26"/>
        </w:rPr>
      </w:pPr>
      <w:r w:rsidRPr="000B7D78">
        <w:rPr>
          <w:sz w:val="26"/>
          <w:szCs w:val="26"/>
        </w:rPr>
        <w:t xml:space="preserve">Limit </w:t>
      </w:r>
      <w:r w:rsidRPr="000B7D78" w:rsidR="00923F6C">
        <w:rPr>
          <w:sz w:val="26"/>
          <w:szCs w:val="26"/>
        </w:rPr>
        <w:t xml:space="preserve">the </w:t>
      </w:r>
      <w:r w:rsidRPr="000B7D78">
        <w:rPr>
          <w:sz w:val="26"/>
          <w:szCs w:val="26"/>
        </w:rPr>
        <w:t>use of DO NOT STOP ON TRACKS signs to where queues extend over tracks</w:t>
      </w:r>
      <w:r w:rsidRPr="000B7D78" w:rsidR="000529CC">
        <w:rPr>
          <w:sz w:val="26"/>
          <w:szCs w:val="26"/>
        </w:rPr>
        <w:t>.</w:t>
      </w:r>
    </w:p>
    <w:p w:rsidRPr="000B7D78" w:rsidR="00F926E6" w:rsidP="005724BA" w:rsidRDefault="007730C4" w14:paraId="1DA2F1EE" w14:textId="0D4DBC76">
      <w:pPr>
        <w:pStyle w:val="ListParagraph"/>
        <w:numPr>
          <w:ilvl w:val="0"/>
          <w:numId w:val="10"/>
        </w:numPr>
        <w:spacing w:after="120"/>
        <w:ind w:right="1440"/>
        <w:rPr>
          <w:sz w:val="26"/>
          <w:szCs w:val="26"/>
        </w:rPr>
      </w:pPr>
      <w:r w:rsidRPr="000B7D78">
        <w:rPr>
          <w:sz w:val="26"/>
          <w:szCs w:val="26"/>
        </w:rPr>
        <w:t xml:space="preserve">Require </w:t>
      </w:r>
      <w:r w:rsidRPr="000B7D78" w:rsidR="007E4AD4">
        <w:rPr>
          <w:sz w:val="26"/>
          <w:szCs w:val="26"/>
        </w:rPr>
        <w:t xml:space="preserve">Emergency Notification System </w:t>
      </w:r>
      <w:r w:rsidRPr="000B7D78" w:rsidR="00F00993">
        <w:rPr>
          <w:sz w:val="26"/>
          <w:szCs w:val="26"/>
        </w:rPr>
        <w:t>signs at highway-LRT crossings along semi-exclusive alignment</w:t>
      </w:r>
      <w:r w:rsidRPr="000B7D78">
        <w:rPr>
          <w:sz w:val="26"/>
          <w:szCs w:val="26"/>
        </w:rPr>
        <w:t>s</w:t>
      </w:r>
      <w:r w:rsidRPr="000B7D78" w:rsidR="000529CC">
        <w:rPr>
          <w:sz w:val="26"/>
          <w:szCs w:val="26"/>
        </w:rPr>
        <w:t>.</w:t>
      </w:r>
    </w:p>
    <w:p w:rsidRPr="000B7D78" w:rsidR="00F00993" w:rsidP="005724BA" w:rsidRDefault="00B64C01" w14:paraId="5FA92FBE" w14:textId="7A43BF20">
      <w:pPr>
        <w:pStyle w:val="ListParagraph"/>
        <w:numPr>
          <w:ilvl w:val="0"/>
          <w:numId w:val="10"/>
        </w:numPr>
        <w:spacing w:after="120"/>
        <w:ind w:right="1440"/>
        <w:rPr>
          <w:sz w:val="26"/>
          <w:szCs w:val="26"/>
        </w:rPr>
      </w:pPr>
      <w:r w:rsidRPr="000B7D78">
        <w:rPr>
          <w:sz w:val="26"/>
          <w:szCs w:val="26"/>
        </w:rPr>
        <w:t xml:space="preserve">Do not specify </w:t>
      </w:r>
      <w:r w:rsidRPr="000B7D78" w:rsidR="007E4AD4">
        <w:rPr>
          <w:sz w:val="26"/>
          <w:szCs w:val="26"/>
        </w:rPr>
        <w:t xml:space="preserve">a particular orientation of </w:t>
      </w:r>
      <w:r w:rsidRPr="000B7D78" w:rsidR="00B645EE">
        <w:rPr>
          <w:sz w:val="26"/>
          <w:szCs w:val="26"/>
        </w:rPr>
        <w:t xml:space="preserve">the Emergency Notification System </w:t>
      </w:r>
      <w:r w:rsidRPr="000B7D78" w:rsidR="007E4AD4">
        <w:rPr>
          <w:sz w:val="26"/>
          <w:szCs w:val="26"/>
        </w:rPr>
        <w:t>sign</w:t>
      </w:r>
      <w:r w:rsidRPr="000B7D78" w:rsidR="00E0390E">
        <w:rPr>
          <w:sz w:val="26"/>
          <w:szCs w:val="26"/>
        </w:rPr>
        <w:t xml:space="preserve"> in MUTCD</w:t>
      </w:r>
      <w:r w:rsidRPr="000B7D78" w:rsidR="007E4AD4">
        <w:rPr>
          <w:sz w:val="26"/>
          <w:szCs w:val="26"/>
        </w:rPr>
        <w:t>.</w:t>
      </w:r>
    </w:p>
    <w:p w:rsidRPr="000B7D78" w:rsidR="00A040E9" w:rsidP="005724BA" w:rsidRDefault="002E1C38" w14:paraId="75F027E6" w14:textId="760DDA4C">
      <w:pPr>
        <w:pStyle w:val="ListParagraph"/>
        <w:numPr>
          <w:ilvl w:val="0"/>
          <w:numId w:val="10"/>
        </w:numPr>
        <w:spacing w:after="120"/>
        <w:ind w:right="1440"/>
        <w:rPr>
          <w:sz w:val="26"/>
          <w:szCs w:val="26"/>
        </w:rPr>
      </w:pPr>
      <w:r w:rsidRPr="000B7D78">
        <w:rPr>
          <w:sz w:val="26"/>
          <w:szCs w:val="26"/>
        </w:rPr>
        <w:t xml:space="preserve">Provide guidance that </w:t>
      </w:r>
      <w:r w:rsidRPr="000B7D78" w:rsidR="00A040E9">
        <w:rPr>
          <w:sz w:val="26"/>
          <w:szCs w:val="26"/>
        </w:rPr>
        <w:t>centerlines, in addition to edge lines</w:t>
      </w:r>
      <w:r w:rsidRPr="000B7D78">
        <w:rPr>
          <w:sz w:val="26"/>
          <w:szCs w:val="26"/>
        </w:rPr>
        <w:t xml:space="preserve"> and lane lines</w:t>
      </w:r>
      <w:r w:rsidRPr="000B7D78" w:rsidR="00A040E9">
        <w:rPr>
          <w:sz w:val="26"/>
          <w:szCs w:val="26"/>
        </w:rPr>
        <w:t xml:space="preserve">, </w:t>
      </w:r>
      <w:r w:rsidRPr="000B7D78">
        <w:rPr>
          <w:sz w:val="26"/>
          <w:szCs w:val="26"/>
        </w:rPr>
        <w:t xml:space="preserve">should </w:t>
      </w:r>
      <w:r w:rsidRPr="000B7D78" w:rsidR="00A040E9">
        <w:rPr>
          <w:sz w:val="26"/>
          <w:szCs w:val="26"/>
        </w:rPr>
        <w:t>continue through the track area.</w:t>
      </w:r>
    </w:p>
    <w:p w:rsidRPr="000B7D78" w:rsidR="00587159" w:rsidP="00035792" w:rsidRDefault="00587159" w14:paraId="4FFE6347" w14:textId="77777777">
      <w:pPr>
        <w:rPr>
          <w:sz w:val="26"/>
          <w:szCs w:val="26"/>
        </w:rPr>
      </w:pPr>
    </w:p>
    <w:p w:rsidRPr="000B7D78" w:rsidR="00BB79CB" w:rsidP="005724BA" w:rsidRDefault="004953EB" w14:paraId="4883BA4E" w14:textId="6489FFA2">
      <w:pPr>
        <w:pStyle w:val="Body1"/>
        <w:spacing w:after="0" w:line="240" w:lineRule="auto"/>
        <w:rPr>
          <w:rFonts w:ascii="Times New Roman" w:hAnsi="Times New Roman"/>
          <w:sz w:val="26"/>
          <w:szCs w:val="26"/>
        </w:rPr>
      </w:pPr>
      <w:r w:rsidRPr="000B7D78">
        <w:rPr>
          <w:rFonts w:ascii="Times New Roman" w:hAnsi="Times New Roman"/>
          <w:b/>
          <w:sz w:val="26"/>
          <w:szCs w:val="26"/>
          <w:u w:val="single"/>
        </w:rPr>
        <w:lastRenderedPageBreak/>
        <w:t>SUMMARY</w:t>
      </w:r>
      <w:r w:rsidRPr="005724BA" w:rsidR="005724BA">
        <w:rPr>
          <w:rFonts w:ascii="Times New Roman" w:hAnsi="Times New Roman"/>
          <w:b/>
          <w:sz w:val="26"/>
          <w:szCs w:val="26"/>
        </w:rPr>
        <w:t xml:space="preserve">:  </w:t>
      </w:r>
      <w:r w:rsidRPr="000B7D78" w:rsidR="00B811C7">
        <w:rPr>
          <w:rFonts w:ascii="Times New Roman" w:hAnsi="Times New Roman"/>
          <w:sz w:val="26"/>
          <w:szCs w:val="26"/>
        </w:rPr>
        <w:t xml:space="preserve">Staff recommends filing </w:t>
      </w:r>
      <w:r w:rsidRPr="000B7D78" w:rsidR="00A2394B">
        <w:rPr>
          <w:rFonts w:ascii="Times New Roman" w:hAnsi="Times New Roman"/>
          <w:sz w:val="26"/>
          <w:szCs w:val="26"/>
        </w:rPr>
        <w:t xml:space="preserve">detailed </w:t>
      </w:r>
      <w:r w:rsidRPr="000B7D78" w:rsidR="00B811C7">
        <w:rPr>
          <w:rFonts w:ascii="Times New Roman" w:hAnsi="Times New Roman"/>
          <w:sz w:val="26"/>
          <w:szCs w:val="26"/>
        </w:rPr>
        <w:t xml:space="preserve">comments </w:t>
      </w:r>
      <w:r w:rsidRPr="000B7D78" w:rsidR="00A2394B">
        <w:rPr>
          <w:rFonts w:ascii="Times New Roman" w:hAnsi="Times New Roman"/>
          <w:sz w:val="26"/>
          <w:szCs w:val="26"/>
        </w:rPr>
        <w:t xml:space="preserve">with FHWA </w:t>
      </w:r>
      <w:r w:rsidRPr="000B7D78" w:rsidR="00B811C7">
        <w:rPr>
          <w:rFonts w:ascii="Times New Roman" w:hAnsi="Times New Roman"/>
          <w:sz w:val="26"/>
          <w:szCs w:val="26"/>
        </w:rPr>
        <w:t>because of concerns with the proposed revisions including issues of both state authority and technical safety</w:t>
      </w:r>
      <w:r w:rsidRPr="000B7D78" w:rsidR="00BE4553">
        <w:rPr>
          <w:rFonts w:ascii="Times New Roman" w:hAnsi="Times New Roman"/>
          <w:sz w:val="26"/>
          <w:szCs w:val="26"/>
        </w:rPr>
        <w:t xml:space="preserve"> details</w:t>
      </w:r>
      <w:r w:rsidRPr="000B7D78" w:rsidR="00B811C7">
        <w:rPr>
          <w:rFonts w:ascii="Times New Roman" w:hAnsi="Times New Roman"/>
          <w:sz w:val="26"/>
          <w:szCs w:val="26"/>
        </w:rPr>
        <w:t xml:space="preserve"> related to grade</w:t>
      </w:r>
      <w:r w:rsidRPr="000B7D78" w:rsidR="00A2394B">
        <w:rPr>
          <w:rFonts w:ascii="Times New Roman" w:hAnsi="Times New Roman"/>
          <w:sz w:val="26"/>
          <w:szCs w:val="26"/>
        </w:rPr>
        <w:t xml:space="preserve"> </w:t>
      </w:r>
      <w:r w:rsidRPr="000B7D78" w:rsidR="00B811C7">
        <w:rPr>
          <w:rFonts w:ascii="Times New Roman" w:hAnsi="Times New Roman"/>
          <w:sz w:val="26"/>
          <w:szCs w:val="26"/>
        </w:rPr>
        <w:t xml:space="preserve">crossing design. </w:t>
      </w:r>
    </w:p>
    <w:p w:rsidRPr="000B7D78" w:rsidR="003C78B0" w:rsidRDefault="003C78B0" w14:paraId="7DD96858" w14:textId="77777777">
      <w:pPr>
        <w:pStyle w:val="Body1"/>
        <w:spacing w:after="0" w:line="240" w:lineRule="auto"/>
        <w:rPr>
          <w:rFonts w:ascii="Times New Roman" w:hAnsi="Times New Roman"/>
          <w:b/>
          <w:sz w:val="26"/>
          <w:szCs w:val="26"/>
        </w:rPr>
      </w:pPr>
    </w:p>
    <w:p w:rsidR="00517407" w:rsidP="00D073E8" w:rsidRDefault="00041AE6" w14:paraId="4D455FEE" w14:textId="5DDD3A08">
      <w:pPr>
        <w:rPr>
          <w:sz w:val="26"/>
          <w:szCs w:val="26"/>
        </w:rPr>
      </w:pPr>
      <w:r w:rsidRPr="005724BA">
        <w:rPr>
          <w:b/>
          <w:sz w:val="26"/>
          <w:szCs w:val="26"/>
          <w:u w:val="single"/>
        </w:rPr>
        <w:t>Assigned Staff</w:t>
      </w:r>
      <w:r w:rsidRPr="000B7D78">
        <w:rPr>
          <w:b/>
          <w:sz w:val="26"/>
          <w:szCs w:val="26"/>
        </w:rPr>
        <w:t xml:space="preserve">:  </w:t>
      </w:r>
      <w:r w:rsidRPr="00517407" w:rsidR="00517407">
        <w:rPr>
          <w:bCs/>
          <w:sz w:val="26"/>
          <w:szCs w:val="26"/>
        </w:rPr>
        <w:t xml:space="preserve">Legal Division </w:t>
      </w:r>
      <w:r w:rsidR="00517407">
        <w:rPr>
          <w:b/>
          <w:sz w:val="26"/>
          <w:szCs w:val="26"/>
        </w:rPr>
        <w:t xml:space="preserve">- </w:t>
      </w:r>
      <w:r w:rsidRPr="000B7D78" w:rsidR="006301CE">
        <w:rPr>
          <w:sz w:val="26"/>
          <w:szCs w:val="26"/>
        </w:rPr>
        <w:t>Lisa-Marie Clark (916-327-6772)</w:t>
      </w:r>
      <w:r w:rsidR="00517407">
        <w:rPr>
          <w:sz w:val="26"/>
          <w:szCs w:val="26"/>
        </w:rPr>
        <w:t xml:space="preserve">; </w:t>
      </w:r>
    </w:p>
    <w:p w:rsidRPr="000B7D78" w:rsidR="00C75EEC" w:rsidP="00D073E8" w:rsidRDefault="00A4268C" w14:paraId="07D6E6FE" w14:textId="0415090C">
      <w:pPr>
        <w:rPr>
          <w:sz w:val="26"/>
          <w:szCs w:val="26"/>
        </w:rPr>
      </w:pPr>
      <w:r w:rsidRPr="000B7D78">
        <w:rPr>
          <w:sz w:val="26"/>
          <w:szCs w:val="26"/>
        </w:rPr>
        <w:t>Rail Safety</w:t>
      </w:r>
      <w:r w:rsidRPr="000B7D78" w:rsidR="00F60890">
        <w:rPr>
          <w:sz w:val="26"/>
          <w:szCs w:val="26"/>
        </w:rPr>
        <w:t xml:space="preserve"> Divisio</w:t>
      </w:r>
      <w:r w:rsidR="00517407">
        <w:rPr>
          <w:sz w:val="26"/>
          <w:szCs w:val="26"/>
        </w:rPr>
        <w:t>n</w:t>
      </w:r>
      <w:r w:rsidRPr="000B7D78" w:rsidR="00F60890">
        <w:rPr>
          <w:sz w:val="26"/>
          <w:szCs w:val="26"/>
        </w:rPr>
        <w:t xml:space="preserve"> – </w:t>
      </w:r>
      <w:r w:rsidRPr="000B7D78">
        <w:rPr>
          <w:sz w:val="26"/>
          <w:szCs w:val="26"/>
        </w:rPr>
        <w:t xml:space="preserve">Antranig Garabetian </w:t>
      </w:r>
      <w:r w:rsidRPr="000B7D78" w:rsidR="00F60890">
        <w:rPr>
          <w:sz w:val="26"/>
          <w:szCs w:val="26"/>
        </w:rPr>
        <w:t>(</w:t>
      </w:r>
      <w:r w:rsidRPr="000B7D78">
        <w:rPr>
          <w:sz w:val="26"/>
          <w:szCs w:val="26"/>
        </w:rPr>
        <w:t>213-576-5778</w:t>
      </w:r>
      <w:r w:rsidRPr="000B7D78" w:rsidR="00F60890">
        <w:rPr>
          <w:sz w:val="26"/>
          <w:szCs w:val="26"/>
        </w:rPr>
        <w:t>)</w:t>
      </w:r>
    </w:p>
    <w:p w:rsidRPr="000B7D78" w:rsidR="005012F3" w:rsidP="00D073E8" w:rsidRDefault="005012F3" w14:paraId="5A684635" w14:textId="77777777">
      <w:pPr>
        <w:rPr>
          <w:sz w:val="26"/>
          <w:szCs w:val="26"/>
        </w:rPr>
      </w:pPr>
    </w:p>
    <w:sectPr w:rsidRPr="000B7D78" w:rsidR="005012F3" w:rsidSect="002D64A9">
      <w:head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2AC5" w14:textId="77777777" w:rsidR="00F17578" w:rsidRDefault="00F17578">
      <w:r>
        <w:separator/>
      </w:r>
    </w:p>
  </w:endnote>
  <w:endnote w:type="continuationSeparator" w:id="0">
    <w:p w14:paraId="6C6DBF34" w14:textId="77777777" w:rsidR="00F17578" w:rsidRDefault="00F17578">
      <w:r>
        <w:continuationSeparator/>
      </w:r>
    </w:p>
  </w:endnote>
  <w:endnote w:type="continuationNotice" w:id="1">
    <w:p w14:paraId="3138DD1B" w14:textId="77777777" w:rsidR="00F17578" w:rsidRDefault="00F17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9663" w14:textId="20432BE2" w:rsidR="005724BA" w:rsidRPr="00517407" w:rsidRDefault="00517407">
    <w:pPr>
      <w:pStyle w:val="Footer"/>
      <w:rPr>
        <w:sz w:val="18"/>
        <w:szCs w:val="18"/>
      </w:rPr>
    </w:pPr>
    <w:r w:rsidRPr="00517407">
      <w:rPr>
        <w:sz w:val="18"/>
        <w:szCs w:val="18"/>
      </w:rPr>
      <w:t>380859388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FC94" w14:textId="77777777" w:rsidR="00F17578" w:rsidRDefault="00F17578">
      <w:r>
        <w:separator/>
      </w:r>
    </w:p>
  </w:footnote>
  <w:footnote w:type="continuationSeparator" w:id="0">
    <w:p w14:paraId="7315EF5B" w14:textId="77777777" w:rsidR="00F17578" w:rsidRDefault="00F17578">
      <w:r>
        <w:continuationSeparator/>
      </w:r>
    </w:p>
  </w:footnote>
  <w:footnote w:type="continuationNotice" w:id="1">
    <w:p w14:paraId="4684FB61" w14:textId="77777777" w:rsidR="00F17578" w:rsidRDefault="00F17578"/>
  </w:footnote>
  <w:footnote w:id="2">
    <w:p w14:paraId="05A9AE06" w14:textId="52694DC1" w:rsidR="00651BB1" w:rsidRPr="002D64A9" w:rsidRDefault="00651BB1" w:rsidP="000B7D78">
      <w:pPr>
        <w:pStyle w:val="FootnoteText"/>
        <w:spacing w:after="120" w:line="240" w:lineRule="exact"/>
        <w:rPr>
          <w:sz w:val="24"/>
          <w:szCs w:val="24"/>
        </w:rPr>
      </w:pPr>
      <w:r w:rsidRPr="002D64A9">
        <w:rPr>
          <w:rStyle w:val="FootnoteReference"/>
          <w:b/>
          <w:bCs/>
          <w:sz w:val="24"/>
          <w:szCs w:val="24"/>
          <w:u w:val="single"/>
        </w:rPr>
        <w:footnoteRef/>
      </w:r>
      <w:r w:rsidRPr="002D64A9">
        <w:rPr>
          <w:bCs/>
          <w:sz w:val="24"/>
          <w:szCs w:val="24"/>
        </w:rPr>
        <w:t xml:space="preserve"> </w:t>
      </w:r>
      <w:r w:rsidRPr="002D64A9">
        <w:rPr>
          <w:i/>
          <w:iCs/>
          <w:sz w:val="24"/>
          <w:szCs w:val="24"/>
        </w:rPr>
        <w:t>See</w:t>
      </w:r>
      <w:r w:rsidR="002D01AC" w:rsidRPr="002D64A9">
        <w:rPr>
          <w:sz w:val="24"/>
          <w:szCs w:val="24"/>
        </w:rPr>
        <w:t xml:space="preserve">, </w:t>
      </w:r>
      <w:r w:rsidRPr="002D64A9">
        <w:rPr>
          <w:sz w:val="24"/>
          <w:szCs w:val="24"/>
        </w:rPr>
        <w:t xml:space="preserve">National Standards for Traffic Control Devices; Manual on Uniform Traffic Control Devices for Streets and Highways; </w:t>
      </w:r>
      <w:r w:rsidR="00FD410E" w:rsidRPr="002D64A9">
        <w:rPr>
          <w:sz w:val="24"/>
          <w:szCs w:val="24"/>
        </w:rPr>
        <w:t>Rev.</w:t>
      </w:r>
      <w:r w:rsidRPr="002D64A9">
        <w:rPr>
          <w:sz w:val="24"/>
          <w:szCs w:val="24"/>
        </w:rPr>
        <w:t xml:space="preserve"> NPA, 85 Fed. Reg. 80898 (Dec. 14, 2020). </w:t>
      </w:r>
    </w:p>
  </w:footnote>
  <w:footnote w:id="3">
    <w:p w14:paraId="488FCB4B" w14:textId="77777777" w:rsidR="00C05F1F" w:rsidRPr="002D64A9" w:rsidRDefault="00C05F1F" w:rsidP="000B7D78">
      <w:pPr>
        <w:pStyle w:val="FootnoteText"/>
        <w:spacing w:after="120" w:line="240" w:lineRule="exact"/>
        <w:rPr>
          <w:sz w:val="24"/>
          <w:szCs w:val="24"/>
        </w:rPr>
      </w:pPr>
      <w:r w:rsidRPr="002D64A9">
        <w:rPr>
          <w:rStyle w:val="FootnoteReference"/>
          <w:b/>
          <w:bCs/>
          <w:sz w:val="24"/>
          <w:szCs w:val="24"/>
          <w:u w:val="single"/>
        </w:rPr>
        <w:footnoteRef/>
      </w:r>
      <w:r w:rsidRPr="002D64A9">
        <w:rPr>
          <w:sz w:val="24"/>
          <w:szCs w:val="24"/>
        </w:rPr>
        <w:t xml:space="preserve"> In 1911, the CPUC was established by Constitutional Amendment as the Railroad Commission.</w:t>
      </w:r>
    </w:p>
  </w:footnote>
  <w:footnote w:id="4">
    <w:p w14:paraId="4F76CFA4" w14:textId="692E026A" w:rsidR="00C05F1F" w:rsidRPr="002D64A9" w:rsidRDefault="00C05F1F" w:rsidP="000B7D78">
      <w:pPr>
        <w:pStyle w:val="FootnoteText"/>
        <w:spacing w:after="120" w:line="240" w:lineRule="exact"/>
        <w:rPr>
          <w:sz w:val="24"/>
          <w:szCs w:val="24"/>
        </w:rPr>
      </w:pPr>
      <w:r w:rsidRPr="002D64A9">
        <w:rPr>
          <w:rStyle w:val="FootnoteReference"/>
          <w:b/>
          <w:sz w:val="24"/>
          <w:szCs w:val="24"/>
          <w:u w:val="single"/>
        </w:rPr>
        <w:footnoteRef/>
      </w:r>
      <w:r w:rsidRPr="002D64A9">
        <w:rPr>
          <w:bCs/>
          <w:sz w:val="24"/>
          <w:szCs w:val="24"/>
        </w:rPr>
        <w:t xml:space="preserve"> </w:t>
      </w:r>
      <w:r w:rsidRPr="002D64A9">
        <w:rPr>
          <w:sz w:val="24"/>
          <w:szCs w:val="24"/>
        </w:rPr>
        <w:t>Pub. Util. Code § 99152</w:t>
      </w:r>
      <w:r w:rsidR="007773A7" w:rsidRPr="002D64A9">
        <w:rPr>
          <w:sz w:val="24"/>
          <w:szCs w:val="24"/>
        </w:rPr>
        <w:t>,</w:t>
      </w:r>
      <w:r w:rsidRPr="002D64A9">
        <w:rPr>
          <w:sz w:val="24"/>
          <w:szCs w:val="24"/>
        </w:rPr>
        <w:t xml:space="preserve"> enacted in 1978, provides the CPUC with safety oversight of public transit fixed-rail guideways. </w:t>
      </w:r>
    </w:p>
  </w:footnote>
  <w:footnote w:id="5">
    <w:p w14:paraId="1C08A6CA" w14:textId="73FB8664" w:rsidR="00C05F1F" w:rsidRPr="002D64A9" w:rsidRDefault="00C05F1F" w:rsidP="000B7D78">
      <w:pPr>
        <w:pStyle w:val="FootnoteText"/>
        <w:spacing w:after="120" w:line="240" w:lineRule="exact"/>
        <w:rPr>
          <w:sz w:val="24"/>
          <w:szCs w:val="24"/>
        </w:rPr>
      </w:pPr>
      <w:r w:rsidRPr="002D64A9">
        <w:rPr>
          <w:rStyle w:val="FootnoteReference"/>
          <w:b/>
          <w:bCs/>
          <w:sz w:val="24"/>
          <w:szCs w:val="24"/>
          <w:u w:val="single"/>
        </w:rPr>
        <w:footnoteRef/>
      </w:r>
      <w:r w:rsidRPr="002D64A9">
        <w:rPr>
          <w:sz w:val="24"/>
          <w:szCs w:val="24"/>
        </w:rPr>
        <w:t xml:space="preserve"> </w:t>
      </w:r>
      <w:r w:rsidR="007773A7" w:rsidRPr="002D64A9">
        <w:rPr>
          <w:sz w:val="24"/>
          <w:szCs w:val="24"/>
        </w:rPr>
        <w:t xml:space="preserve">Pub. Util. Code </w:t>
      </w:r>
      <w:r w:rsidRPr="002D64A9">
        <w:rPr>
          <w:sz w:val="24"/>
          <w:szCs w:val="24"/>
        </w:rPr>
        <w:t xml:space="preserve">§ 1202 </w:t>
      </w:r>
      <w:r w:rsidRPr="002D64A9">
        <w:rPr>
          <w:i/>
          <w:iCs/>
          <w:sz w:val="24"/>
          <w:szCs w:val="24"/>
        </w:rPr>
        <w:t>et seq.</w:t>
      </w:r>
      <w:r w:rsidRPr="002D64A9">
        <w:rPr>
          <w:sz w:val="24"/>
          <w:szCs w:val="24"/>
        </w:rPr>
        <w:t xml:space="preserve">  </w:t>
      </w:r>
    </w:p>
  </w:footnote>
  <w:footnote w:id="6">
    <w:p w14:paraId="496601BE" w14:textId="5699E689" w:rsidR="00651BB1" w:rsidRPr="002D64A9" w:rsidRDefault="00651BB1" w:rsidP="000B7D78">
      <w:pPr>
        <w:pStyle w:val="FootnoteText"/>
        <w:spacing w:after="120" w:line="240" w:lineRule="exact"/>
        <w:rPr>
          <w:sz w:val="24"/>
          <w:szCs w:val="24"/>
        </w:rPr>
      </w:pPr>
      <w:r w:rsidRPr="002D64A9">
        <w:rPr>
          <w:rStyle w:val="FootnoteReference"/>
          <w:b/>
          <w:bCs/>
          <w:sz w:val="24"/>
          <w:szCs w:val="24"/>
          <w:u w:val="single"/>
        </w:rPr>
        <w:footnoteRef/>
      </w:r>
      <w:r w:rsidRPr="002D64A9">
        <w:rPr>
          <w:sz w:val="24"/>
          <w:szCs w:val="24"/>
        </w:rPr>
        <w:t xml:space="preserve"> </w:t>
      </w:r>
      <w:r w:rsidR="007773A7" w:rsidRPr="002D64A9">
        <w:rPr>
          <w:sz w:val="24"/>
          <w:szCs w:val="24"/>
        </w:rPr>
        <w:t xml:space="preserve">Pub. Util. Code </w:t>
      </w:r>
      <w:r w:rsidRPr="002D64A9">
        <w:rPr>
          <w:sz w:val="24"/>
          <w:szCs w:val="24"/>
        </w:rPr>
        <w:t>§ 1202 et seq.</w:t>
      </w:r>
    </w:p>
  </w:footnote>
  <w:footnote w:id="7">
    <w:p w14:paraId="40AF1801" w14:textId="52C9E3D8" w:rsidR="00651BB1" w:rsidRPr="002D64A9" w:rsidRDefault="00651BB1" w:rsidP="000B7D78">
      <w:pPr>
        <w:pStyle w:val="FootnoteText"/>
        <w:spacing w:after="120" w:line="240" w:lineRule="exact"/>
        <w:rPr>
          <w:sz w:val="24"/>
          <w:szCs w:val="24"/>
        </w:rPr>
      </w:pPr>
      <w:r w:rsidRPr="002D64A9">
        <w:rPr>
          <w:rStyle w:val="FootnoteReference"/>
          <w:b/>
          <w:bCs/>
          <w:sz w:val="24"/>
          <w:szCs w:val="24"/>
          <w:u w:val="single"/>
        </w:rPr>
        <w:footnoteRef/>
      </w:r>
      <w:r w:rsidRPr="002D64A9">
        <w:rPr>
          <w:sz w:val="24"/>
          <w:szCs w:val="24"/>
        </w:rPr>
        <w:t xml:space="preserve"> </w:t>
      </w:r>
      <w:r w:rsidR="007773A7" w:rsidRPr="002D64A9">
        <w:rPr>
          <w:i/>
          <w:iCs/>
          <w:sz w:val="24"/>
          <w:szCs w:val="24"/>
        </w:rPr>
        <w:t xml:space="preserve">See, </w:t>
      </w:r>
      <w:r w:rsidRPr="002D64A9">
        <w:rPr>
          <w:sz w:val="24"/>
          <w:szCs w:val="24"/>
        </w:rPr>
        <w:t>2009 MUTCD</w:t>
      </w:r>
      <w:r w:rsidR="00551133" w:rsidRPr="002D64A9">
        <w:rPr>
          <w:sz w:val="24"/>
          <w:szCs w:val="24"/>
        </w:rPr>
        <w:t xml:space="preserve">, </w:t>
      </w:r>
      <w:r w:rsidR="007773A7" w:rsidRPr="002D64A9">
        <w:rPr>
          <w:sz w:val="24"/>
          <w:szCs w:val="24"/>
        </w:rPr>
        <w:t>para.</w:t>
      </w:r>
      <w:r w:rsidRPr="002D64A9">
        <w:rPr>
          <w:sz w:val="24"/>
          <w:szCs w:val="24"/>
        </w:rPr>
        <w:t>19</w:t>
      </w:r>
      <w:r w:rsidR="007773A7" w:rsidRPr="002D64A9">
        <w:rPr>
          <w:sz w:val="24"/>
          <w:szCs w:val="24"/>
        </w:rPr>
        <w:t>;</w:t>
      </w:r>
      <w:r w:rsidRPr="002D64A9">
        <w:rPr>
          <w:sz w:val="24"/>
          <w:szCs w:val="24"/>
        </w:rPr>
        <w:t xml:space="preserve"> 23 CFR 655.603(b)</w:t>
      </w:r>
      <w:r w:rsidR="007773A7" w:rsidRPr="002D64A9">
        <w:rPr>
          <w:sz w:val="24"/>
          <w:szCs w:val="24"/>
        </w:rPr>
        <w:t>;</w:t>
      </w:r>
      <w:r w:rsidRPr="002D64A9">
        <w:rPr>
          <w:sz w:val="24"/>
          <w:szCs w:val="24"/>
        </w:rPr>
        <w:t xml:space="preserve"> and </w:t>
      </w:r>
      <w:r w:rsidR="007773A7" w:rsidRPr="002D64A9">
        <w:rPr>
          <w:sz w:val="24"/>
          <w:szCs w:val="24"/>
        </w:rPr>
        <w:t>Cal.</w:t>
      </w:r>
      <w:r w:rsidRPr="002D64A9">
        <w:rPr>
          <w:sz w:val="24"/>
          <w:szCs w:val="24"/>
        </w:rPr>
        <w:t xml:space="preserve"> Vehicle Code </w:t>
      </w:r>
      <w:r w:rsidR="007773A7" w:rsidRPr="002D64A9">
        <w:rPr>
          <w:sz w:val="24"/>
          <w:szCs w:val="24"/>
        </w:rPr>
        <w:t>§</w:t>
      </w:r>
      <w:r w:rsidRPr="002D64A9">
        <w:rPr>
          <w:sz w:val="24"/>
          <w:szCs w:val="24"/>
        </w:rPr>
        <w:t xml:space="preserve"> 21400</w:t>
      </w:r>
      <w:r w:rsidR="00551133" w:rsidRPr="002D64A9">
        <w:rPr>
          <w:sz w:val="24"/>
          <w:szCs w:val="24"/>
        </w:rPr>
        <w:t>.</w:t>
      </w:r>
    </w:p>
  </w:footnote>
  <w:footnote w:id="8">
    <w:p w14:paraId="3BDDE531" w14:textId="77777777" w:rsidR="005B0C6E" w:rsidRPr="002D64A9" w:rsidRDefault="005B0C6E" w:rsidP="000B7D78">
      <w:pPr>
        <w:pStyle w:val="FootnoteText"/>
        <w:spacing w:after="120" w:line="240" w:lineRule="exact"/>
        <w:rPr>
          <w:sz w:val="24"/>
          <w:szCs w:val="24"/>
        </w:rPr>
      </w:pPr>
      <w:r w:rsidRPr="002D64A9">
        <w:rPr>
          <w:rStyle w:val="FootnoteReference"/>
          <w:b/>
          <w:bCs/>
          <w:sz w:val="24"/>
          <w:szCs w:val="24"/>
          <w:u w:val="single"/>
        </w:rPr>
        <w:footnoteRef/>
      </w:r>
      <w:r w:rsidRPr="002D64A9">
        <w:rPr>
          <w:sz w:val="24"/>
          <w:szCs w:val="24"/>
        </w:rPr>
        <w:t xml:space="preserve"> Staff met with Caltrans in a series of meetings between December 2020 and April 2021.  Staff shared the scope of draft comments with Caltrans.</w:t>
      </w:r>
    </w:p>
  </w:footnote>
  <w:footnote w:id="9">
    <w:p w14:paraId="3D6A89E3" w14:textId="49FF7528" w:rsidR="00651BB1" w:rsidRPr="002D64A9" w:rsidRDefault="00651BB1" w:rsidP="000B7D78">
      <w:pPr>
        <w:pStyle w:val="Body1"/>
        <w:spacing w:after="120" w:line="240" w:lineRule="exact"/>
        <w:rPr>
          <w:rFonts w:ascii="Times New Roman" w:hAnsi="Times New Roman"/>
          <w:sz w:val="24"/>
          <w:szCs w:val="24"/>
        </w:rPr>
      </w:pPr>
      <w:r w:rsidRPr="002D64A9">
        <w:rPr>
          <w:rStyle w:val="FootnoteReference"/>
          <w:rFonts w:ascii="Times New Roman" w:hAnsi="Times New Roman"/>
          <w:b/>
          <w:bCs/>
          <w:sz w:val="24"/>
          <w:szCs w:val="24"/>
          <w:u w:val="single"/>
        </w:rPr>
        <w:footnoteRef/>
      </w:r>
      <w:r w:rsidRPr="002D64A9">
        <w:rPr>
          <w:rFonts w:ascii="Times New Roman" w:hAnsi="Times New Roman"/>
          <w:sz w:val="24"/>
          <w:szCs w:val="24"/>
        </w:rPr>
        <w:t xml:space="preserve"> </w:t>
      </w:r>
      <w:r w:rsidRPr="002D64A9">
        <w:rPr>
          <w:rFonts w:ascii="Times New Roman" w:eastAsia="Times New Roman" w:hAnsi="Times New Roman"/>
          <w:color w:val="auto"/>
          <w:sz w:val="24"/>
          <w:szCs w:val="24"/>
        </w:rPr>
        <w:t>The list of detailed comments will be submitted in a table format that has been provided by FHWA.  All references in comments submitted to FHWA will refer to the specific page and line numbers based on the supporting document, “Corrected MUTCD_11ed_NPA_Text-Mark-up.pdf,” as published in December 2020 in federal docket FHWA-2020-0001.</w:t>
      </w:r>
    </w:p>
  </w:footnote>
  <w:footnote w:id="10">
    <w:p w14:paraId="40E557A5" w14:textId="4F58E854" w:rsidR="00651BB1" w:rsidRPr="002D64A9" w:rsidRDefault="00651BB1" w:rsidP="000B7D78">
      <w:pPr>
        <w:pStyle w:val="FootnoteText"/>
        <w:spacing w:after="120" w:line="240" w:lineRule="exact"/>
        <w:rPr>
          <w:sz w:val="24"/>
          <w:szCs w:val="24"/>
        </w:rPr>
      </w:pPr>
      <w:r w:rsidRPr="002D64A9">
        <w:rPr>
          <w:rStyle w:val="FootnoteReference"/>
          <w:b/>
          <w:bCs/>
          <w:sz w:val="24"/>
          <w:szCs w:val="24"/>
          <w:u w:val="single"/>
        </w:rPr>
        <w:footnoteRef/>
      </w:r>
      <w:r w:rsidRPr="002D64A9">
        <w:rPr>
          <w:sz w:val="24"/>
          <w:szCs w:val="24"/>
        </w:rPr>
        <w:t xml:space="preserve"> </w:t>
      </w:r>
      <w:r w:rsidR="00A12DFB" w:rsidRPr="002D64A9">
        <w:rPr>
          <w:sz w:val="24"/>
          <w:szCs w:val="24"/>
        </w:rPr>
        <w:t>Pub. Util.</w:t>
      </w:r>
      <w:r w:rsidRPr="002D64A9">
        <w:rPr>
          <w:sz w:val="24"/>
          <w:szCs w:val="24"/>
        </w:rPr>
        <w:t xml:space="preserve"> Code </w:t>
      </w:r>
      <w:r w:rsidR="00A12DFB" w:rsidRPr="002D64A9">
        <w:rPr>
          <w:sz w:val="24"/>
          <w:szCs w:val="24"/>
        </w:rPr>
        <w:t xml:space="preserve">§ </w:t>
      </w:r>
      <w:r w:rsidRPr="002D64A9">
        <w:rPr>
          <w:sz w:val="24"/>
          <w:szCs w:val="24"/>
        </w:rPr>
        <w:t>309.7(a)</w:t>
      </w:r>
      <w:r w:rsidR="0033508F" w:rsidRPr="002D64A9">
        <w:rPr>
          <w:sz w:val="24"/>
          <w:szCs w:val="24"/>
        </w:rPr>
        <w:t>.</w:t>
      </w:r>
    </w:p>
  </w:footnote>
  <w:footnote w:id="11">
    <w:p w14:paraId="13DA4FA2" w14:textId="1BA1E6A4" w:rsidR="00D10DF9" w:rsidRPr="002D64A9" w:rsidRDefault="00D10DF9" w:rsidP="000B7D78">
      <w:pPr>
        <w:pStyle w:val="FootnoteText"/>
        <w:spacing w:after="120" w:line="240" w:lineRule="exact"/>
        <w:rPr>
          <w:sz w:val="24"/>
          <w:szCs w:val="24"/>
        </w:rPr>
      </w:pPr>
      <w:r w:rsidRPr="002D64A9">
        <w:rPr>
          <w:rStyle w:val="FootnoteReference"/>
          <w:b/>
          <w:bCs/>
          <w:sz w:val="24"/>
          <w:szCs w:val="24"/>
          <w:u w:val="single"/>
        </w:rPr>
        <w:footnoteRef/>
      </w:r>
      <w:r w:rsidRPr="002D64A9">
        <w:rPr>
          <w:sz w:val="24"/>
          <w:szCs w:val="24"/>
        </w:rPr>
        <w:t xml:space="preserve"> </w:t>
      </w:r>
      <w:r w:rsidR="00A12DFB" w:rsidRPr="002D64A9">
        <w:rPr>
          <w:sz w:val="24"/>
          <w:szCs w:val="24"/>
        </w:rPr>
        <w:t>CPUC</w:t>
      </w:r>
      <w:r w:rsidRPr="002D64A9">
        <w:rPr>
          <w:sz w:val="24"/>
          <w:szCs w:val="24"/>
        </w:rPr>
        <w:t xml:space="preserve"> Rules of Practice and Procedure, </w:t>
      </w:r>
      <w:r w:rsidR="00A12DFB" w:rsidRPr="002D64A9">
        <w:rPr>
          <w:sz w:val="24"/>
          <w:szCs w:val="24"/>
        </w:rPr>
        <w:t>Cal. Code Regs.</w:t>
      </w:r>
      <w:r w:rsidRPr="002D64A9">
        <w:rPr>
          <w:sz w:val="24"/>
          <w:szCs w:val="24"/>
        </w:rPr>
        <w:t xml:space="preserve">, Title 20, </w:t>
      </w:r>
      <w:r w:rsidR="00A12DFB" w:rsidRPr="002D64A9">
        <w:rPr>
          <w:sz w:val="24"/>
          <w:szCs w:val="24"/>
        </w:rPr>
        <w:t>Div.</w:t>
      </w:r>
      <w:r w:rsidRPr="002D64A9">
        <w:rPr>
          <w:sz w:val="24"/>
          <w:szCs w:val="24"/>
        </w:rPr>
        <w:t xml:space="preserve"> 1, </w:t>
      </w:r>
      <w:r w:rsidR="00A12DFB" w:rsidRPr="002D64A9">
        <w:rPr>
          <w:sz w:val="24"/>
          <w:szCs w:val="24"/>
        </w:rPr>
        <w:t>Ch.</w:t>
      </w:r>
      <w:r w:rsidRPr="002D64A9">
        <w:rPr>
          <w:sz w:val="24"/>
          <w:szCs w:val="24"/>
        </w:rPr>
        <w:t xml:space="preserve"> 1</w:t>
      </w:r>
      <w:r w:rsidR="00A12DFB" w:rsidRPr="002D64A9">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BA61" w14:textId="0EAB9951" w:rsidR="00411AB7" w:rsidRDefault="00805965">
    <w:pPr>
      <w:pStyle w:val="Header"/>
      <w:jc w:val="center"/>
    </w:pPr>
    <w:r>
      <w:t>-</w:t>
    </w:r>
    <w:r w:rsidR="00910C25">
      <w:t xml:space="preserve"> </w:t>
    </w:r>
    <w:r w:rsidR="00411AB7">
      <w:fldChar w:fldCharType="begin"/>
    </w:r>
    <w:r w:rsidR="00411AB7">
      <w:instrText xml:space="preserve"> PAGE   \* MERGEFORMAT </w:instrText>
    </w:r>
    <w:r w:rsidR="00411AB7">
      <w:fldChar w:fldCharType="separate"/>
    </w:r>
    <w:r w:rsidR="00F51A54">
      <w:rPr>
        <w:noProof/>
      </w:rPr>
      <w:t>2</w:t>
    </w:r>
    <w:r w:rsidR="00411AB7">
      <w:rPr>
        <w:noProof/>
      </w:rPr>
      <w:fldChar w:fldCharType="end"/>
    </w:r>
    <w:r w:rsidR="00910C25">
      <w:rPr>
        <w:noProof/>
      </w:rPr>
      <w:t xml:space="preserve"> </w:t>
    </w:r>
    <w:r>
      <w:rP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3772" w14:textId="172C1143" w:rsidR="005012F3" w:rsidRPr="005012F3" w:rsidRDefault="005012F3" w:rsidP="005724BA">
    <w:pPr>
      <w:pStyle w:val="Header"/>
      <w:tabs>
        <w:tab w:val="clear" w:pos="9360"/>
        <w:tab w:val="right" w:pos="8640"/>
      </w:tabs>
      <w:rPr>
        <w:b/>
      </w:rPr>
    </w:pPr>
    <w:r>
      <w:tab/>
    </w:r>
    <w:r>
      <w:tab/>
    </w:r>
    <w:r w:rsidRPr="005012F3">
      <w:rPr>
        <w:b/>
      </w:rPr>
      <w:t xml:space="preserve">Item </w:t>
    </w:r>
    <w:r w:rsidR="00FB5C2C">
      <w:rPr>
        <w:b/>
      </w:rPr>
      <w:t>32</w:t>
    </w:r>
    <w:r w:rsidRPr="005012F3">
      <w:rPr>
        <w:b/>
      </w:rPr>
      <w:t xml:space="preserve"> (</w:t>
    </w:r>
    <w:r w:rsidR="000B7D78">
      <w:rPr>
        <w:b/>
      </w:rPr>
      <w:t xml:space="preserve">Agenda ID </w:t>
    </w:r>
    <w:r w:rsidR="00FB5C2C">
      <w:rPr>
        <w:b/>
      </w:rPr>
      <w:t>19412</w:t>
    </w:r>
    <w:r w:rsidRPr="005012F3">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E37"/>
    <w:multiLevelType w:val="hybridMultilevel"/>
    <w:tmpl w:val="7746261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E69114E"/>
    <w:multiLevelType w:val="hybridMultilevel"/>
    <w:tmpl w:val="1FA8F92A"/>
    <w:lvl w:ilvl="0" w:tplc="4516C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352D5"/>
    <w:multiLevelType w:val="hybridMultilevel"/>
    <w:tmpl w:val="0CA8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23BBA"/>
    <w:multiLevelType w:val="hybridMultilevel"/>
    <w:tmpl w:val="2C50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F360E"/>
    <w:multiLevelType w:val="hybridMultilevel"/>
    <w:tmpl w:val="0464AA96"/>
    <w:lvl w:ilvl="0" w:tplc="4516C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13FD1"/>
    <w:multiLevelType w:val="hybridMultilevel"/>
    <w:tmpl w:val="CDD88C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36D65"/>
    <w:multiLevelType w:val="hybridMultilevel"/>
    <w:tmpl w:val="2EFE1D1A"/>
    <w:lvl w:ilvl="0" w:tplc="50ECFF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66E01"/>
    <w:multiLevelType w:val="hybridMultilevel"/>
    <w:tmpl w:val="8CC61080"/>
    <w:lvl w:ilvl="0" w:tplc="BC967A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C0A34"/>
    <w:multiLevelType w:val="hybridMultilevel"/>
    <w:tmpl w:val="0409001D"/>
    <w:lvl w:ilvl="0" w:tplc="A044D804">
      <w:start w:val="1"/>
      <w:numFmt w:val="decimal"/>
      <w:lvlText w:val="%1)"/>
      <w:lvlJc w:val="left"/>
      <w:pPr>
        <w:ind w:left="720" w:hanging="360"/>
      </w:pPr>
    </w:lvl>
    <w:lvl w:ilvl="1" w:tplc="B41AEEC0">
      <w:start w:val="1"/>
      <w:numFmt w:val="lowerLetter"/>
      <w:lvlText w:val="%2)"/>
      <w:lvlJc w:val="left"/>
      <w:pPr>
        <w:ind w:left="1080" w:hanging="360"/>
      </w:pPr>
    </w:lvl>
    <w:lvl w:ilvl="2" w:tplc="F8B4A84C">
      <w:start w:val="1"/>
      <w:numFmt w:val="lowerRoman"/>
      <w:lvlText w:val="%3)"/>
      <w:lvlJc w:val="left"/>
      <w:pPr>
        <w:ind w:left="1440" w:hanging="360"/>
      </w:pPr>
    </w:lvl>
    <w:lvl w:ilvl="3" w:tplc="FA5A0FBC">
      <w:start w:val="1"/>
      <w:numFmt w:val="decimal"/>
      <w:lvlText w:val="(%4)"/>
      <w:lvlJc w:val="left"/>
      <w:pPr>
        <w:ind w:left="1800" w:hanging="360"/>
      </w:pPr>
    </w:lvl>
    <w:lvl w:ilvl="4" w:tplc="1630735E">
      <w:start w:val="1"/>
      <w:numFmt w:val="lowerLetter"/>
      <w:lvlText w:val="(%5)"/>
      <w:lvlJc w:val="left"/>
      <w:pPr>
        <w:ind w:left="2160" w:hanging="360"/>
      </w:pPr>
    </w:lvl>
    <w:lvl w:ilvl="5" w:tplc="43023230">
      <w:start w:val="1"/>
      <w:numFmt w:val="lowerRoman"/>
      <w:lvlText w:val="(%6)"/>
      <w:lvlJc w:val="left"/>
      <w:pPr>
        <w:ind w:left="2520" w:hanging="360"/>
      </w:pPr>
    </w:lvl>
    <w:lvl w:ilvl="6" w:tplc="AD983DDC">
      <w:start w:val="1"/>
      <w:numFmt w:val="decimal"/>
      <w:lvlText w:val="%7."/>
      <w:lvlJc w:val="left"/>
      <w:pPr>
        <w:ind w:left="2880" w:hanging="360"/>
      </w:pPr>
    </w:lvl>
    <w:lvl w:ilvl="7" w:tplc="8F5E80CC">
      <w:start w:val="1"/>
      <w:numFmt w:val="lowerLetter"/>
      <w:lvlText w:val="%8."/>
      <w:lvlJc w:val="left"/>
      <w:pPr>
        <w:ind w:left="3240" w:hanging="360"/>
      </w:pPr>
    </w:lvl>
    <w:lvl w:ilvl="8" w:tplc="6F58DFF2">
      <w:start w:val="1"/>
      <w:numFmt w:val="lowerRoman"/>
      <w:lvlText w:val="%9."/>
      <w:lvlJc w:val="left"/>
      <w:pPr>
        <w:ind w:left="3600" w:hanging="360"/>
      </w:pPr>
    </w:lvl>
  </w:abstractNum>
  <w:abstractNum w:abstractNumId="9" w15:restartNumberingAfterBreak="0">
    <w:nsid w:val="6F474E60"/>
    <w:multiLevelType w:val="hybridMultilevel"/>
    <w:tmpl w:val="F1E0B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E7E8A"/>
    <w:multiLevelType w:val="hybridMultilevel"/>
    <w:tmpl w:val="ADA402E6"/>
    <w:lvl w:ilvl="0" w:tplc="4516C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0688C"/>
    <w:multiLevelType w:val="hybridMultilevel"/>
    <w:tmpl w:val="38C2DBF2"/>
    <w:lvl w:ilvl="0" w:tplc="ECFC0E9C">
      <w:start w:val="1"/>
      <w:numFmt w:val="upperRoman"/>
      <w:lvlText w:val="%1."/>
      <w:lvlJc w:val="right"/>
      <w:pPr>
        <w:ind w:left="720" w:hanging="360"/>
      </w:pPr>
      <w:rPr>
        <w:rFonts w:ascii="Century Schoolbook" w:hAnsi="Century Schoolbook"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10"/>
  </w:num>
  <w:num w:numId="6">
    <w:abstractNumId w:val="7"/>
  </w:num>
  <w:num w:numId="7">
    <w:abstractNumId w:val="8"/>
  </w:num>
  <w:num w:numId="8">
    <w:abstractNumId w:val="6"/>
  </w:num>
  <w:num w:numId="9">
    <w:abstractNumId w:val="3"/>
  </w:num>
  <w:num w:numId="10">
    <w:abstractNumId w:val="2"/>
  </w:num>
  <w:num w:numId="11">
    <w:abstractNumId w:val="9"/>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4A"/>
    <w:rsid w:val="000026F6"/>
    <w:rsid w:val="000033DD"/>
    <w:rsid w:val="00003B02"/>
    <w:rsid w:val="00003C0A"/>
    <w:rsid w:val="00006E35"/>
    <w:rsid w:val="000101E6"/>
    <w:rsid w:val="0001496A"/>
    <w:rsid w:val="00015051"/>
    <w:rsid w:val="000155D7"/>
    <w:rsid w:val="00015C12"/>
    <w:rsid w:val="00015EB2"/>
    <w:rsid w:val="000202B7"/>
    <w:rsid w:val="0002042C"/>
    <w:rsid w:val="0002322D"/>
    <w:rsid w:val="00023BED"/>
    <w:rsid w:val="000257DD"/>
    <w:rsid w:val="00025891"/>
    <w:rsid w:val="00026815"/>
    <w:rsid w:val="00026B29"/>
    <w:rsid w:val="00027568"/>
    <w:rsid w:val="000275EA"/>
    <w:rsid w:val="0003063D"/>
    <w:rsid w:val="00033AC5"/>
    <w:rsid w:val="0003467B"/>
    <w:rsid w:val="00035792"/>
    <w:rsid w:val="000371DF"/>
    <w:rsid w:val="000376F6"/>
    <w:rsid w:val="00040590"/>
    <w:rsid w:val="00041AE6"/>
    <w:rsid w:val="000425E6"/>
    <w:rsid w:val="00043404"/>
    <w:rsid w:val="0004348E"/>
    <w:rsid w:val="0004372C"/>
    <w:rsid w:val="00044DE4"/>
    <w:rsid w:val="00045441"/>
    <w:rsid w:val="00045CEE"/>
    <w:rsid w:val="00047A9C"/>
    <w:rsid w:val="000501D7"/>
    <w:rsid w:val="0005052F"/>
    <w:rsid w:val="000516A9"/>
    <w:rsid w:val="00052509"/>
    <w:rsid w:val="000529CC"/>
    <w:rsid w:val="000539FD"/>
    <w:rsid w:val="000543D8"/>
    <w:rsid w:val="0005565A"/>
    <w:rsid w:val="00055CB0"/>
    <w:rsid w:val="00056845"/>
    <w:rsid w:val="000600C6"/>
    <w:rsid w:val="00060D29"/>
    <w:rsid w:val="00061B68"/>
    <w:rsid w:val="00062D00"/>
    <w:rsid w:val="000636BD"/>
    <w:rsid w:val="00063E08"/>
    <w:rsid w:val="0006515B"/>
    <w:rsid w:val="000655EE"/>
    <w:rsid w:val="00067009"/>
    <w:rsid w:val="000708CB"/>
    <w:rsid w:val="0007228C"/>
    <w:rsid w:val="000727BA"/>
    <w:rsid w:val="00072C29"/>
    <w:rsid w:val="00072EF3"/>
    <w:rsid w:val="000733E7"/>
    <w:rsid w:val="000743DA"/>
    <w:rsid w:val="00074F22"/>
    <w:rsid w:val="00075686"/>
    <w:rsid w:val="000776BC"/>
    <w:rsid w:val="00077D7B"/>
    <w:rsid w:val="000808D9"/>
    <w:rsid w:val="0008147A"/>
    <w:rsid w:val="00082C8D"/>
    <w:rsid w:val="00085A35"/>
    <w:rsid w:val="000866FE"/>
    <w:rsid w:val="000902F3"/>
    <w:rsid w:val="00090E3F"/>
    <w:rsid w:val="00091748"/>
    <w:rsid w:val="00092351"/>
    <w:rsid w:val="00092656"/>
    <w:rsid w:val="00092ABA"/>
    <w:rsid w:val="00092F57"/>
    <w:rsid w:val="0009498D"/>
    <w:rsid w:val="00095EA6"/>
    <w:rsid w:val="0009748E"/>
    <w:rsid w:val="000A1CFA"/>
    <w:rsid w:val="000A2198"/>
    <w:rsid w:val="000A32D5"/>
    <w:rsid w:val="000A3A73"/>
    <w:rsid w:val="000A516E"/>
    <w:rsid w:val="000A66AB"/>
    <w:rsid w:val="000A670F"/>
    <w:rsid w:val="000A7495"/>
    <w:rsid w:val="000B2415"/>
    <w:rsid w:val="000B2480"/>
    <w:rsid w:val="000B2791"/>
    <w:rsid w:val="000B3742"/>
    <w:rsid w:val="000B3EC7"/>
    <w:rsid w:val="000B4D23"/>
    <w:rsid w:val="000B50CF"/>
    <w:rsid w:val="000B571A"/>
    <w:rsid w:val="000B5985"/>
    <w:rsid w:val="000B5BC7"/>
    <w:rsid w:val="000B7D78"/>
    <w:rsid w:val="000C264E"/>
    <w:rsid w:val="000C3186"/>
    <w:rsid w:val="000C40A8"/>
    <w:rsid w:val="000C6408"/>
    <w:rsid w:val="000C7D7A"/>
    <w:rsid w:val="000D07E7"/>
    <w:rsid w:val="000D4586"/>
    <w:rsid w:val="000D6C73"/>
    <w:rsid w:val="000E0211"/>
    <w:rsid w:val="000E2258"/>
    <w:rsid w:val="000E22DD"/>
    <w:rsid w:val="000E355F"/>
    <w:rsid w:val="000E78B5"/>
    <w:rsid w:val="000F0509"/>
    <w:rsid w:val="000F14FC"/>
    <w:rsid w:val="000F163A"/>
    <w:rsid w:val="000F2B38"/>
    <w:rsid w:val="000F31DE"/>
    <w:rsid w:val="000F3A73"/>
    <w:rsid w:val="000F4513"/>
    <w:rsid w:val="000F5D03"/>
    <w:rsid w:val="000F77AF"/>
    <w:rsid w:val="000F77DA"/>
    <w:rsid w:val="00101A3B"/>
    <w:rsid w:val="001021E8"/>
    <w:rsid w:val="001037BA"/>
    <w:rsid w:val="00103B23"/>
    <w:rsid w:val="001043F3"/>
    <w:rsid w:val="001048BC"/>
    <w:rsid w:val="00106539"/>
    <w:rsid w:val="00107CCA"/>
    <w:rsid w:val="00107FB0"/>
    <w:rsid w:val="00110B9F"/>
    <w:rsid w:val="00110C8B"/>
    <w:rsid w:val="00111566"/>
    <w:rsid w:val="001142FF"/>
    <w:rsid w:val="001146ED"/>
    <w:rsid w:val="001172F7"/>
    <w:rsid w:val="001176DA"/>
    <w:rsid w:val="00122B68"/>
    <w:rsid w:val="001240CB"/>
    <w:rsid w:val="0012452E"/>
    <w:rsid w:val="0012486B"/>
    <w:rsid w:val="001249B9"/>
    <w:rsid w:val="0012622D"/>
    <w:rsid w:val="00130227"/>
    <w:rsid w:val="00130444"/>
    <w:rsid w:val="00130BCF"/>
    <w:rsid w:val="00130E54"/>
    <w:rsid w:val="00131B23"/>
    <w:rsid w:val="001343DD"/>
    <w:rsid w:val="00137630"/>
    <w:rsid w:val="00137A26"/>
    <w:rsid w:val="00140E76"/>
    <w:rsid w:val="001417DF"/>
    <w:rsid w:val="00142CDF"/>
    <w:rsid w:val="00142EE2"/>
    <w:rsid w:val="00143299"/>
    <w:rsid w:val="00143FA3"/>
    <w:rsid w:val="00144978"/>
    <w:rsid w:val="00145C23"/>
    <w:rsid w:val="00146795"/>
    <w:rsid w:val="00147131"/>
    <w:rsid w:val="00147530"/>
    <w:rsid w:val="00150F9C"/>
    <w:rsid w:val="00151E63"/>
    <w:rsid w:val="00151F7C"/>
    <w:rsid w:val="00155B16"/>
    <w:rsid w:val="00155BCB"/>
    <w:rsid w:val="00155FD5"/>
    <w:rsid w:val="00156FFE"/>
    <w:rsid w:val="001573B1"/>
    <w:rsid w:val="00160997"/>
    <w:rsid w:val="00161294"/>
    <w:rsid w:val="001658DA"/>
    <w:rsid w:val="00166426"/>
    <w:rsid w:val="0017184B"/>
    <w:rsid w:val="00172031"/>
    <w:rsid w:val="00172E9E"/>
    <w:rsid w:val="001747BC"/>
    <w:rsid w:val="00176889"/>
    <w:rsid w:val="00176EAF"/>
    <w:rsid w:val="0018064E"/>
    <w:rsid w:val="001817BF"/>
    <w:rsid w:val="00181B0C"/>
    <w:rsid w:val="0018241D"/>
    <w:rsid w:val="001827EB"/>
    <w:rsid w:val="00182FC1"/>
    <w:rsid w:val="00183D79"/>
    <w:rsid w:val="001841A4"/>
    <w:rsid w:val="00184CAB"/>
    <w:rsid w:val="0018551D"/>
    <w:rsid w:val="00185A6A"/>
    <w:rsid w:val="00194B9F"/>
    <w:rsid w:val="00194F2A"/>
    <w:rsid w:val="001A14B5"/>
    <w:rsid w:val="001A159B"/>
    <w:rsid w:val="001A2E00"/>
    <w:rsid w:val="001A2E6E"/>
    <w:rsid w:val="001A2FB4"/>
    <w:rsid w:val="001A5287"/>
    <w:rsid w:val="001B06DB"/>
    <w:rsid w:val="001B0F7E"/>
    <w:rsid w:val="001B1CBB"/>
    <w:rsid w:val="001B3DE0"/>
    <w:rsid w:val="001B5C65"/>
    <w:rsid w:val="001B7AE9"/>
    <w:rsid w:val="001C09D8"/>
    <w:rsid w:val="001C19EE"/>
    <w:rsid w:val="001C3669"/>
    <w:rsid w:val="001C6AAB"/>
    <w:rsid w:val="001C7663"/>
    <w:rsid w:val="001C7F39"/>
    <w:rsid w:val="001D02B3"/>
    <w:rsid w:val="001D1FC8"/>
    <w:rsid w:val="001D23E4"/>
    <w:rsid w:val="001D24CC"/>
    <w:rsid w:val="001D2B3D"/>
    <w:rsid w:val="001D2B48"/>
    <w:rsid w:val="001D32EC"/>
    <w:rsid w:val="001D37A0"/>
    <w:rsid w:val="001D3CF6"/>
    <w:rsid w:val="001D51A1"/>
    <w:rsid w:val="001D5709"/>
    <w:rsid w:val="001D57EE"/>
    <w:rsid w:val="001D5B54"/>
    <w:rsid w:val="001D7693"/>
    <w:rsid w:val="001D7D23"/>
    <w:rsid w:val="001E20B7"/>
    <w:rsid w:val="001E221E"/>
    <w:rsid w:val="001E24D1"/>
    <w:rsid w:val="001E372C"/>
    <w:rsid w:val="001E54D0"/>
    <w:rsid w:val="001E5863"/>
    <w:rsid w:val="001E617D"/>
    <w:rsid w:val="001E69A1"/>
    <w:rsid w:val="001E6E6D"/>
    <w:rsid w:val="001F10D9"/>
    <w:rsid w:val="001F12E3"/>
    <w:rsid w:val="001F276B"/>
    <w:rsid w:val="001F2FB9"/>
    <w:rsid w:val="001F5E21"/>
    <w:rsid w:val="00201B6F"/>
    <w:rsid w:val="002038A1"/>
    <w:rsid w:val="00203BB2"/>
    <w:rsid w:val="002043F6"/>
    <w:rsid w:val="00206675"/>
    <w:rsid w:val="00206BAA"/>
    <w:rsid w:val="0020706E"/>
    <w:rsid w:val="00211B03"/>
    <w:rsid w:val="00211D02"/>
    <w:rsid w:val="002126E6"/>
    <w:rsid w:val="002139C2"/>
    <w:rsid w:val="00215AAC"/>
    <w:rsid w:val="002169E7"/>
    <w:rsid w:val="00220DC5"/>
    <w:rsid w:val="002211A6"/>
    <w:rsid w:val="0022152A"/>
    <w:rsid w:val="00221CA0"/>
    <w:rsid w:val="002223DA"/>
    <w:rsid w:val="00222503"/>
    <w:rsid w:val="002253DA"/>
    <w:rsid w:val="00226526"/>
    <w:rsid w:val="002269B1"/>
    <w:rsid w:val="00230C80"/>
    <w:rsid w:val="00231C81"/>
    <w:rsid w:val="00231EEB"/>
    <w:rsid w:val="00234892"/>
    <w:rsid w:val="002359D5"/>
    <w:rsid w:val="00236919"/>
    <w:rsid w:val="002374A7"/>
    <w:rsid w:val="00241BE9"/>
    <w:rsid w:val="00242DCA"/>
    <w:rsid w:val="00243063"/>
    <w:rsid w:val="002447EE"/>
    <w:rsid w:val="00245096"/>
    <w:rsid w:val="00246E56"/>
    <w:rsid w:val="0025078E"/>
    <w:rsid w:val="00250BCB"/>
    <w:rsid w:val="002542AD"/>
    <w:rsid w:val="00256844"/>
    <w:rsid w:val="00256A68"/>
    <w:rsid w:val="002577DA"/>
    <w:rsid w:val="002620E7"/>
    <w:rsid w:val="00264DB4"/>
    <w:rsid w:val="002665C6"/>
    <w:rsid w:val="002702F7"/>
    <w:rsid w:val="002707E4"/>
    <w:rsid w:val="002717CC"/>
    <w:rsid w:val="00272BAD"/>
    <w:rsid w:val="00273B7A"/>
    <w:rsid w:val="002747B5"/>
    <w:rsid w:val="00274D6E"/>
    <w:rsid w:val="002762FA"/>
    <w:rsid w:val="002766FF"/>
    <w:rsid w:val="00280DE6"/>
    <w:rsid w:val="00281720"/>
    <w:rsid w:val="00281F8B"/>
    <w:rsid w:val="00282248"/>
    <w:rsid w:val="002826FE"/>
    <w:rsid w:val="00283E0E"/>
    <w:rsid w:val="00285CC0"/>
    <w:rsid w:val="00286895"/>
    <w:rsid w:val="00287A00"/>
    <w:rsid w:val="00291899"/>
    <w:rsid w:val="00291B1F"/>
    <w:rsid w:val="00291ECC"/>
    <w:rsid w:val="00293539"/>
    <w:rsid w:val="0029642F"/>
    <w:rsid w:val="00296A02"/>
    <w:rsid w:val="002A0260"/>
    <w:rsid w:val="002A0B76"/>
    <w:rsid w:val="002A1969"/>
    <w:rsid w:val="002A2237"/>
    <w:rsid w:val="002A276C"/>
    <w:rsid w:val="002A3E51"/>
    <w:rsid w:val="002A5918"/>
    <w:rsid w:val="002A69EB"/>
    <w:rsid w:val="002A7D6F"/>
    <w:rsid w:val="002B17AA"/>
    <w:rsid w:val="002B2393"/>
    <w:rsid w:val="002B30D1"/>
    <w:rsid w:val="002B4141"/>
    <w:rsid w:val="002B475E"/>
    <w:rsid w:val="002B5ABF"/>
    <w:rsid w:val="002B7ABC"/>
    <w:rsid w:val="002B7C4E"/>
    <w:rsid w:val="002C0558"/>
    <w:rsid w:val="002C0A02"/>
    <w:rsid w:val="002C32A2"/>
    <w:rsid w:val="002C577E"/>
    <w:rsid w:val="002C6CDE"/>
    <w:rsid w:val="002D01AC"/>
    <w:rsid w:val="002D06F2"/>
    <w:rsid w:val="002D2DA5"/>
    <w:rsid w:val="002D322A"/>
    <w:rsid w:val="002D64A9"/>
    <w:rsid w:val="002E0B43"/>
    <w:rsid w:val="002E1C38"/>
    <w:rsid w:val="002E213D"/>
    <w:rsid w:val="002E21C6"/>
    <w:rsid w:val="002E2421"/>
    <w:rsid w:val="002E2606"/>
    <w:rsid w:val="002E300C"/>
    <w:rsid w:val="002E34D4"/>
    <w:rsid w:val="002E374B"/>
    <w:rsid w:val="002E49AF"/>
    <w:rsid w:val="002E5680"/>
    <w:rsid w:val="002E5C50"/>
    <w:rsid w:val="002E79E3"/>
    <w:rsid w:val="002F1114"/>
    <w:rsid w:val="002F1D47"/>
    <w:rsid w:val="002F2C8A"/>
    <w:rsid w:val="002F51A4"/>
    <w:rsid w:val="002F52FA"/>
    <w:rsid w:val="002F6B52"/>
    <w:rsid w:val="002F7095"/>
    <w:rsid w:val="0030388A"/>
    <w:rsid w:val="00303953"/>
    <w:rsid w:val="00303F14"/>
    <w:rsid w:val="00310006"/>
    <w:rsid w:val="00311668"/>
    <w:rsid w:val="00314EA7"/>
    <w:rsid w:val="003156EA"/>
    <w:rsid w:val="003170A5"/>
    <w:rsid w:val="00321855"/>
    <w:rsid w:val="0032512A"/>
    <w:rsid w:val="003267EB"/>
    <w:rsid w:val="00331988"/>
    <w:rsid w:val="003336AA"/>
    <w:rsid w:val="0033508F"/>
    <w:rsid w:val="003365A3"/>
    <w:rsid w:val="003371F0"/>
    <w:rsid w:val="00337685"/>
    <w:rsid w:val="0034141F"/>
    <w:rsid w:val="00343FFF"/>
    <w:rsid w:val="003447DD"/>
    <w:rsid w:val="00344A9C"/>
    <w:rsid w:val="00344F14"/>
    <w:rsid w:val="003451F8"/>
    <w:rsid w:val="00346854"/>
    <w:rsid w:val="00346BD6"/>
    <w:rsid w:val="00350838"/>
    <w:rsid w:val="0035240C"/>
    <w:rsid w:val="00353035"/>
    <w:rsid w:val="00354812"/>
    <w:rsid w:val="00354A3E"/>
    <w:rsid w:val="00354D2A"/>
    <w:rsid w:val="003565EC"/>
    <w:rsid w:val="00356BA8"/>
    <w:rsid w:val="0035717F"/>
    <w:rsid w:val="00357261"/>
    <w:rsid w:val="003608D8"/>
    <w:rsid w:val="00363266"/>
    <w:rsid w:val="00363388"/>
    <w:rsid w:val="00363757"/>
    <w:rsid w:val="003649A5"/>
    <w:rsid w:val="003649C3"/>
    <w:rsid w:val="00366BB8"/>
    <w:rsid w:val="00366C0D"/>
    <w:rsid w:val="00366FEA"/>
    <w:rsid w:val="003703DB"/>
    <w:rsid w:val="0037093A"/>
    <w:rsid w:val="00370EEE"/>
    <w:rsid w:val="0037291F"/>
    <w:rsid w:val="00372C04"/>
    <w:rsid w:val="00375332"/>
    <w:rsid w:val="003764EC"/>
    <w:rsid w:val="003766F4"/>
    <w:rsid w:val="00377D9F"/>
    <w:rsid w:val="003806C6"/>
    <w:rsid w:val="00381990"/>
    <w:rsid w:val="00381B04"/>
    <w:rsid w:val="00382157"/>
    <w:rsid w:val="00382C5E"/>
    <w:rsid w:val="003838A1"/>
    <w:rsid w:val="00384C44"/>
    <w:rsid w:val="003861F1"/>
    <w:rsid w:val="00386FB8"/>
    <w:rsid w:val="003870CE"/>
    <w:rsid w:val="0039454F"/>
    <w:rsid w:val="0039550D"/>
    <w:rsid w:val="003959B1"/>
    <w:rsid w:val="003962AA"/>
    <w:rsid w:val="0039719A"/>
    <w:rsid w:val="00397E83"/>
    <w:rsid w:val="003A12E1"/>
    <w:rsid w:val="003A152E"/>
    <w:rsid w:val="003A1589"/>
    <w:rsid w:val="003A2407"/>
    <w:rsid w:val="003A59D3"/>
    <w:rsid w:val="003A5D43"/>
    <w:rsid w:val="003A66E6"/>
    <w:rsid w:val="003A6778"/>
    <w:rsid w:val="003A7F73"/>
    <w:rsid w:val="003B238C"/>
    <w:rsid w:val="003B2AD8"/>
    <w:rsid w:val="003B401D"/>
    <w:rsid w:val="003B56ED"/>
    <w:rsid w:val="003B57DE"/>
    <w:rsid w:val="003C5D51"/>
    <w:rsid w:val="003C6F78"/>
    <w:rsid w:val="003C78B0"/>
    <w:rsid w:val="003D0B1B"/>
    <w:rsid w:val="003D106B"/>
    <w:rsid w:val="003D194E"/>
    <w:rsid w:val="003D35A9"/>
    <w:rsid w:val="003D5AEA"/>
    <w:rsid w:val="003D5DF5"/>
    <w:rsid w:val="003D7800"/>
    <w:rsid w:val="003D78B9"/>
    <w:rsid w:val="003E0C53"/>
    <w:rsid w:val="003E14C7"/>
    <w:rsid w:val="003E15EB"/>
    <w:rsid w:val="003E1ADF"/>
    <w:rsid w:val="003E2404"/>
    <w:rsid w:val="003E326C"/>
    <w:rsid w:val="003E3CA2"/>
    <w:rsid w:val="003E446E"/>
    <w:rsid w:val="003E58AD"/>
    <w:rsid w:val="003E7492"/>
    <w:rsid w:val="003E7C7C"/>
    <w:rsid w:val="003E7D04"/>
    <w:rsid w:val="003F064C"/>
    <w:rsid w:val="003F5C8C"/>
    <w:rsid w:val="003F602A"/>
    <w:rsid w:val="003F6538"/>
    <w:rsid w:val="003F76C5"/>
    <w:rsid w:val="003F7B95"/>
    <w:rsid w:val="004013BB"/>
    <w:rsid w:val="00402B3B"/>
    <w:rsid w:val="004042A2"/>
    <w:rsid w:val="004059B1"/>
    <w:rsid w:val="00410133"/>
    <w:rsid w:val="0041037F"/>
    <w:rsid w:val="00411471"/>
    <w:rsid w:val="00411AB7"/>
    <w:rsid w:val="00411ECF"/>
    <w:rsid w:val="00412ACB"/>
    <w:rsid w:val="00416460"/>
    <w:rsid w:val="00416B18"/>
    <w:rsid w:val="00416D2A"/>
    <w:rsid w:val="0041759C"/>
    <w:rsid w:val="00417A10"/>
    <w:rsid w:val="004209F8"/>
    <w:rsid w:val="00420FFD"/>
    <w:rsid w:val="004244FC"/>
    <w:rsid w:val="00426405"/>
    <w:rsid w:val="00431000"/>
    <w:rsid w:val="00432A4B"/>
    <w:rsid w:val="00436350"/>
    <w:rsid w:val="00436750"/>
    <w:rsid w:val="00440BB1"/>
    <w:rsid w:val="00441D0C"/>
    <w:rsid w:val="004435C6"/>
    <w:rsid w:val="004439B1"/>
    <w:rsid w:val="00443BC2"/>
    <w:rsid w:val="00444BAB"/>
    <w:rsid w:val="00445A99"/>
    <w:rsid w:val="00447B20"/>
    <w:rsid w:val="00447F43"/>
    <w:rsid w:val="004503F3"/>
    <w:rsid w:val="0046069A"/>
    <w:rsid w:val="00460AB0"/>
    <w:rsid w:val="00461B95"/>
    <w:rsid w:val="00462892"/>
    <w:rsid w:val="00462D89"/>
    <w:rsid w:val="00463BC7"/>
    <w:rsid w:val="004652C5"/>
    <w:rsid w:val="00471DC2"/>
    <w:rsid w:val="00473519"/>
    <w:rsid w:val="00473BD2"/>
    <w:rsid w:val="00474DD9"/>
    <w:rsid w:val="0048043D"/>
    <w:rsid w:val="00480909"/>
    <w:rsid w:val="00480E28"/>
    <w:rsid w:val="004815FA"/>
    <w:rsid w:val="0048475E"/>
    <w:rsid w:val="00485259"/>
    <w:rsid w:val="00486CEB"/>
    <w:rsid w:val="004872C7"/>
    <w:rsid w:val="004879AE"/>
    <w:rsid w:val="00491347"/>
    <w:rsid w:val="004934C6"/>
    <w:rsid w:val="00494174"/>
    <w:rsid w:val="004953EB"/>
    <w:rsid w:val="004969A6"/>
    <w:rsid w:val="00496C73"/>
    <w:rsid w:val="004A1D3D"/>
    <w:rsid w:val="004A1E3A"/>
    <w:rsid w:val="004A23E9"/>
    <w:rsid w:val="004A4FEB"/>
    <w:rsid w:val="004A5117"/>
    <w:rsid w:val="004A516F"/>
    <w:rsid w:val="004A5324"/>
    <w:rsid w:val="004A5ABB"/>
    <w:rsid w:val="004A7638"/>
    <w:rsid w:val="004B1E83"/>
    <w:rsid w:val="004B229A"/>
    <w:rsid w:val="004B287C"/>
    <w:rsid w:val="004B2BF5"/>
    <w:rsid w:val="004B46D2"/>
    <w:rsid w:val="004B6C73"/>
    <w:rsid w:val="004B731A"/>
    <w:rsid w:val="004C1590"/>
    <w:rsid w:val="004C163E"/>
    <w:rsid w:val="004C282D"/>
    <w:rsid w:val="004C2FB0"/>
    <w:rsid w:val="004C3162"/>
    <w:rsid w:val="004C71CC"/>
    <w:rsid w:val="004D1B9C"/>
    <w:rsid w:val="004D2410"/>
    <w:rsid w:val="004D5245"/>
    <w:rsid w:val="004D6EC0"/>
    <w:rsid w:val="004D76C5"/>
    <w:rsid w:val="004E01B3"/>
    <w:rsid w:val="004E043F"/>
    <w:rsid w:val="004E13B5"/>
    <w:rsid w:val="004E1AB8"/>
    <w:rsid w:val="004E1CC1"/>
    <w:rsid w:val="004E319F"/>
    <w:rsid w:val="004E369E"/>
    <w:rsid w:val="004E58E4"/>
    <w:rsid w:val="004E5E18"/>
    <w:rsid w:val="004E682A"/>
    <w:rsid w:val="004F1F01"/>
    <w:rsid w:val="004F2C1A"/>
    <w:rsid w:val="004F569E"/>
    <w:rsid w:val="004F61B4"/>
    <w:rsid w:val="004F7427"/>
    <w:rsid w:val="004F7947"/>
    <w:rsid w:val="004F79DF"/>
    <w:rsid w:val="004F7DE0"/>
    <w:rsid w:val="00500C84"/>
    <w:rsid w:val="00500E51"/>
    <w:rsid w:val="005012F3"/>
    <w:rsid w:val="00502106"/>
    <w:rsid w:val="00502108"/>
    <w:rsid w:val="0050215B"/>
    <w:rsid w:val="00503188"/>
    <w:rsid w:val="005039AF"/>
    <w:rsid w:val="00503A82"/>
    <w:rsid w:val="00503F5F"/>
    <w:rsid w:val="00505A01"/>
    <w:rsid w:val="005073D8"/>
    <w:rsid w:val="00507958"/>
    <w:rsid w:val="00510120"/>
    <w:rsid w:val="0051096F"/>
    <w:rsid w:val="00510B7D"/>
    <w:rsid w:val="00513C9A"/>
    <w:rsid w:val="005148A5"/>
    <w:rsid w:val="00515679"/>
    <w:rsid w:val="005160D2"/>
    <w:rsid w:val="00516A56"/>
    <w:rsid w:val="00517407"/>
    <w:rsid w:val="00520861"/>
    <w:rsid w:val="00523A3C"/>
    <w:rsid w:val="00524442"/>
    <w:rsid w:val="00525AA0"/>
    <w:rsid w:val="00526A34"/>
    <w:rsid w:val="00527D57"/>
    <w:rsid w:val="005324EC"/>
    <w:rsid w:val="00532AE2"/>
    <w:rsid w:val="00532E45"/>
    <w:rsid w:val="0053316D"/>
    <w:rsid w:val="00533A29"/>
    <w:rsid w:val="00535D2B"/>
    <w:rsid w:val="005412C2"/>
    <w:rsid w:val="005426E7"/>
    <w:rsid w:val="00542E8C"/>
    <w:rsid w:val="00543D73"/>
    <w:rsid w:val="005463D1"/>
    <w:rsid w:val="00546574"/>
    <w:rsid w:val="00547411"/>
    <w:rsid w:val="00547A05"/>
    <w:rsid w:val="00551133"/>
    <w:rsid w:val="005518C7"/>
    <w:rsid w:val="005539D4"/>
    <w:rsid w:val="00553C81"/>
    <w:rsid w:val="00555B9C"/>
    <w:rsid w:val="00555F3E"/>
    <w:rsid w:val="00556C0F"/>
    <w:rsid w:val="0055727F"/>
    <w:rsid w:val="00560E0C"/>
    <w:rsid w:val="00563C74"/>
    <w:rsid w:val="00566A05"/>
    <w:rsid w:val="00566B23"/>
    <w:rsid w:val="00571056"/>
    <w:rsid w:val="00571F9C"/>
    <w:rsid w:val="005724BA"/>
    <w:rsid w:val="005757E6"/>
    <w:rsid w:val="00580EEA"/>
    <w:rsid w:val="00581323"/>
    <w:rsid w:val="0058201A"/>
    <w:rsid w:val="00582227"/>
    <w:rsid w:val="00582424"/>
    <w:rsid w:val="00585B17"/>
    <w:rsid w:val="005865A7"/>
    <w:rsid w:val="00587159"/>
    <w:rsid w:val="005900FF"/>
    <w:rsid w:val="00590D7B"/>
    <w:rsid w:val="00591309"/>
    <w:rsid w:val="00591597"/>
    <w:rsid w:val="00591FED"/>
    <w:rsid w:val="005935FC"/>
    <w:rsid w:val="0059366B"/>
    <w:rsid w:val="00593D1B"/>
    <w:rsid w:val="00594385"/>
    <w:rsid w:val="00595423"/>
    <w:rsid w:val="0059732D"/>
    <w:rsid w:val="005A071D"/>
    <w:rsid w:val="005A0D8A"/>
    <w:rsid w:val="005A1DBE"/>
    <w:rsid w:val="005A1FB6"/>
    <w:rsid w:val="005A4D6A"/>
    <w:rsid w:val="005B07B3"/>
    <w:rsid w:val="005B0C6E"/>
    <w:rsid w:val="005B27C7"/>
    <w:rsid w:val="005B597C"/>
    <w:rsid w:val="005B6851"/>
    <w:rsid w:val="005B7BEF"/>
    <w:rsid w:val="005B7E11"/>
    <w:rsid w:val="005C2E27"/>
    <w:rsid w:val="005C5E6B"/>
    <w:rsid w:val="005C655C"/>
    <w:rsid w:val="005C6FE2"/>
    <w:rsid w:val="005C7E5F"/>
    <w:rsid w:val="005D0687"/>
    <w:rsid w:val="005D2B38"/>
    <w:rsid w:val="005D7A30"/>
    <w:rsid w:val="005D7AF8"/>
    <w:rsid w:val="005E02F0"/>
    <w:rsid w:val="005E05D1"/>
    <w:rsid w:val="005E0A35"/>
    <w:rsid w:val="005E0FC9"/>
    <w:rsid w:val="005E2AB9"/>
    <w:rsid w:val="005E7113"/>
    <w:rsid w:val="005F0646"/>
    <w:rsid w:val="005F2F64"/>
    <w:rsid w:val="005F3AE6"/>
    <w:rsid w:val="005F4581"/>
    <w:rsid w:val="005F47DA"/>
    <w:rsid w:val="005F5345"/>
    <w:rsid w:val="005F5F76"/>
    <w:rsid w:val="005F62D9"/>
    <w:rsid w:val="00600B8B"/>
    <w:rsid w:val="00601CE3"/>
    <w:rsid w:val="006031D3"/>
    <w:rsid w:val="00603AEE"/>
    <w:rsid w:val="00603FBE"/>
    <w:rsid w:val="00604634"/>
    <w:rsid w:val="006050E1"/>
    <w:rsid w:val="0060523C"/>
    <w:rsid w:val="006062D6"/>
    <w:rsid w:val="0060750E"/>
    <w:rsid w:val="00607AAA"/>
    <w:rsid w:val="006119F5"/>
    <w:rsid w:val="00611D89"/>
    <w:rsid w:val="0061216D"/>
    <w:rsid w:val="0061218E"/>
    <w:rsid w:val="006134F3"/>
    <w:rsid w:val="00615E70"/>
    <w:rsid w:val="0062123A"/>
    <w:rsid w:val="006219BB"/>
    <w:rsid w:val="00621CB5"/>
    <w:rsid w:val="0062568F"/>
    <w:rsid w:val="006268AE"/>
    <w:rsid w:val="00627A89"/>
    <w:rsid w:val="00627A8F"/>
    <w:rsid w:val="006301CE"/>
    <w:rsid w:val="0063062D"/>
    <w:rsid w:val="006310BC"/>
    <w:rsid w:val="006316D1"/>
    <w:rsid w:val="00631759"/>
    <w:rsid w:val="00631A85"/>
    <w:rsid w:val="00631CF5"/>
    <w:rsid w:val="00634ED5"/>
    <w:rsid w:val="006424B8"/>
    <w:rsid w:val="00642FF2"/>
    <w:rsid w:val="00643F33"/>
    <w:rsid w:val="006464C9"/>
    <w:rsid w:val="00647021"/>
    <w:rsid w:val="006516B2"/>
    <w:rsid w:val="00651BB1"/>
    <w:rsid w:val="006524A2"/>
    <w:rsid w:val="00652CD1"/>
    <w:rsid w:val="0065309B"/>
    <w:rsid w:val="00654895"/>
    <w:rsid w:val="00654C3B"/>
    <w:rsid w:val="00655E1A"/>
    <w:rsid w:val="00657C17"/>
    <w:rsid w:val="00661679"/>
    <w:rsid w:val="0066172F"/>
    <w:rsid w:val="00661EB3"/>
    <w:rsid w:val="00662E30"/>
    <w:rsid w:val="00663538"/>
    <w:rsid w:val="00663B43"/>
    <w:rsid w:val="00663C3E"/>
    <w:rsid w:val="006643E7"/>
    <w:rsid w:val="00664C44"/>
    <w:rsid w:val="00665CF9"/>
    <w:rsid w:val="0066738C"/>
    <w:rsid w:val="00672DC2"/>
    <w:rsid w:val="00672F3F"/>
    <w:rsid w:val="00673199"/>
    <w:rsid w:val="00673CEB"/>
    <w:rsid w:val="0067431C"/>
    <w:rsid w:val="00675127"/>
    <w:rsid w:val="00675E57"/>
    <w:rsid w:val="00676DC8"/>
    <w:rsid w:val="00677CDD"/>
    <w:rsid w:val="00680EF9"/>
    <w:rsid w:val="0068122B"/>
    <w:rsid w:val="0068405A"/>
    <w:rsid w:val="006843A6"/>
    <w:rsid w:val="006843D6"/>
    <w:rsid w:val="006846A5"/>
    <w:rsid w:val="006861FF"/>
    <w:rsid w:val="00686A66"/>
    <w:rsid w:val="00687B91"/>
    <w:rsid w:val="006915ED"/>
    <w:rsid w:val="00691625"/>
    <w:rsid w:val="00694467"/>
    <w:rsid w:val="006945C5"/>
    <w:rsid w:val="00696501"/>
    <w:rsid w:val="00696D87"/>
    <w:rsid w:val="00696DFF"/>
    <w:rsid w:val="00697E17"/>
    <w:rsid w:val="006A0223"/>
    <w:rsid w:val="006A0628"/>
    <w:rsid w:val="006A2812"/>
    <w:rsid w:val="006A4CA9"/>
    <w:rsid w:val="006A4D8C"/>
    <w:rsid w:val="006A673D"/>
    <w:rsid w:val="006B0855"/>
    <w:rsid w:val="006B2245"/>
    <w:rsid w:val="006B257B"/>
    <w:rsid w:val="006B393B"/>
    <w:rsid w:val="006B4B07"/>
    <w:rsid w:val="006B694D"/>
    <w:rsid w:val="006C0981"/>
    <w:rsid w:val="006C1AA1"/>
    <w:rsid w:val="006C2EF1"/>
    <w:rsid w:val="006C3DF3"/>
    <w:rsid w:val="006C4698"/>
    <w:rsid w:val="006C4B8A"/>
    <w:rsid w:val="006C4F62"/>
    <w:rsid w:val="006C6718"/>
    <w:rsid w:val="006D1CFB"/>
    <w:rsid w:val="006D2022"/>
    <w:rsid w:val="006D207E"/>
    <w:rsid w:val="006D219C"/>
    <w:rsid w:val="006D2204"/>
    <w:rsid w:val="006D2CD1"/>
    <w:rsid w:val="006D3CDA"/>
    <w:rsid w:val="006D46F9"/>
    <w:rsid w:val="006D4D12"/>
    <w:rsid w:val="006D64CA"/>
    <w:rsid w:val="006D67A7"/>
    <w:rsid w:val="006D7AD9"/>
    <w:rsid w:val="006E1CC4"/>
    <w:rsid w:val="006E2236"/>
    <w:rsid w:val="006E26F3"/>
    <w:rsid w:val="006E2BD2"/>
    <w:rsid w:val="006E3DB0"/>
    <w:rsid w:val="006E4869"/>
    <w:rsid w:val="006E4995"/>
    <w:rsid w:val="006E4BC1"/>
    <w:rsid w:val="006E6302"/>
    <w:rsid w:val="006E6A75"/>
    <w:rsid w:val="006E7611"/>
    <w:rsid w:val="006E7BC4"/>
    <w:rsid w:val="006F3916"/>
    <w:rsid w:val="006F4E3B"/>
    <w:rsid w:val="006F6B15"/>
    <w:rsid w:val="006F6F98"/>
    <w:rsid w:val="00702455"/>
    <w:rsid w:val="00702A07"/>
    <w:rsid w:val="00704DC6"/>
    <w:rsid w:val="00710C4C"/>
    <w:rsid w:val="00711B82"/>
    <w:rsid w:val="0071238E"/>
    <w:rsid w:val="00712F78"/>
    <w:rsid w:val="007135C3"/>
    <w:rsid w:val="0071380F"/>
    <w:rsid w:val="00713BC9"/>
    <w:rsid w:val="007158C8"/>
    <w:rsid w:val="00715CB2"/>
    <w:rsid w:val="00716468"/>
    <w:rsid w:val="007218CB"/>
    <w:rsid w:val="00722ABB"/>
    <w:rsid w:val="00723F8C"/>
    <w:rsid w:val="007240A7"/>
    <w:rsid w:val="007240FF"/>
    <w:rsid w:val="00724800"/>
    <w:rsid w:val="00725D88"/>
    <w:rsid w:val="00727CA4"/>
    <w:rsid w:val="00732904"/>
    <w:rsid w:val="00733066"/>
    <w:rsid w:val="007353FD"/>
    <w:rsid w:val="007367C4"/>
    <w:rsid w:val="00740954"/>
    <w:rsid w:val="007451E0"/>
    <w:rsid w:val="007456CA"/>
    <w:rsid w:val="007463AD"/>
    <w:rsid w:val="00747195"/>
    <w:rsid w:val="00750869"/>
    <w:rsid w:val="00750D25"/>
    <w:rsid w:val="00750D9B"/>
    <w:rsid w:val="00751E0B"/>
    <w:rsid w:val="00753294"/>
    <w:rsid w:val="007539DB"/>
    <w:rsid w:val="0075424A"/>
    <w:rsid w:val="007549EA"/>
    <w:rsid w:val="00757A70"/>
    <w:rsid w:val="00757EC1"/>
    <w:rsid w:val="007603EA"/>
    <w:rsid w:val="00760DE0"/>
    <w:rsid w:val="00761A97"/>
    <w:rsid w:val="00764EFF"/>
    <w:rsid w:val="0076560B"/>
    <w:rsid w:val="007663E0"/>
    <w:rsid w:val="00770789"/>
    <w:rsid w:val="00772399"/>
    <w:rsid w:val="00772B56"/>
    <w:rsid w:val="007730C4"/>
    <w:rsid w:val="00773BAC"/>
    <w:rsid w:val="00774A21"/>
    <w:rsid w:val="00776914"/>
    <w:rsid w:val="007770CD"/>
    <w:rsid w:val="007773A7"/>
    <w:rsid w:val="007778E2"/>
    <w:rsid w:val="00777CED"/>
    <w:rsid w:val="007807C1"/>
    <w:rsid w:val="00781526"/>
    <w:rsid w:val="00781BE9"/>
    <w:rsid w:val="00781E63"/>
    <w:rsid w:val="00783853"/>
    <w:rsid w:val="00783C5D"/>
    <w:rsid w:val="00783D99"/>
    <w:rsid w:val="0078534E"/>
    <w:rsid w:val="0078555F"/>
    <w:rsid w:val="00787063"/>
    <w:rsid w:val="0079135B"/>
    <w:rsid w:val="007913B8"/>
    <w:rsid w:val="00792809"/>
    <w:rsid w:val="00792E28"/>
    <w:rsid w:val="00793272"/>
    <w:rsid w:val="00793768"/>
    <w:rsid w:val="0079598E"/>
    <w:rsid w:val="00795C2C"/>
    <w:rsid w:val="007A103F"/>
    <w:rsid w:val="007A1EDF"/>
    <w:rsid w:val="007A2035"/>
    <w:rsid w:val="007A4556"/>
    <w:rsid w:val="007A5968"/>
    <w:rsid w:val="007A5E52"/>
    <w:rsid w:val="007A637B"/>
    <w:rsid w:val="007A73B2"/>
    <w:rsid w:val="007B0F46"/>
    <w:rsid w:val="007B1235"/>
    <w:rsid w:val="007B1F0C"/>
    <w:rsid w:val="007B216D"/>
    <w:rsid w:val="007B4465"/>
    <w:rsid w:val="007B44EA"/>
    <w:rsid w:val="007B519F"/>
    <w:rsid w:val="007B58AC"/>
    <w:rsid w:val="007B5C35"/>
    <w:rsid w:val="007B6F67"/>
    <w:rsid w:val="007B735B"/>
    <w:rsid w:val="007B7B04"/>
    <w:rsid w:val="007B7B77"/>
    <w:rsid w:val="007C0622"/>
    <w:rsid w:val="007C0818"/>
    <w:rsid w:val="007C09C1"/>
    <w:rsid w:val="007C1259"/>
    <w:rsid w:val="007C3281"/>
    <w:rsid w:val="007C3A16"/>
    <w:rsid w:val="007C571B"/>
    <w:rsid w:val="007C6155"/>
    <w:rsid w:val="007C7693"/>
    <w:rsid w:val="007D0160"/>
    <w:rsid w:val="007D050F"/>
    <w:rsid w:val="007D082A"/>
    <w:rsid w:val="007D33DB"/>
    <w:rsid w:val="007D3CE7"/>
    <w:rsid w:val="007D4C1F"/>
    <w:rsid w:val="007D4F5D"/>
    <w:rsid w:val="007D50C8"/>
    <w:rsid w:val="007D679D"/>
    <w:rsid w:val="007E1D33"/>
    <w:rsid w:val="007E36C1"/>
    <w:rsid w:val="007E3B3E"/>
    <w:rsid w:val="007E40B2"/>
    <w:rsid w:val="007E4AD4"/>
    <w:rsid w:val="007E4F65"/>
    <w:rsid w:val="007E7267"/>
    <w:rsid w:val="007E7E83"/>
    <w:rsid w:val="007F244E"/>
    <w:rsid w:val="007F2500"/>
    <w:rsid w:val="008005A3"/>
    <w:rsid w:val="0080105F"/>
    <w:rsid w:val="008020D3"/>
    <w:rsid w:val="00802B58"/>
    <w:rsid w:val="008054BE"/>
    <w:rsid w:val="00805965"/>
    <w:rsid w:val="00805C40"/>
    <w:rsid w:val="00807A0D"/>
    <w:rsid w:val="008120D9"/>
    <w:rsid w:val="00821CCA"/>
    <w:rsid w:val="008223A9"/>
    <w:rsid w:val="00823366"/>
    <w:rsid w:val="00823FDE"/>
    <w:rsid w:val="00824823"/>
    <w:rsid w:val="008250E8"/>
    <w:rsid w:val="008258A2"/>
    <w:rsid w:val="00825D4B"/>
    <w:rsid w:val="00825D85"/>
    <w:rsid w:val="00825DBF"/>
    <w:rsid w:val="00826765"/>
    <w:rsid w:val="00826863"/>
    <w:rsid w:val="008277DC"/>
    <w:rsid w:val="00827B52"/>
    <w:rsid w:val="00834DCF"/>
    <w:rsid w:val="0083708C"/>
    <w:rsid w:val="008407C7"/>
    <w:rsid w:val="008411B3"/>
    <w:rsid w:val="00843325"/>
    <w:rsid w:val="0084533A"/>
    <w:rsid w:val="00846250"/>
    <w:rsid w:val="0085296A"/>
    <w:rsid w:val="00852EA3"/>
    <w:rsid w:val="00852ECA"/>
    <w:rsid w:val="00854109"/>
    <w:rsid w:val="00854197"/>
    <w:rsid w:val="0085457E"/>
    <w:rsid w:val="008566EF"/>
    <w:rsid w:val="0085682C"/>
    <w:rsid w:val="00856961"/>
    <w:rsid w:val="008569CD"/>
    <w:rsid w:val="008578CA"/>
    <w:rsid w:val="008600A2"/>
    <w:rsid w:val="00860D3A"/>
    <w:rsid w:val="00861D87"/>
    <w:rsid w:val="00861DD7"/>
    <w:rsid w:val="00863395"/>
    <w:rsid w:val="008641EE"/>
    <w:rsid w:val="00864378"/>
    <w:rsid w:val="00864F13"/>
    <w:rsid w:val="00865ED4"/>
    <w:rsid w:val="0086696D"/>
    <w:rsid w:val="00866F39"/>
    <w:rsid w:val="0087180E"/>
    <w:rsid w:val="00871C40"/>
    <w:rsid w:val="0087272D"/>
    <w:rsid w:val="00876751"/>
    <w:rsid w:val="00876CA4"/>
    <w:rsid w:val="0087704C"/>
    <w:rsid w:val="0087791D"/>
    <w:rsid w:val="008806AA"/>
    <w:rsid w:val="00880F9B"/>
    <w:rsid w:val="0088156D"/>
    <w:rsid w:val="00882406"/>
    <w:rsid w:val="00884E3D"/>
    <w:rsid w:val="00887199"/>
    <w:rsid w:val="00887DF6"/>
    <w:rsid w:val="00890162"/>
    <w:rsid w:val="008912AF"/>
    <w:rsid w:val="008919D2"/>
    <w:rsid w:val="00891D8E"/>
    <w:rsid w:val="008927D5"/>
    <w:rsid w:val="0089336E"/>
    <w:rsid w:val="00893BDE"/>
    <w:rsid w:val="0089413A"/>
    <w:rsid w:val="008955E6"/>
    <w:rsid w:val="008A196B"/>
    <w:rsid w:val="008A2DC7"/>
    <w:rsid w:val="008A30FA"/>
    <w:rsid w:val="008A329B"/>
    <w:rsid w:val="008A3FA6"/>
    <w:rsid w:val="008A4986"/>
    <w:rsid w:val="008A4A8B"/>
    <w:rsid w:val="008A644C"/>
    <w:rsid w:val="008A7573"/>
    <w:rsid w:val="008B01BE"/>
    <w:rsid w:val="008B06BD"/>
    <w:rsid w:val="008B1996"/>
    <w:rsid w:val="008B21B9"/>
    <w:rsid w:val="008B45ED"/>
    <w:rsid w:val="008B4C18"/>
    <w:rsid w:val="008B52D3"/>
    <w:rsid w:val="008B58F4"/>
    <w:rsid w:val="008B6332"/>
    <w:rsid w:val="008B708A"/>
    <w:rsid w:val="008B7E6A"/>
    <w:rsid w:val="008C1100"/>
    <w:rsid w:val="008C3759"/>
    <w:rsid w:val="008C5680"/>
    <w:rsid w:val="008C69D5"/>
    <w:rsid w:val="008D0099"/>
    <w:rsid w:val="008D0567"/>
    <w:rsid w:val="008D0FB8"/>
    <w:rsid w:val="008D1BCB"/>
    <w:rsid w:val="008D25DB"/>
    <w:rsid w:val="008D5116"/>
    <w:rsid w:val="008D5893"/>
    <w:rsid w:val="008D5C89"/>
    <w:rsid w:val="008D5E94"/>
    <w:rsid w:val="008D66AF"/>
    <w:rsid w:val="008D6B1A"/>
    <w:rsid w:val="008D7300"/>
    <w:rsid w:val="008D7318"/>
    <w:rsid w:val="008E21D7"/>
    <w:rsid w:val="008E273C"/>
    <w:rsid w:val="008E763A"/>
    <w:rsid w:val="008F065A"/>
    <w:rsid w:val="008F171E"/>
    <w:rsid w:val="008F4595"/>
    <w:rsid w:val="00900E21"/>
    <w:rsid w:val="00900F91"/>
    <w:rsid w:val="0090198C"/>
    <w:rsid w:val="00901D54"/>
    <w:rsid w:val="009024F9"/>
    <w:rsid w:val="0090380E"/>
    <w:rsid w:val="0090644B"/>
    <w:rsid w:val="009068F2"/>
    <w:rsid w:val="00907400"/>
    <w:rsid w:val="009102C3"/>
    <w:rsid w:val="009104E8"/>
    <w:rsid w:val="00910C25"/>
    <w:rsid w:val="00910CBE"/>
    <w:rsid w:val="009114B6"/>
    <w:rsid w:val="009115BE"/>
    <w:rsid w:val="00912046"/>
    <w:rsid w:val="00912DD5"/>
    <w:rsid w:val="0091304A"/>
    <w:rsid w:val="00914F71"/>
    <w:rsid w:val="009165F2"/>
    <w:rsid w:val="00917705"/>
    <w:rsid w:val="00917FCA"/>
    <w:rsid w:val="0092026E"/>
    <w:rsid w:val="009209F8"/>
    <w:rsid w:val="0092219C"/>
    <w:rsid w:val="00923436"/>
    <w:rsid w:val="00923F6C"/>
    <w:rsid w:val="00924AAB"/>
    <w:rsid w:val="0093004B"/>
    <w:rsid w:val="00930A96"/>
    <w:rsid w:val="00930BF6"/>
    <w:rsid w:val="00931B4D"/>
    <w:rsid w:val="00931CB5"/>
    <w:rsid w:val="00932C82"/>
    <w:rsid w:val="009340F6"/>
    <w:rsid w:val="00934D18"/>
    <w:rsid w:val="00935111"/>
    <w:rsid w:val="00935BE8"/>
    <w:rsid w:val="00936133"/>
    <w:rsid w:val="009362E8"/>
    <w:rsid w:val="009375F3"/>
    <w:rsid w:val="00937EB4"/>
    <w:rsid w:val="00943928"/>
    <w:rsid w:val="00945063"/>
    <w:rsid w:val="00945327"/>
    <w:rsid w:val="0094542B"/>
    <w:rsid w:val="009459E4"/>
    <w:rsid w:val="00945E29"/>
    <w:rsid w:val="00947E84"/>
    <w:rsid w:val="0095010C"/>
    <w:rsid w:val="00950420"/>
    <w:rsid w:val="0095182D"/>
    <w:rsid w:val="00953F6D"/>
    <w:rsid w:val="00956267"/>
    <w:rsid w:val="00956E46"/>
    <w:rsid w:val="009573BD"/>
    <w:rsid w:val="009574A7"/>
    <w:rsid w:val="0095793F"/>
    <w:rsid w:val="00960189"/>
    <w:rsid w:val="00960506"/>
    <w:rsid w:val="00961F2D"/>
    <w:rsid w:val="009623A1"/>
    <w:rsid w:val="0096334A"/>
    <w:rsid w:val="00964D91"/>
    <w:rsid w:val="00965282"/>
    <w:rsid w:val="00967956"/>
    <w:rsid w:val="00967E3B"/>
    <w:rsid w:val="0097375D"/>
    <w:rsid w:val="00981133"/>
    <w:rsid w:val="0098201B"/>
    <w:rsid w:val="00982D6B"/>
    <w:rsid w:val="00983ADC"/>
    <w:rsid w:val="009847EE"/>
    <w:rsid w:val="00984CC1"/>
    <w:rsid w:val="0098526C"/>
    <w:rsid w:val="00986D17"/>
    <w:rsid w:val="00987F8B"/>
    <w:rsid w:val="009903A2"/>
    <w:rsid w:val="00992F9F"/>
    <w:rsid w:val="00993384"/>
    <w:rsid w:val="00995B67"/>
    <w:rsid w:val="00996645"/>
    <w:rsid w:val="009A06A1"/>
    <w:rsid w:val="009A1990"/>
    <w:rsid w:val="009A4836"/>
    <w:rsid w:val="009A5017"/>
    <w:rsid w:val="009A6A96"/>
    <w:rsid w:val="009A7185"/>
    <w:rsid w:val="009A7248"/>
    <w:rsid w:val="009A7713"/>
    <w:rsid w:val="009A78D6"/>
    <w:rsid w:val="009B00E8"/>
    <w:rsid w:val="009B1885"/>
    <w:rsid w:val="009B2909"/>
    <w:rsid w:val="009B373D"/>
    <w:rsid w:val="009B60DD"/>
    <w:rsid w:val="009B6662"/>
    <w:rsid w:val="009B6B71"/>
    <w:rsid w:val="009C0469"/>
    <w:rsid w:val="009C0994"/>
    <w:rsid w:val="009C19FC"/>
    <w:rsid w:val="009C2E51"/>
    <w:rsid w:val="009C7DF9"/>
    <w:rsid w:val="009D0031"/>
    <w:rsid w:val="009D02F2"/>
    <w:rsid w:val="009D2280"/>
    <w:rsid w:val="009D26F7"/>
    <w:rsid w:val="009D3581"/>
    <w:rsid w:val="009D5A16"/>
    <w:rsid w:val="009D5ABB"/>
    <w:rsid w:val="009D6A06"/>
    <w:rsid w:val="009D7241"/>
    <w:rsid w:val="009D7898"/>
    <w:rsid w:val="009D7BCB"/>
    <w:rsid w:val="009E13DB"/>
    <w:rsid w:val="009E2279"/>
    <w:rsid w:val="009E2899"/>
    <w:rsid w:val="009E32FD"/>
    <w:rsid w:val="009E376F"/>
    <w:rsid w:val="009E5271"/>
    <w:rsid w:val="009F03E6"/>
    <w:rsid w:val="009F0F02"/>
    <w:rsid w:val="009F12B2"/>
    <w:rsid w:val="009F1350"/>
    <w:rsid w:val="009F2A0F"/>
    <w:rsid w:val="009F38C3"/>
    <w:rsid w:val="009F4E1F"/>
    <w:rsid w:val="009F50C8"/>
    <w:rsid w:val="009F51B7"/>
    <w:rsid w:val="009F64E4"/>
    <w:rsid w:val="009F69B7"/>
    <w:rsid w:val="009F754F"/>
    <w:rsid w:val="00A002F3"/>
    <w:rsid w:val="00A01C64"/>
    <w:rsid w:val="00A028E8"/>
    <w:rsid w:val="00A04061"/>
    <w:rsid w:val="00A040E9"/>
    <w:rsid w:val="00A046F7"/>
    <w:rsid w:val="00A04924"/>
    <w:rsid w:val="00A04B37"/>
    <w:rsid w:val="00A050F1"/>
    <w:rsid w:val="00A067E4"/>
    <w:rsid w:val="00A0698E"/>
    <w:rsid w:val="00A1008A"/>
    <w:rsid w:val="00A100B3"/>
    <w:rsid w:val="00A10BFA"/>
    <w:rsid w:val="00A114D4"/>
    <w:rsid w:val="00A12032"/>
    <w:rsid w:val="00A1262E"/>
    <w:rsid w:val="00A12C78"/>
    <w:rsid w:val="00A12D06"/>
    <w:rsid w:val="00A12DFB"/>
    <w:rsid w:val="00A144EC"/>
    <w:rsid w:val="00A14BDC"/>
    <w:rsid w:val="00A15D29"/>
    <w:rsid w:val="00A15EC7"/>
    <w:rsid w:val="00A15F54"/>
    <w:rsid w:val="00A17D85"/>
    <w:rsid w:val="00A17DC7"/>
    <w:rsid w:val="00A222F9"/>
    <w:rsid w:val="00A2394B"/>
    <w:rsid w:val="00A239E9"/>
    <w:rsid w:val="00A263D1"/>
    <w:rsid w:val="00A264A4"/>
    <w:rsid w:val="00A30379"/>
    <w:rsid w:val="00A30BB0"/>
    <w:rsid w:val="00A3132B"/>
    <w:rsid w:val="00A3135B"/>
    <w:rsid w:val="00A31F2A"/>
    <w:rsid w:val="00A32725"/>
    <w:rsid w:val="00A34629"/>
    <w:rsid w:val="00A34EBE"/>
    <w:rsid w:val="00A350C8"/>
    <w:rsid w:val="00A3604A"/>
    <w:rsid w:val="00A41E70"/>
    <w:rsid w:val="00A4268C"/>
    <w:rsid w:val="00A4550E"/>
    <w:rsid w:val="00A53088"/>
    <w:rsid w:val="00A53751"/>
    <w:rsid w:val="00A542E1"/>
    <w:rsid w:val="00A54997"/>
    <w:rsid w:val="00A553BD"/>
    <w:rsid w:val="00A5557F"/>
    <w:rsid w:val="00A566C5"/>
    <w:rsid w:val="00A60F03"/>
    <w:rsid w:val="00A6215C"/>
    <w:rsid w:val="00A62FAF"/>
    <w:rsid w:val="00A639EE"/>
    <w:rsid w:val="00A63C20"/>
    <w:rsid w:val="00A64C1D"/>
    <w:rsid w:val="00A67785"/>
    <w:rsid w:val="00A702A6"/>
    <w:rsid w:val="00A716AA"/>
    <w:rsid w:val="00A71C57"/>
    <w:rsid w:val="00A75A1F"/>
    <w:rsid w:val="00A75E09"/>
    <w:rsid w:val="00A76B9E"/>
    <w:rsid w:val="00A77987"/>
    <w:rsid w:val="00A810C4"/>
    <w:rsid w:val="00A816E2"/>
    <w:rsid w:val="00A82874"/>
    <w:rsid w:val="00A84395"/>
    <w:rsid w:val="00A945C2"/>
    <w:rsid w:val="00A94978"/>
    <w:rsid w:val="00A94B7A"/>
    <w:rsid w:val="00A96B55"/>
    <w:rsid w:val="00A96F7E"/>
    <w:rsid w:val="00A978D3"/>
    <w:rsid w:val="00A97E0E"/>
    <w:rsid w:val="00AA0146"/>
    <w:rsid w:val="00AA1910"/>
    <w:rsid w:val="00AA21A7"/>
    <w:rsid w:val="00AA2D95"/>
    <w:rsid w:val="00AA304E"/>
    <w:rsid w:val="00AA7A37"/>
    <w:rsid w:val="00AB0D8D"/>
    <w:rsid w:val="00AB1DA2"/>
    <w:rsid w:val="00AB22DD"/>
    <w:rsid w:val="00AB2F1A"/>
    <w:rsid w:val="00AB3E34"/>
    <w:rsid w:val="00AB7188"/>
    <w:rsid w:val="00AC13C3"/>
    <w:rsid w:val="00AC2685"/>
    <w:rsid w:val="00AC2757"/>
    <w:rsid w:val="00AC4664"/>
    <w:rsid w:val="00AC6D99"/>
    <w:rsid w:val="00AC72E6"/>
    <w:rsid w:val="00AD0B1B"/>
    <w:rsid w:val="00AD17A8"/>
    <w:rsid w:val="00AD62A8"/>
    <w:rsid w:val="00AD65E5"/>
    <w:rsid w:val="00AD72A4"/>
    <w:rsid w:val="00AE0932"/>
    <w:rsid w:val="00AE2C6F"/>
    <w:rsid w:val="00AE42B6"/>
    <w:rsid w:val="00AE5D6D"/>
    <w:rsid w:val="00AE6160"/>
    <w:rsid w:val="00AE6664"/>
    <w:rsid w:val="00AE6791"/>
    <w:rsid w:val="00AE6C29"/>
    <w:rsid w:val="00AE6E33"/>
    <w:rsid w:val="00AE7D25"/>
    <w:rsid w:val="00AF0F28"/>
    <w:rsid w:val="00AF58F0"/>
    <w:rsid w:val="00AF5C41"/>
    <w:rsid w:val="00AF5FFD"/>
    <w:rsid w:val="00AF6B02"/>
    <w:rsid w:val="00B001F7"/>
    <w:rsid w:val="00B00594"/>
    <w:rsid w:val="00B00C47"/>
    <w:rsid w:val="00B01341"/>
    <w:rsid w:val="00B03C0D"/>
    <w:rsid w:val="00B03CE4"/>
    <w:rsid w:val="00B03FC0"/>
    <w:rsid w:val="00B04145"/>
    <w:rsid w:val="00B04A3A"/>
    <w:rsid w:val="00B060C2"/>
    <w:rsid w:val="00B07424"/>
    <w:rsid w:val="00B104DD"/>
    <w:rsid w:val="00B10B1D"/>
    <w:rsid w:val="00B11069"/>
    <w:rsid w:val="00B112E3"/>
    <w:rsid w:val="00B1482A"/>
    <w:rsid w:val="00B1682F"/>
    <w:rsid w:val="00B16E9D"/>
    <w:rsid w:val="00B17901"/>
    <w:rsid w:val="00B17B04"/>
    <w:rsid w:val="00B20AB3"/>
    <w:rsid w:val="00B2402D"/>
    <w:rsid w:val="00B25E73"/>
    <w:rsid w:val="00B261D2"/>
    <w:rsid w:val="00B27969"/>
    <w:rsid w:val="00B300BA"/>
    <w:rsid w:val="00B30185"/>
    <w:rsid w:val="00B32FE9"/>
    <w:rsid w:val="00B338A3"/>
    <w:rsid w:val="00B353F1"/>
    <w:rsid w:val="00B36BE7"/>
    <w:rsid w:val="00B4061A"/>
    <w:rsid w:val="00B40F06"/>
    <w:rsid w:val="00B4109D"/>
    <w:rsid w:val="00B44D0D"/>
    <w:rsid w:val="00B44D61"/>
    <w:rsid w:val="00B45014"/>
    <w:rsid w:val="00B46546"/>
    <w:rsid w:val="00B50096"/>
    <w:rsid w:val="00B504E5"/>
    <w:rsid w:val="00B53189"/>
    <w:rsid w:val="00B53BB0"/>
    <w:rsid w:val="00B5444C"/>
    <w:rsid w:val="00B5612C"/>
    <w:rsid w:val="00B56578"/>
    <w:rsid w:val="00B56A23"/>
    <w:rsid w:val="00B56EE3"/>
    <w:rsid w:val="00B60030"/>
    <w:rsid w:val="00B6267D"/>
    <w:rsid w:val="00B62C6C"/>
    <w:rsid w:val="00B63230"/>
    <w:rsid w:val="00B63FFD"/>
    <w:rsid w:val="00B645EE"/>
    <w:rsid w:val="00B647F0"/>
    <w:rsid w:val="00B64C01"/>
    <w:rsid w:val="00B64EA5"/>
    <w:rsid w:val="00B65427"/>
    <w:rsid w:val="00B655FE"/>
    <w:rsid w:val="00B70645"/>
    <w:rsid w:val="00B72613"/>
    <w:rsid w:val="00B72F14"/>
    <w:rsid w:val="00B7373C"/>
    <w:rsid w:val="00B76411"/>
    <w:rsid w:val="00B77BF6"/>
    <w:rsid w:val="00B8001A"/>
    <w:rsid w:val="00B811C7"/>
    <w:rsid w:val="00B824ED"/>
    <w:rsid w:val="00B83ADA"/>
    <w:rsid w:val="00B83B7A"/>
    <w:rsid w:val="00B85A6F"/>
    <w:rsid w:val="00B94C5F"/>
    <w:rsid w:val="00B9654D"/>
    <w:rsid w:val="00B973BE"/>
    <w:rsid w:val="00BA2282"/>
    <w:rsid w:val="00BA2291"/>
    <w:rsid w:val="00BA3E50"/>
    <w:rsid w:val="00BA3F98"/>
    <w:rsid w:val="00BA5234"/>
    <w:rsid w:val="00BA5EF2"/>
    <w:rsid w:val="00BA61B6"/>
    <w:rsid w:val="00BB1ABB"/>
    <w:rsid w:val="00BB1C2E"/>
    <w:rsid w:val="00BB39A3"/>
    <w:rsid w:val="00BB712B"/>
    <w:rsid w:val="00BB79CB"/>
    <w:rsid w:val="00BB7C2F"/>
    <w:rsid w:val="00BC34DB"/>
    <w:rsid w:val="00BC41A7"/>
    <w:rsid w:val="00BC4937"/>
    <w:rsid w:val="00BC5544"/>
    <w:rsid w:val="00BC56EE"/>
    <w:rsid w:val="00BC5E53"/>
    <w:rsid w:val="00BC6217"/>
    <w:rsid w:val="00BC6369"/>
    <w:rsid w:val="00BD0409"/>
    <w:rsid w:val="00BD0884"/>
    <w:rsid w:val="00BD27FB"/>
    <w:rsid w:val="00BD30C5"/>
    <w:rsid w:val="00BD38D9"/>
    <w:rsid w:val="00BD7D59"/>
    <w:rsid w:val="00BE0347"/>
    <w:rsid w:val="00BE4553"/>
    <w:rsid w:val="00BE4B1C"/>
    <w:rsid w:val="00BE5FB6"/>
    <w:rsid w:val="00BF051F"/>
    <w:rsid w:val="00BF1B62"/>
    <w:rsid w:val="00BF484B"/>
    <w:rsid w:val="00BF4D1C"/>
    <w:rsid w:val="00BF5306"/>
    <w:rsid w:val="00BF5754"/>
    <w:rsid w:val="00BF6211"/>
    <w:rsid w:val="00BF7AAC"/>
    <w:rsid w:val="00C013AD"/>
    <w:rsid w:val="00C03B3E"/>
    <w:rsid w:val="00C04270"/>
    <w:rsid w:val="00C043F9"/>
    <w:rsid w:val="00C04AF8"/>
    <w:rsid w:val="00C04E1D"/>
    <w:rsid w:val="00C05F1F"/>
    <w:rsid w:val="00C10030"/>
    <w:rsid w:val="00C11D17"/>
    <w:rsid w:val="00C1202F"/>
    <w:rsid w:val="00C1271B"/>
    <w:rsid w:val="00C14C94"/>
    <w:rsid w:val="00C157D6"/>
    <w:rsid w:val="00C15A5C"/>
    <w:rsid w:val="00C1727B"/>
    <w:rsid w:val="00C17C56"/>
    <w:rsid w:val="00C22381"/>
    <w:rsid w:val="00C22B24"/>
    <w:rsid w:val="00C23829"/>
    <w:rsid w:val="00C23CD6"/>
    <w:rsid w:val="00C24282"/>
    <w:rsid w:val="00C2646E"/>
    <w:rsid w:val="00C26E1C"/>
    <w:rsid w:val="00C27637"/>
    <w:rsid w:val="00C3027B"/>
    <w:rsid w:val="00C30970"/>
    <w:rsid w:val="00C30D89"/>
    <w:rsid w:val="00C324B4"/>
    <w:rsid w:val="00C35326"/>
    <w:rsid w:val="00C35812"/>
    <w:rsid w:val="00C370FC"/>
    <w:rsid w:val="00C375B8"/>
    <w:rsid w:val="00C412BC"/>
    <w:rsid w:val="00C41DF8"/>
    <w:rsid w:val="00C42D06"/>
    <w:rsid w:val="00C437B6"/>
    <w:rsid w:val="00C43C02"/>
    <w:rsid w:val="00C44FD5"/>
    <w:rsid w:val="00C47C1C"/>
    <w:rsid w:val="00C47D20"/>
    <w:rsid w:val="00C50A0B"/>
    <w:rsid w:val="00C538FD"/>
    <w:rsid w:val="00C54E1D"/>
    <w:rsid w:val="00C563E7"/>
    <w:rsid w:val="00C5702F"/>
    <w:rsid w:val="00C57F03"/>
    <w:rsid w:val="00C61525"/>
    <w:rsid w:val="00C6252B"/>
    <w:rsid w:val="00C669A8"/>
    <w:rsid w:val="00C675DD"/>
    <w:rsid w:val="00C7170E"/>
    <w:rsid w:val="00C7326B"/>
    <w:rsid w:val="00C74ABC"/>
    <w:rsid w:val="00C74B7E"/>
    <w:rsid w:val="00C7574B"/>
    <w:rsid w:val="00C75EEC"/>
    <w:rsid w:val="00C7620E"/>
    <w:rsid w:val="00C767C0"/>
    <w:rsid w:val="00C77A41"/>
    <w:rsid w:val="00C77F36"/>
    <w:rsid w:val="00C80A9E"/>
    <w:rsid w:val="00C81179"/>
    <w:rsid w:val="00C821CF"/>
    <w:rsid w:val="00C82E53"/>
    <w:rsid w:val="00C83AA8"/>
    <w:rsid w:val="00C843FC"/>
    <w:rsid w:val="00C84554"/>
    <w:rsid w:val="00C84AC6"/>
    <w:rsid w:val="00C8515D"/>
    <w:rsid w:val="00C86A1C"/>
    <w:rsid w:val="00C873C3"/>
    <w:rsid w:val="00C90399"/>
    <w:rsid w:val="00C9121D"/>
    <w:rsid w:val="00C94650"/>
    <w:rsid w:val="00C957EA"/>
    <w:rsid w:val="00C96FC3"/>
    <w:rsid w:val="00CA20A0"/>
    <w:rsid w:val="00CA30AC"/>
    <w:rsid w:val="00CA3CF1"/>
    <w:rsid w:val="00CA3D5D"/>
    <w:rsid w:val="00CA53E6"/>
    <w:rsid w:val="00CA5C24"/>
    <w:rsid w:val="00CB086F"/>
    <w:rsid w:val="00CB0884"/>
    <w:rsid w:val="00CB2E2F"/>
    <w:rsid w:val="00CB40D9"/>
    <w:rsid w:val="00CB5137"/>
    <w:rsid w:val="00CB62C6"/>
    <w:rsid w:val="00CB71A1"/>
    <w:rsid w:val="00CB7AFA"/>
    <w:rsid w:val="00CC165A"/>
    <w:rsid w:val="00CC3208"/>
    <w:rsid w:val="00CC322B"/>
    <w:rsid w:val="00CC3942"/>
    <w:rsid w:val="00CC4477"/>
    <w:rsid w:val="00CC50D0"/>
    <w:rsid w:val="00CC6B9F"/>
    <w:rsid w:val="00CC6C06"/>
    <w:rsid w:val="00CC6DBA"/>
    <w:rsid w:val="00CC790D"/>
    <w:rsid w:val="00CD0B79"/>
    <w:rsid w:val="00CD15AE"/>
    <w:rsid w:val="00CD258C"/>
    <w:rsid w:val="00CD2ECE"/>
    <w:rsid w:val="00CD5965"/>
    <w:rsid w:val="00CD599F"/>
    <w:rsid w:val="00CD59F4"/>
    <w:rsid w:val="00CD5D0F"/>
    <w:rsid w:val="00CD60A7"/>
    <w:rsid w:val="00CD60BB"/>
    <w:rsid w:val="00CD687B"/>
    <w:rsid w:val="00CD6A62"/>
    <w:rsid w:val="00CE46D9"/>
    <w:rsid w:val="00CE4EB2"/>
    <w:rsid w:val="00CE52F1"/>
    <w:rsid w:val="00CE5932"/>
    <w:rsid w:val="00CE7ED1"/>
    <w:rsid w:val="00CF1574"/>
    <w:rsid w:val="00CF19A2"/>
    <w:rsid w:val="00CF1A78"/>
    <w:rsid w:val="00CF63F1"/>
    <w:rsid w:val="00CF66AB"/>
    <w:rsid w:val="00CF6C43"/>
    <w:rsid w:val="00CF7B4A"/>
    <w:rsid w:val="00D007CD"/>
    <w:rsid w:val="00D0614F"/>
    <w:rsid w:val="00D073E8"/>
    <w:rsid w:val="00D101E4"/>
    <w:rsid w:val="00D10DF9"/>
    <w:rsid w:val="00D11E26"/>
    <w:rsid w:val="00D12FDA"/>
    <w:rsid w:val="00D208D3"/>
    <w:rsid w:val="00D2297D"/>
    <w:rsid w:val="00D243D8"/>
    <w:rsid w:val="00D259C2"/>
    <w:rsid w:val="00D25AAC"/>
    <w:rsid w:val="00D25B28"/>
    <w:rsid w:val="00D26963"/>
    <w:rsid w:val="00D30DE1"/>
    <w:rsid w:val="00D33E30"/>
    <w:rsid w:val="00D342D2"/>
    <w:rsid w:val="00D34BCC"/>
    <w:rsid w:val="00D378CF"/>
    <w:rsid w:val="00D412BE"/>
    <w:rsid w:val="00D416C9"/>
    <w:rsid w:val="00D41B36"/>
    <w:rsid w:val="00D43D74"/>
    <w:rsid w:val="00D43E38"/>
    <w:rsid w:val="00D44C88"/>
    <w:rsid w:val="00D46507"/>
    <w:rsid w:val="00D523F6"/>
    <w:rsid w:val="00D5259D"/>
    <w:rsid w:val="00D53193"/>
    <w:rsid w:val="00D54BB8"/>
    <w:rsid w:val="00D54C82"/>
    <w:rsid w:val="00D557F8"/>
    <w:rsid w:val="00D56754"/>
    <w:rsid w:val="00D57C1B"/>
    <w:rsid w:val="00D6045A"/>
    <w:rsid w:val="00D6180B"/>
    <w:rsid w:val="00D62CFA"/>
    <w:rsid w:val="00D637AE"/>
    <w:rsid w:val="00D63F8A"/>
    <w:rsid w:val="00D64AF4"/>
    <w:rsid w:val="00D656E8"/>
    <w:rsid w:val="00D66687"/>
    <w:rsid w:val="00D666FD"/>
    <w:rsid w:val="00D71321"/>
    <w:rsid w:val="00D71777"/>
    <w:rsid w:val="00D71854"/>
    <w:rsid w:val="00D72E48"/>
    <w:rsid w:val="00D73B00"/>
    <w:rsid w:val="00D73F26"/>
    <w:rsid w:val="00D74C0C"/>
    <w:rsid w:val="00D74EDE"/>
    <w:rsid w:val="00D75CF4"/>
    <w:rsid w:val="00D76D78"/>
    <w:rsid w:val="00D77B83"/>
    <w:rsid w:val="00D816B5"/>
    <w:rsid w:val="00D82A19"/>
    <w:rsid w:val="00D83601"/>
    <w:rsid w:val="00D855E2"/>
    <w:rsid w:val="00D8578D"/>
    <w:rsid w:val="00D86517"/>
    <w:rsid w:val="00D90771"/>
    <w:rsid w:val="00D9243F"/>
    <w:rsid w:val="00D937E7"/>
    <w:rsid w:val="00D95629"/>
    <w:rsid w:val="00D956A7"/>
    <w:rsid w:val="00D9671E"/>
    <w:rsid w:val="00D96AF7"/>
    <w:rsid w:val="00DA36A6"/>
    <w:rsid w:val="00DA45C2"/>
    <w:rsid w:val="00DA4893"/>
    <w:rsid w:val="00DA5E43"/>
    <w:rsid w:val="00DA6750"/>
    <w:rsid w:val="00DA7FFE"/>
    <w:rsid w:val="00DB0FE7"/>
    <w:rsid w:val="00DB1836"/>
    <w:rsid w:val="00DB1B1C"/>
    <w:rsid w:val="00DB1BC8"/>
    <w:rsid w:val="00DB2368"/>
    <w:rsid w:val="00DB2B02"/>
    <w:rsid w:val="00DB46C5"/>
    <w:rsid w:val="00DB4E3D"/>
    <w:rsid w:val="00DB60BD"/>
    <w:rsid w:val="00DB7B4A"/>
    <w:rsid w:val="00DC0161"/>
    <w:rsid w:val="00DC0F9D"/>
    <w:rsid w:val="00DC1D88"/>
    <w:rsid w:val="00DC3129"/>
    <w:rsid w:val="00DC366B"/>
    <w:rsid w:val="00DC3C31"/>
    <w:rsid w:val="00DC3E4E"/>
    <w:rsid w:val="00DC3F9E"/>
    <w:rsid w:val="00DC47C8"/>
    <w:rsid w:val="00DC6B4D"/>
    <w:rsid w:val="00DD1BF4"/>
    <w:rsid w:val="00DD2FE4"/>
    <w:rsid w:val="00DD5FC1"/>
    <w:rsid w:val="00DD6684"/>
    <w:rsid w:val="00DD7F88"/>
    <w:rsid w:val="00DE0104"/>
    <w:rsid w:val="00DE01B2"/>
    <w:rsid w:val="00DE1D41"/>
    <w:rsid w:val="00DE1FCA"/>
    <w:rsid w:val="00DE2A53"/>
    <w:rsid w:val="00DE340B"/>
    <w:rsid w:val="00DE3A94"/>
    <w:rsid w:val="00DE4FC2"/>
    <w:rsid w:val="00DE768C"/>
    <w:rsid w:val="00DE7AD8"/>
    <w:rsid w:val="00DF138C"/>
    <w:rsid w:val="00DF2D95"/>
    <w:rsid w:val="00DF35E2"/>
    <w:rsid w:val="00DF3789"/>
    <w:rsid w:val="00DF3C81"/>
    <w:rsid w:val="00DF45DF"/>
    <w:rsid w:val="00DF4943"/>
    <w:rsid w:val="00DF49AE"/>
    <w:rsid w:val="00DF59B2"/>
    <w:rsid w:val="00DF5DD1"/>
    <w:rsid w:val="00DF7880"/>
    <w:rsid w:val="00DF7A53"/>
    <w:rsid w:val="00DF7B52"/>
    <w:rsid w:val="00E010C7"/>
    <w:rsid w:val="00E03004"/>
    <w:rsid w:val="00E0390E"/>
    <w:rsid w:val="00E06968"/>
    <w:rsid w:val="00E1108C"/>
    <w:rsid w:val="00E113FC"/>
    <w:rsid w:val="00E11FA0"/>
    <w:rsid w:val="00E12499"/>
    <w:rsid w:val="00E149B6"/>
    <w:rsid w:val="00E14E2B"/>
    <w:rsid w:val="00E15475"/>
    <w:rsid w:val="00E17315"/>
    <w:rsid w:val="00E179AF"/>
    <w:rsid w:val="00E20ACD"/>
    <w:rsid w:val="00E20FE1"/>
    <w:rsid w:val="00E21E12"/>
    <w:rsid w:val="00E2299C"/>
    <w:rsid w:val="00E22B8F"/>
    <w:rsid w:val="00E23401"/>
    <w:rsid w:val="00E237C6"/>
    <w:rsid w:val="00E23CF4"/>
    <w:rsid w:val="00E2402F"/>
    <w:rsid w:val="00E25FFD"/>
    <w:rsid w:val="00E26359"/>
    <w:rsid w:val="00E26EC1"/>
    <w:rsid w:val="00E3214E"/>
    <w:rsid w:val="00E352C2"/>
    <w:rsid w:val="00E360F2"/>
    <w:rsid w:val="00E36793"/>
    <w:rsid w:val="00E36AED"/>
    <w:rsid w:val="00E40362"/>
    <w:rsid w:val="00E4246D"/>
    <w:rsid w:val="00E428F8"/>
    <w:rsid w:val="00E42FDD"/>
    <w:rsid w:val="00E434C6"/>
    <w:rsid w:val="00E4507A"/>
    <w:rsid w:val="00E465FA"/>
    <w:rsid w:val="00E473C9"/>
    <w:rsid w:val="00E47C91"/>
    <w:rsid w:val="00E5076E"/>
    <w:rsid w:val="00E51982"/>
    <w:rsid w:val="00E5340E"/>
    <w:rsid w:val="00E53665"/>
    <w:rsid w:val="00E53C0D"/>
    <w:rsid w:val="00E545B6"/>
    <w:rsid w:val="00E5465B"/>
    <w:rsid w:val="00E551EA"/>
    <w:rsid w:val="00E55E6D"/>
    <w:rsid w:val="00E55F14"/>
    <w:rsid w:val="00E56282"/>
    <w:rsid w:val="00E5778A"/>
    <w:rsid w:val="00E60976"/>
    <w:rsid w:val="00E60E1F"/>
    <w:rsid w:val="00E60F17"/>
    <w:rsid w:val="00E61166"/>
    <w:rsid w:val="00E614C8"/>
    <w:rsid w:val="00E62550"/>
    <w:rsid w:val="00E631B2"/>
    <w:rsid w:val="00E6428F"/>
    <w:rsid w:val="00E6475B"/>
    <w:rsid w:val="00E64C03"/>
    <w:rsid w:val="00E656EE"/>
    <w:rsid w:val="00E65EB1"/>
    <w:rsid w:val="00E66FA8"/>
    <w:rsid w:val="00E70365"/>
    <w:rsid w:val="00E70F2A"/>
    <w:rsid w:val="00E71731"/>
    <w:rsid w:val="00E72F51"/>
    <w:rsid w:val="00E7386D"/>
    <w:rsid w:val="00E739E8"/>
    <w:rsid w:val="00E76E33"/>
    <w:rsid w:val="00E8028C"/>
    <w:rsid w:val="00E81216"/>
    <w:rsid w:val="00E81A10"/>
    <w:rsid w:val="00E828FD"/>
    <w:rsid w:val="00E85084"/>
    <w:rsid w:val="00E86052"/>
    <w:rsid w:val="00E86EA9"/>
    <w:rsid w:val="00E87646"/>
    <w:rsid w:val="00E87CA5"/>
    <w:rsid w:val="00E912D1"/>
    <w:rsid w:val="00E92401"/>
    <w:rsid w:val="00E92755"/>
    <w:rsid w:val="00E93268"/>
    <w:rsid w:val="00E94A80"/>
    <w:rsid w:val="00E96623"/>
    <w:rsid w:val="00E97200"/>
    <w:rsid w:val="00E97A2A"/>
    <w:rsid w:val="00EA0D23"/>
    <w:rsid w:val="00EA17A4"/>
    <w:rsid w:val="00EA183B"/>
    <w:rsid w:val="00EA2144"/>
    <w:rsid w:val="00EA228C"/>
    <w:rsid w:val="00EA39FC"/>
    <w:rsid w:val="00EA4DC2"/>
    <w:rsid w:val="00EA4F17"/>
    <w:rsid w:val="00EB03B2"/>
    <w:rsid w:val="00EB0497"/>
    <w:rsid w:val="00EB236B"/>
    <w:rsid w:val="00EB305C"/>
    <w:rsid w:val="00EB3905"/>
    <w:rsid w:val="00EB3CA4"/>
    <w:rsid w:val="00EB4722"/>
    <w:rsid w:val="00EB4C00"/>
    <w:rsid w:val="00EB50A3"/>
    <w:rsid w:val="00EB56A7"/>
    <w:rsid w:val="00EB5D61"/>
    <w:rsid w:val="00EC2CC3"/>
    <w:rsid w:val="00EC314C"/>
    <w:rsid w:val="00EC368C"/>
    <w:rsid w:val="00ED0401"/>
    <w:rsid w:val="00ED0815"/>
    <w:rsid w:val="00ED5611"/>
    <w:rsid w:val="00ED6D77"/>
    <w:rsid w:val="00ED7B14"/>
    <w:rsid w:val="00EE0225"/>
    <w:rsid w:val="00EE1D7A"/>
    <w:rsid w:val="00EE26FE"/>
    <w:rsid w:val="00EE28D6"/>
    <w:rsid w:val="00EE42D7"/>
    <w:rsid w:val="00EE6077"/>
    <w:rsid w:val="00EF0817"/>
    <w:rsid w:val="00EF30A2"/>
    <w:rsid w:val="00EF3769"/>
    <w:rsid w:val="00EF3E19"/>
    <w:rsid w:val="00EF5B2A"/>
    <w:rsid w:val="00EF5C04"/>
    <w:rsid w:val="00F00993"/>
    <w:rsid w:val="00F016C9"/>
    <w:rsid w:val="00F03582"/>
    <w:rsid w:val="00F035B8"/>
    <w:rsid w:val="00F03B1E"/>
    <w:rsid w:val="00F043CB"/>
    <w:rsid w:val="00F05C5C"/>
    <w:rsid w:val="00F05D2C"/>
    <w:rsid w:val="00F060C2"/>
    <w:rsid w:val="00F066A6"/>
    <w:rsid w:val="00F06AD3"/>
    <w:rsid w:val="00F107D0"/>
    <w:rsid w:val="00F1375D"/>
    <w:rsid w:val="00F14A62"/>
    <w:rsid w:val="00F150EC"/>
    <w:rsid w:val="00F160DF"/>
    <w:rsid w:val="00F17434"/>
    <w:rsid w:val="00F17578"/>
    <w:rsid w:val="00F20568"/>
    <w:rsid w:val="00F21A7B"/>
    <w:rsid w:val="00F249A0"/>
    <w:rsid w:val="00F25478"/>
    <w:rsid w:val="00F25BD1"/>
    <w:rsid w:val="00F26954"/>
    <w:rsid w:val="00F31BD1"/>
    <w:rsid w:val="00F31D82"/>
    <w:rsid w:val="00F31FDA"/>
    <w:rsid w:val="00F332C8"/>
    <w:rsid w:val="00F33382"/>
    <w:rsid w:val="00F349DA"/>
    <w:rsid w:val="00F35334"/>
    <w:rsid w:val="00F372A2"/>
    <w:rsid w:val="00F40556"/>
    <w:rsid w:val="00F40561"/>
    <w:rsid w:val="00F406C0"/>
    <w:rsid w:val="00F40F60"/>
    <w:rsid w:val="00F416E1"/>
    <w:rsid w:val="00F41A4E"/>
    <w:rsid w:val="00F50B15"/>
    <w:rsid w:val="00F50FB3"/>
    <w:rsid w:val="00F51505"/>
    <w:rsid w:val="00F51A54"/>
    <w:rsid w:val="00F538C6"/>
    <w:rsid w:val="00F53CCF"/>
    <w:rsid w:val="00F5674D"/>
    <w:rsid w:val="00F567DC"/>
    <w:rsid w:val="00F5691B"/>
    <w:rsid w:val="00F573CF"/>
    <w:rsid w:val="00F576FD"/>
    <w:rsid w:val="00F578FE"/>
    <w:rsid w:val="00F60890"/>
    <w:rsid w:val="00F61021"/>
    <w:rsid w:val="00F61799"/>
    <w:rsid w:val="00F61C8B"/>
    <w:rsid w:val="00F62233"/>
    <w:rsid w:val="00F643BF"/>
    <w:rsid w:val="00F6450F"/>
    <w:rsid w:val="00F64CF6"/>
    <w:rsid w:val="00F65E92"/>
    <w:rsid w:val="00F672C3"/>
    <w:rsid w:val="00F67770"/>
    <w:rsid w:val="00F724C0"/>
    <w:rsid w:val="00F732C7"/>
    <w:rsid w:val="00F7455B"/>
    <w:rsid w:val="00F775DF"/>
    <w:rsid w:val="00F80865"/>
    <w:rsid w:val="00F808A7"/>
    <w:rsid w:val="00F81289"/>
    <w:rsid w:val="00F818D0"/>
    <w:rsid w:val="00F8502C"/>
    <w:rsid w:val="00F86303"/>
    <w:rsid w:val="00F90BA3"/>
    <w:rsid w:val="00F91211"/>
    <w:rsid w:val="00F926E6"/>
    <w:rsid w:val="00F959F3"/>
    <w:rsid w:val="00F96E91"/>
    <w:rsid w:val="00F97625"/>
    <w:rsid w:val="00FA1838"/>
    <w:rsid w:val="00FA6172"/>
    <w:rsid w:val="00FA73A7"/>
    <w:rsid w:val="00FA74D1"/>
    <w:rsid w:val="00FB0013"/>
    <w:rsid w:val="00FB08AF"/>
    <w:rsid w:val="00FB5C2C"/>
    <w:rsid w:val="00FB68F0"/>
    <w:rsid w:val="00FB6DB8"/>
    <w:rsid w:val="00FB79EC"/>
    <w:rsid w:val="00FC0003"/>
    <w:rsid w:val="00FC2770"/>
    <w:rsid w:val="00FC27A8"/>
    <w:rsid w:val="00FC3A87"/>
    <w:rsid w:val="00FC5179"/>
    <w:rsid w:val="00FC5A1E"/>
    <w:rsid w:val="00FC765F"/>
    <w:rsid w:val="00FD18A5"/>
    <w:rsid w:val="00FD1C3D"/>
    <w:rsid w:val="00FD332C"/>
    <w:rsid w:val="00FD410E"/>
    <w:rsid w:val="00FD4DF9"/>
    <w:rsid w:val="00FD5ADF"/>
    <w:rsid w:val="00FD604D"/>
    <w:rsid w:val="00FD630D"/>
    <w:rsid w:val="00FD6528"/>
    <w:rsid w:val="00FD68AD"/>
    <w:rsid w:val="00FE01B1"/>
    <w:rsid w:val="00FE0241"/>
    <w:rsid w:val="00FE1072"/>
    <w:rsid w:val="00FE1307"/>
    <w:rsid w:val="00FE6528"/>
    <w:rsid w:val="00FE6A12"/>
    <w:rsid w:val="00FE7369"/>
    <w:rsid w:val="00FE782D"/>
    <w:rsid w:val="00FE7CFF"/>
    <w:rsid w:val="00FE7FC1"/>
    <w:rsid w:val="00FF103B"/>
    <w:rsid w:val="00FF2295"/>
    <w:rsid w:val="00FF613A"/>
    <w:rsid w:val="00FF64E7"/>
    <w:rsid w:val="00FF6D61"/>
    <w:rsid w:val="0FFD0B6A"/>
    <w:rsid w:val="24196774"/>
    <w:rsid w:val="2D1E9D0E"/>
    <w:rsid w:val="360FFB4F"/>
    <w:rsid w:val="37238E99"/>
    <w:rsid w:val="372C1E33"/>
    <w:rsid w:val="4A3ED4F2"/>
    <w:rsid w:val="4D36C94B"/>
    <w:rsid w:val="538C60F8"/>
    <w:rsid w:val="6306835C"/>
    <w:rsid w:val="6496C92F"/>
    <w:rsid w:val="7BF6C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1840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A14BDC"/>
    <w:pPr>
      <w:keepNext/>
      <w:spacing w:before="240" w:after="60"/>
      <w:outlineLvl w:val="0"/>
    </w:pPr>
    <w:rPr>
      <w:b/>
      <w:bCs/>
      <w:kern w:val="32"/>
      <w:szCs w:val="32"/>
    </w:rPr>
  </w:style>
  <w:style w:type="paragraph" w:styleId="Heading2">
    <w:name w:val="heading 2"/>
    <w:basedOn w:val="Normal"/>
    <w:next w:val="Normal"/>
    <w:link w:val="Heading2Char"/>
    <w:unhideWhenUsed/>
    <w:qFormat/>
    <w:locked/>
    <w:rsid w:val="004953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A360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
    <w:basedOn w:val="Normal"/>
    <w:link w:val="FootnoteTextChar"/>
    <w:locked/>
    <w:rsid w:val="00AE6E33"/>
    <w:rPr>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AE6E33"/>
  </w:style>
  <w:style w:type="character" w:styleId="FootnoteReference">
    <w:name w:val="footnote reference"/>
    <w:aliases w:val="Style 13,Style 12,(NECG) Footnote Reference,o,fr,Appel note de bas de p,Style 124,Style 3,Style 17,FR,Footnote Reference/,Style 6"/>
    <w:locked/>
    <w:rsid w:val="00AE6E33"/>
    <w:rPr>
      <w:vertAlign w:val="superscript"/>
    </w:rPr>
  </w:style>
  <w:style w:type="paragraph" w:styleId="Header">
    <w:name w:val="header"/>
    <w:basedOn w:val="Normal"/>
    <w:link w:val="HeaderChar"/>
    <w:uiPriority w:val="99"/>
    <w:locked/>
    <w:rsid w:val="00533A29"/>
    <w:pPr>
      <w:tabs>
        <w:tab w:val="center" w:pos="4680"/>
        <w:tab w:val="right" w:pos="9360"/>
      </w:tabs>
    </w:pPr>
  </w:style>
  <w:style w:type="character" w:customStyle="1" w:styleId="HeaderChar">
    <w:name w:val="Header Char"/>
    <w:link w:val="Header"/>
    <w:uiPriority w:val="99"/>
    <w:rsid w:val="00533A29"/>
    <w:rPr>
      <w:sz w:val="24"/>
      <w:szCs w:val="24"/>
    </w:rPr>
  </w:style>
  <w:style w:type="paragraph" w:styleId="Footer">
    <w:name w:val="footer"/>
    <w:basedOn w:val="Normal"/>
    <w:link w:val="FooterChar"/>
    <w:locked/>
    <w:rsid w:val="00533A29"/>
    <w:pPr>
      <w:tabs>
        <w:tab w:val="center" w:pos="4680"/>
        <w:tab w:val="right" w:pos="9360"/>
      </w:tabs>
    </w:pPr>
  </w:style>
  <w:style w:type="character" w:customStyle="1" w:styleId="FooterChar">
    <w:name w:val="Footer Char"/>
    <w:link w:val="Footer"/>
    <w:rsid w:val="00533A29"/>
    <w:rPr>
      <w:sz w:val="24"/>
      <w:szCs w:val="24"/>
    </w:rPr>
  </w:style>
  <w:style w:type="paragraph" w:styleId="BalloonText">
    <w:name w:val="Balloon Text"/>
    <w:basedOn w:val="Normal"/>
    <w:link w:val="BalloonTextChar"/>
    <w:locked/>
    <w:rsid w:val="00533A29"/>
    <w:rPr>
      <w:rFonts w:ascii="Tahoma" w:hAnsi="Tahoma" w:cs="Tahoma"/>
      <w:sz w:val="16"/>
      <w:szCs w:val="16"/>
    </w:rPr>
  </w:style>
  <w:style w:type="character" w:customStyle="1" w:styleId="BalloonTextChar">
    <w:name w:val="Balloon Text Char"/>
    <w:link w:val="BalloonText"/>
    <w:rsid w:val="00533A29"/>
    <w:rPr>
      <w:rFonts w:ascii="Tahoma" w:hAnsi="Tahoma" w:cs="Tahoma"/>
      <w:sz w:val="16"/>
      <w:szCs w:val="16"/>
    </w:rPr>
  </w:style>
  <w:style w:type="character" w:styleId="CommentReference">
    <w:name w:val="annotation reference"/>
    <w:locked/>
    <w:rsid w:val="00DF3C81"/>
    <w:rPr>
      <w:sz w:val="16"/>
      <w:szCs w:val="16"/>
    </w:rPr>
  </w:style>
  <w:style w:type="paragraph" w:styleId="CommentText">
    <w:name w:val="annotation text"/>
    <w:basedOn w:val="Normal"/>
    <w:link w:val="CommentTextChar"/>
    <w:locked/>
    <w:rsid w:val="00DF3C81"/>
    <w:rPr>
      <w:sz w:val="20"/>
      <w:szCs w:val="20"/>
    </w:rPr>
  </w:style>
  <w:style w:type="character" w:customStyle="1" w:styleId="CommentTextChar">
    <w:name w:val="Comment Text Char"/>
    <w:basedOn w:val="DefaultParagraphFont"/>
    <w:link w:val="CommentText"/>
    <w:rsid w:val="00DF3C81"/>
  </w:style>
  <w:style w:type="paragraph" w:styleId="CommentSubject">
    <w:name w:val="annotation subject"/>
    <w:basedOn w:val="CommentText"/>
    <w:next w:val="CommentText"/>
    <w:link w:val="CommentSubjectChar"/>
    <w:locked/>
    <w:rsid w:val="00DF3C81"/>
    <w:rPr>
      <w:b/>
      <w:bCs/>
    </w:rPr>
  </w:style>
  <w:style w:type="character" w:customStyle="1" w:styleId="CommentSubjectChar">
    <w:name w:val="Comment Subject Char"/>
    <w:link w:val="CommentSubject"/>
    <w:rsid w:val="00DF3C81"/>
    <w:rPr>
      <w:b/>
      <w:bCs/>
    </w:rPr>
  </w:style>
  <w:style w:type="paragraph" w:styleId="NormalWeb">
    <w:name w:val="Normal (Web)"/>
    <w:basedOn w:val="Normal"/>
    <w:uiPriority w:val="99"/>
    <w:unhideWhenUsed/>
    <w:locked/>
    <w:rsid w:val="00DC3E4E"/>
    <w:pPr>
      <w:spacing w:before="100" w:beforeAutospacing="1" w:after="100" w:afterAutospacing="1"/>
      <w:ind w:firstLine="480"/>
    </w:pPr>
  </w:style>
  <w:style w:type="paragraph" w:styleId="ListParagraph">
    <w:name w:val="List Paragraph"/>
    <w:basedOn w:val="Normal"/>
    <w:uiPriority w:val="34"/>
    <w:qFormat/>
    <w:rsid w:val="00C80A9E"/>
    <w:pPr>
      <w:ind w:left="720"/>
    </w:pPr>
  </w:style>
  <w:style w:type="character" w:customStyle="1" w:styleId="Heading1Char">
    <w:name w:val="Heading 1 Char"/>
    <w:link w:val="Heading1"/>
    <w:rsid w:val="00A14BDC"/>
    <w:rPr>
      <w:rFonts w:eastAsia="Times New Roman" w:cs="Times New Roman"/>
      <w:b/>
      <w:bCs/>
      <w:kern w:val="32"/>
      <w:sz w:val="24"/>
      <w:szCs w:val="32"/>
    </w:rPr>
  </w:style>
  <w:style w:type="character" w:styleId="Hyperlink">
    <w:name w:val="Hyperlink"/>
    <w:locked/>
    <w:rsid w:val="00494174"/>
    <w:rPr>
      <w:color w:val="0000FF"/>
      <w:u w:val="single"/>
    </w:rPr>
  </w:style>
  <w:style w:type="character" w:customStyle="1" w:styleId="Heading2Char">
    <w:name w:val="Heading 2 Char"/>
    <w:link w:val="Heading2"/>
    <w:rsid w:val="004953EB"/>
    <w:rPr>
      <w:rFonts w:ascii="Cambria" w:eastAsia="Times New Roman" w:hAnsi="Cambria" w:cs="Times New Roman"/>
      <w:b/>
      <w:bCs/>
      <w:i/>
      <w:iCs/>
      <w:sz w:val="28"/>
      <w:szCs w:val="28"/>
    </w:rPr>
  </w:style>
  <w:style w:type="paragraph" w:styleId="Revision">
    <w:name w:val="Revision"/>
    <w:hidden/>
    <w:uiPriority w:val="99"/>
    <w:semiHidden/>
    <w:rsid w:val="000708CB"/>
    <w:rPr>
      <w:sz w:val="24"/>
      <w:szCs w:val="24"/>
    </w:rPr>
  </w:style>
  <w:style w:type="paragraph" w:styleId="EndnoteText">
    <w:name w:val="endnote text"/>
    <w:basedOn w:val="Normal"/>
    <w:link w:val="EndnoteTextChar"/>
    <w:semiHidden/>
    <w:unhideWhenUsed/>
    <w:locked/>
    <w:rsid w:val="0059366B"/>
    <w:rPr>
      <w:sz w:val="20"/>
      <w:szCs w:val="20"/>
    </w:rPr>
  </w:style>
  <w:style w:type="character" w:customStyle="1" w:styleId="EndnoteTextChar">
    <w:name w:val="Endnote Text Char"/>
    <w:basedOn w:val="DefaultParagraphFont"/>
    <w:link w:val="EndnoteText"/>
    <w:semiHidden/>
    <w:rsid w:val="0059366B"/>
  </w:style>
  <w:style w:type="character" w:styleId="EndnoteReference">
    <w:name w:val="endnote reference"/>
    <w:basedOn w:val="DefaultParagraphFont"/>
    <w:semiHidden/>
    <w:unhideWhenUsed/>
    <w:locked/>
    <w:rsid w:val="0059366B"/>
    <w:rPr>
      <w:vertAlign w:val="superscript"/>
    </w:rPr>
  </w:style>
  <w:style w:type="character" w:customStyle="1" w:styleId="Heading3Char">
    <w:name w:val="Heading 3 Char"/>
    <w:basedOn w:val="DefaultParagraphFont"/>
    <w:link w:val="Heading3"/>
    <w:rsid w:val="00A3604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8418">
      <w:bodyDiv w:val="1"/>
      <w:marLeft w:val="0"/>
      <w:marRight w:val="0"/>
      <w:marTop w:val="0"/>
      <w:marBottom w:val="0"/>
      <w:divBdr>
        <w:top w:val="none" w:sz="0" w:space="0" w:color="auto"/>
        <w:left w:val="none" w:sz="0" w:space="0" w:color="auto"/>
        <w:bottom w:val="none" w:sz="0" w:space="0" w:color="auto"/>
        <w:right w:val="none" w:sz="0" w:space="0" w:color="auto"/>
      </w:divBdr>
    </w:div>
    <w:div w:id="479344211">
      <w:bodyDiv w:val="1"/>
      <w:marLeft w:val="0"/>
      <w:marRight w:val="0"/>
      <w:marTop w:val="30"/>
      <w:marBottom w:val="750"/>
      <w:divBdr>
        <w:top w:val="none" w:sz="0" w:space="0" w:color="auto"/>
        <w:left w:val="none" w:sz="0" w:space="0" w:color="auto"/>
        <w:bottom w:val="none" w:sz="0" w:space="0" w:color="auto"/>
        <w:right w:val="none" w:sz="0" w:space="0" w:color="auto"/>
      </w:divBdr>
      <w:divsChild>
        <w:div w:id="1832139053">
          <w:marLeft w:val="0"/>
          <w:marRight w:val="0"/>
          <w:marTop w:val="0"/>
          <w:marBottom w:val="0"/>
          <w:divBdr>
            <w:top w:val="none" w:sz="0" w:space="0" w:color="auto"/>
            <w:left w:val="none" w:sz="0" w:space="0" w:color="auto"/>
            <w:bottom w:val="none" w:sz="0" w:space="0" w:color="auto"/>
            <w:right w:val="none" w:sz="0" w:space="0" w:color="auto"/>
          </w:divBdr>
        </w:div>
      </w:divsChild>
    </w:div>
    <w:div w:id="640421591">
      <w:bodyDiv w:val="1"/>
      <w:marLeft w:val="0"/>
      <w:marRight w:val="0"/>
      <w:marTop w:val="30"/>
      <w:marBottom w:val="750"/>
      <w:divBdr>
        <w:top w:val="none" w:sz="0" w:space="0" w:color="auto"/>
        <w:left w:val="none" w:sz="0" w:space="0" w:color="auto"/>
        <w:bottom w:val="none" w:sz="0" w:space="0" w:color="auto"/>
        <w:right w:val="none" w:sz="0" w:space="0" w:color="auto"/>
      </w:divBdr>
      <w:divsChild>
        <w:div w:id="924846238">
          <w:marLeft w:val="0"/>
          <w:marRight w:val="0"/>
          <w:marTop w:val="0"/>
          <w:marBottom w:val="0"/>
          <w:divBdr>
            <w:top w:val="none" w:sz="0" w:space="0" w:color="auto"/>
            <w:left w:val="none" w:sz="0" w:space="0" w:color="auto"/>
            <w:bottom w:val="none" w:sz="0" w:space="0" w:color="auto"/>
            <w:right w:val="none" w:sz="0" w:space="0" w:color="auto"/>
          </w:divBdr>
        </w:div>
      </w:divsChild>
    </w:div>
    <w:div w:id="743647109">
      <w:bodyDiv w:val="1"/>
      <w:marLeft w:val="0"/>
      <w:marRight w:val="0"/>
      <w:marTop w:val="30"/>
      <w:marBottom w:val="750"/>
      <w:divBdr>
        <w:top w:val="none" w:sz="0" w:space="0" w:color="auto"/>
        <w:left w:val="none" w:sz="0" w:space="0" w:color="auto"/>
        <w:bottom w:val="none" w:sz="0" w:space="0" w:color="auto"/>
        <w:right w:val="none" w:sz="0" w:space="0" w:color="auto"/>
      </w:divBdr>
      <w:divsChild>
        <w:div w:id="1433159506">
          <w:marLeft w:val="0"/>
          <w:marRight w:val="0"/>
          <w:marTop w:val="0"/>
          <w:marBottom w:val="0"/>
          <w:divBdr>
            <w:top w:val="none" w:sz="0" w:space="0" w:color="auto"/>
            <w:left w:val="none" w:sz="0" w:space="0" w:color="auto"/>
            <w:bottom w:val="none" w:sz="0" w:space="0" w:color="auto"/>
            <w:right w:val="none" w:sz="0" w:space="0" w:color="auto"/>
          </w:divBdr>
        </w:div>
      </w:divsChild>
    </w:div>
    <w:div w:id="770930944">
      <w:bodyDiv w:val="1"/>
      <w:marLeft w:val="0"/>
      <w:marRight w:val="0"/>
      <w:marTop w:val="0"/>
      <w:marBottom w:val="0"/>
      <w:divBdr>
        <w:top w:val="none" w:sz="0" w:space="0" w:color="auto"/>
        <w:left w:val="none" w:sz="0" w:space="0" w:color="auto"/>
        <w:bottom w:val="none" w:sz="0" w:space="0" w:color="auto"/>
        <w:right w:val="none" w:sz="0" w:space="0" w:color="auto"/>
      </w:divBdr>
    </w:div>
    <w:div w:id="801268035">
      <w:bodyDiv w:val="1"/>
      <w:marLeft w:val="0"/>
      <w:marRight w:val="0"/>
      <w:marTop w:val="0"/>
      <w:marBottom w:val="0"/>
      <w:divBdr>
        <w:top w:val="none" w:sz="0" w:space="0" w:color="auto"/>
        <w:left w:val="none" w:sz="0" w:space="0" w:color="auto"/>
        <w:bottom w:val="none" w:sz="0" w:space="0" w:color="auto"/>
        <w:right w:val="none" w:sz="0" w:space="0" w:color="auto"/>
      </w:divBdr>
    </w:div>
    <w:div w:id="1092092459">
      <w:bodyDiv w:val="1"/>
      <w:marLeft w:val="0"/>
      <w:marRight w:val="0"/>
      <w:marTop w:val="0"/>
      <w:marBottom w:val="0"/>
      <w:divBdr>
        <w:top w:val="none" w:sz="0" w:space="0" w:color="auto"/>
        <w:left w:val="none" w:sz="0" w:space="0" w:color="auto"/>
        <w:bottom w:val="none" w:sz="0" w:space="0" w:color="auto"/>
        <w:right w:val="none" w:sz="0" w:space="0" w:color="auto"/>
      </w:divBdr>
    </w:div>
    <w:div w:id="2094740837">
      <w:bodyDiv w:val="1"/>
      <w:marLeft w:val="0"/>
      <w:marRight w:val="0"/>
      <w:marTop w:val="30"/>
      <w:marBottom w:val="750"/>
      <w:divBdr>
        <w:top w:val="none" w:sz="0" w:space="0" w:color="auto"/>
        <w:left w:val="none" w:sz="0" w:space="0" w:color="auto"/>
        <w:bottom w:val="none" w:sz="0" w:space="0" w:color="auto"/>
        <w:right w:val="none" w:sz="0" w:space="0" w:color="auto"/>
      </w:divBdr>
      <w:divsChild>
        <w:div w:id="1830510902">
          <w:marLeft w:val="0"/>
          <w:marRight w:val="0"/>
          <w:marTop w:val="0"/>
          <w:marBottom w:val="0"/>
          <w:divBdr>
            <w:top w:val="none" w:sz="0" w:space="0" w:color="auto"/>
            <w:left w:val="none" w:sz="0" w:space="0" w:color="auto"/>
            <w:bottom w:val="none" w:sz="0" w:space="0" w:color="auto"/>
            <w:right w:val="none" w:sz="0" w:space="0" w:color="auto"/>
          </w:divBdr>
        </w:div>
      </w:divsChild>
    </w:div>
    <w:div w:id="212010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F76EC967B0249B0E4844BB4323C04" ma:contentTypeVersion="2" ma:contentTypeDescription="Create a new document." ma:contentTypeScope="" ma:versionID="0b0c57289c06d5901304670b6c28214f">
  <xsd:schema xmlns:xsd="http://www.w3.org/2001/XMLSchema" xmlns:xs="http://www.w3.org/2001/XMLSchema" xmlns:p="http://schemas.microsoft.com/office/2006/metadata/properties" xmlns:ns2="830ea6f3-ec66-4915-99f6-a7a1adcd4796" targetNamespace="http://schemas.microsoft.com/office/2006/metadata/properties" ma:root="true" ma:fieldsID="93f31c48040353c3761db809b4776e64" ns2:_="">
    <xsd:import namespace="830ea6f3-ec66-4915-99f6-a7a1adcd47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ea6f3-ec66-4915-99f6-a7a1adcd4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22D27-F150-4642-A48C-3FDF8390C08C}">
  <ds:schemaRefs>
    <ds:schemaRef ds:uri="http://schemas.openxmlformats.org/officeDocument/2006/bibliography"/>
  </ds:schemaRefs>
</ds:datastoreItem>
</file>

<file path=customXml/itemProps2.xml><?xml version="1.0" encoding="utf-8"?>
<ds:datastoreItem xmlns:ds="http://schemas.openxmlformats.org/officeDocument/2006/customXml" ds:itemID="{044D065C-15B3-46B8-8892-A9C72782E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CE2E2-ADB2-4705-8218-A55AF640166A}">
  <ds:schemaRefs>
    <ds:schemaRef ds:uri="http://schemas.microsoft.com/sharepoint/v3/contenttype/forms"/>
  </ds:schemaRefs>
</ds:datastoreItem>
</file>

<file path=customXml/itemProps4.xml><?xml version="1.0" encoding="utf-8"?>
<ds:datastoreItem xmlns:ds="http://schemas.openxmlformats.org/officeDocument/2006/customXml" ds:itemID="{2E368218-40DC-481E-929F-1269FC37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ea6f3-ec66-4915-99f6-a7a1adcd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1761</ap:Words>
  <ap:Characters>10040</ap:Characters>
  <ap:Application>Microsoft Office Word</ap:Application>
  <ap:DocSecurity>0</ap:DocSecurity>
  <ap:Lines>83</ap:Lines>
  <ap:Paragraphs>23</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11778</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2015-10-02T18:10:00Z</cp:lastPrinted>
  <dcterms:created xsi:type="dcterms:W3CDTF">2021-04-28T10:20:01Z</dcterms:created>
  <dcterms:modified xsi:type="dcterms:W3CDTF">2021-04-28T10:20:01Z</dcterms:modified>
</cp:coreProperties>
</file>