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0AB9" w:rsidR="001005B8" w:rsidP="001005B8" w:rsidRDefault="002A2AFF" w14:paraId="6F0103A6" w14:textId="54D30900">
      <w:pPr>
        <w:pStyle w:val="Header"/>
        <w:tabs>
          <w:tab w:val="clear" w:pos="4320"/>
          <w:tab w:val="clear" w:pos="8640"/>
          <w:tab w:val="center" w:pos="4680"/>
          <w:tab w:val="right" w:pos="9360"/>
        </w:tabs>
        <w:rPr>
          <w:szCs w:val="26"/>
        </w:rPr>
      </w:pPr>
      <w:r>
        <w:t>ALJ</w:t>
      </w:r>
      <w:r w:rsidRPr="00703DFA">
        <w:t>/</w:t>
      </w:r>
      <w:r w:rsidR="002D105E">
        <w:t>ADR</w:t>
      </w:r>
      <w:r w:rsidR="00D16326">
        <w:t>/</w:t>
      </w:r>
      <w:proofErr w:type="spellStart"/>
      <w:r w:rsidR="00241529">
        <w:t>mln</w:t>
      </w:r>
      <w:proofErr w:type="spellEnd"/>
      <w:r w:rsidR="00241529">
        <w:t>/</w:t>
      </w:r>
      <w:proofErr w:type="spellStart"/>
      <w:r w:rsidR="008F0C0E">
        <w:t>sgu</w:t>
      </w:r>
      <w:proofErr w:type="spellEnd"/>
      <w:r w:rsidRPr="00270AB9" w:rsidR="001005B8">
        <w:rPr>
          <w:szCs w:val="26"/>
        </w:rPr>
        <w:tab/>
        <w:t xml:space="preserve"> </w:t>
      </w:r>
      <w:r w:rsidRPr="00270AB9" w:rsidR="001005B8">
        <w:rPr>
          <w:rFonts w:ascii="Arial" w:hAnsi="Arial" w:cs="Arial"/>
          <w:b/>
          <w:szCs w:val="26"/>
        </w:rPr>
        <w:t>PROPOSED DECISION</w:t>
      </w:r>
      <w:r w:rsidRPr="00270AB9" w:rsidR="001005B8">
        <w:rPr>
          <w:szCs w:val="26"/>
        </w:rPr>
        <w:tab/>
      </w:r>
      <w:r w:rsidRPr="00270AB9" w:rsidR="001005B8">
        <w:rPr>
          <w:bCs/>
          <w:szCs w:val="26"/>
        </w:rPr>
        <w:t>Agenda ID #</w:t>
      </w:r>
      <w:r w:rsidR="008F0C0E">
        <w:rPr>
          <w:bCs/>
          <w:szCs w:val="26"/>
        </w:rPr>
        <w:t>19461</w:t>
      </w:r>
    </w:p>
    <w:p w:rsidRPr="00270AB9" w:rsidR="001005B8" w:rsidP="001005B8" w:rsidRDefault="001005B8" w14:paraId="14F5DD6F" w14:textId="21E9AFAF">
      <w:pPr>
        <w:tabs>
          <w:tab w:val="center" w:pos="4320"/>
          <w:tab w:val="right" w:pos="9360"/>
        </w:tabs>
        <w:rPr>
          <w:szCs w:val="26"/>
        </w:rPr>
      </w:pPr>
      <w:r w:rsidRPr="00270AB9">
        <w:rPr>
          <w:szCs w:val="26"/>
        </w:rPr>
        <w:tab/>
      </w:r>
      <w:r w:rsidRPr="00270AB9">
        <w:rPr>
          <w:szCs w:val="26"/>
        </w:rPr>
        <w:tab/>
      </w:r>
      <w:r w:rsidR="002D105E">
        <w:rPr>
          <w:szCs w:val="26"/>
        </w:rPr>
        <w:t>Adjudicatory</w:t>
      </w:r>
    </w:p>
    <w:p w:rsidRPr="00270AB9" w:rsidR="001005B8" w:rsidP="001005B8" w:rsidRDefault="001005B8" w14:paraId="373CB4FB" w14:textId="77777777">
      <w:pPr>
        <w:tabs>
          <w:tab w:val="center" w:pos="4680"/>
          <w:tab w:val="right" w:pos="9360"/>
        </w:tabs>
        <w:rPr>
          <w:szCs w:val="26"/>
        </w:rPr>
      </w:pPr>
    </w:p>
    <w:p w:rsidRPr="00270AB9" w:rsidR="001005B8" w:rsidP="001005B8" w:rsidRDefault="001005B8" w14:paraId="2EF7C9DE" w14:textId="77777777">
      <w:pPr>
        <w:suppressAutoHyphens/>
        <w:rPr>
          <w:szCs w:val="26"/>
        </w:rPr>
      </w:pPr>
      <w:r w:rsidRPr="00270AB9">
        <w:rPr>
          <w:szCs w:val="26"/>
        </w:rPr>
        <w:t>Decision ____________</w:t>
      </w:r>
    </w:p>
    <w:p w:rsidR="001005B8" w:rsidP="001005B8" w:rsidRDefault="001005B8" w14:paraId="73080477" w14:textId="77777777">
      <w:pPr>
        <w:pStyle w:val="Header"/>
        <w:tabs>
          <w:tab w:val="clear" w:pos="4320"/>
          <w:tab w:val="clear" w:pos="8640"/>
          <w:tab w:val="center" w:pos="4680"/>
          <w:tab w:val="right" w:pos="9360"/>
        </w:tabs>
      </w:pPr>
    </w:p>
    <w:p w:rsidRPr="00E304D2" w:rsidR="0089195D" w:rsidP="00E304D2" w:rsidRDefault="0089195D" w14:paraId="79A9FBE1" w14:textId="3928C6E0">
      <w:pPr>
        <w:pStyle w:val="Header"/>
        <w:tabs>
          <w:tab w:val="clear" w:pos="4320"/>
          <w:tab w:val="clear" w:pos="8640"/>
          <w:tab w:val="center" w:pos="4680"/>
          <w:tab w:val="right" w:pos="9360"/>
        </w:tabs>
        <w:jc w:val="center"/>
        <w:rPr>
          <w:rFonts w:ascii="Arial" w:hAnsi="Arial" w:cs="Arial"/>
          <w:b/>
          <w:bCs/>
          <w:sz w:val="24"/>
        </w:rPr>
      </w:pPr>
      <w:r w:rsidRPr="00E304D2">
        <w:rPr>
          <w:rFonts w:ascii="Arial" w:hAnsi="Arial" w:cs="Arial"/>
          <w:b/>
          <w:bCs/>
          <w:sz w:val="24"/>
        </w:rPr>
        <w:t>BEFORE THE PUBLIC UTILITIES COMMISSION OF THE STATE OF CALIFORNIA</w:t>
      </w:r>
    </w:p>
    <w:p w:rsidRPr="00E304D2" w:rsidR="0089195D" w:rsidP="00E304D2" w:rsidRDefault="0089195D" w14:paraId="0930CEF8" w14:textId="77777777">
      <w:pPr>
        <w:suppressAutoHyphens/>
        <w:jc w:val="center"/>
        <w:rPr>
          <w:rFonts w:ascii="Arial" w:hAnsi="Arial" w:cs="Arial"/>
          <w:b/>
          <w:bCs/>
        </w:rPr>
      </w:pPr>
    </w:p>
    <w:tbl>
      <w:tblPr>
        <w:tblW w:w="8568" w:type="dxa"/>
        <w:tblLayout w:type="fixed"/>
        <w:tblLook w:val="0000" w:firstRow="0" w:lastRow="0" w:firstColumn="0" w:lastColumn="0" w:noHBand="0" w:noVBand="0"/>
      </w:tblPr>
      <w:tblGrid>
        <w:gridCol w:w="5130"/>
        <w:gridCol w:w="3438"/>
      </w:tblGrid>
      <w:tr w:rsidR="00D16326" w:rsidTr="008F0C0E" w14:paraId="42E87756" w14:textId="77777777">
        <w:tc>
          <w:tcPr>
            <w:tcW w:w="5130" w:type="dxa"/>
            <w:tcBorders>
              <w:bottom w:val="single" w:color="auto" w:sz="6" w:space="0"/>
              <w:right w:val="single" w:color="auto" w:sz="6" w:space="0"/>
            </w:tcBorders>
            <w:shd w:val="clear" w:color="auto" w:fill="auto"/>
          </w:tcPr>
          <w:p w:rsidR="002D105E" w:rsidP="00D16326" w:rsidRDefault="002D105E" w14:paraId="5E9B6F35" w14:textId="3049E4E6">
            <w:proofErr w:type="spellStart"/>
            <w:r w:rsidRPr="002D105E">
              <w:t>OhmConnect</w:t>
            </w:r>
            <w:proofErr w:type="spellEnd"/>
            <w:r w:rsidRPr="002D105E">
              <w:t xml:space="preserve">, Inc., </w:t>
            </w:r>
          </w:p>
          <w:p w:rsidR="002D105E" w:rsidP="00D16326" w:rsidRDefault="002D105E" w14:paraId="1DDF2A0B" w14:textId="77777777"/>
          <w:p w:rsidR="002D105E" w:rsidP="008F0C0E" w:rsidRDefault="002D105E" w14:paraId="098E0AF8" w14:textId="1D377E99">
            <w:pPr>
              <w:ind w:firstLine="2865"/>
            </w:pPr>
            <w:r w:rsidRPr="002D105E">
              <w:t>Complainant</w:t>
            </w:r>
            <w:r>
              <w:t>,</w:t>
            </w:r>
          </w:p>
          <w:p w:rsidR="002D105E" w:rsidP="00D16326" w:rsidRDefault="002D105E" w14:paraId="7500870D" w14:textId="77777777"/>
          <w:p w:rsidR="002D105E" w:rsidP="008F0C0E" w:rsidRDefault="002D105E" w14:paraId="7642E5B6" w14:textId="637BBE11">
            <w:pPr>
              <w:jc w:val="center"/>
            </w:pPr>
            <w:r>
              <w:t>vs.</w:t>
            </w:r>
          </w:p>
          <w:p w:rsidR="002D105E" w:rsidP="00D16326" w:rsidRDefault="002D105E" w14:paraId="65049171" w14:textId="77777777"/>
          <w:p w:rsidR="002D105E" w:rsidP="00D16326" w:rsidRDefault="002D105E" w14:paraId="0AC9A125" w14:textId="73B0E492">
            <w:r w:rsidRPr="002D105E">
              <w:t xml:space="preserve"> Southern California Edison Company (SCE) (U338E),</w:t>
            </w:r>
          </w:p>
          <w:p w:rsidR="002D105E" w:rsidP="00D16326" w:rsidRDefault="002D105E" w14:paraId="643DB085" w14:textId="77777777"/>
          <w:p w:rsidR="00F40C05" w:rsidP="008F0C0E" w:rsidRDefault="002D105E" w14:paraId="2707DCDD" w14:textId="39949C76">
            <w:pPr>
              <w:ind w:firstLine="2865"/>
            </w:pPr>
            <w:r w:rsidRPr="002D105E">
              <w:t>Defendant</w:t>
            </w:r>
            <w:r>
              <w:t xml:space="preserve">. </w:t>
            </w:r>
          </w:p>
          <w:p w:rsidRPr="00825448" w:rsidR="002D105E" w:rsidP="002D105E" w:rsidRDefault="002D105E" w14:paraId="52874FF4" w14:textId="6BC95D29"/>
        </w:tc>
        <w:tc>
          <w:tcPr>
            <w:tcW w:w="3438" w:type="dxa"/>
            <w:tcBorders>
              <w:left w:val="nil"/>
            </w:tcBorders>
            <w:shd w:val="clear" w:color="auto" w:fill="auto"/>
          </w:tcPr>
          <w:p w:rsidR="00334C52" w:rsidP="007E448B" w:rsidRDefault="00334C52" w14:paraId="6DEB95DC" w14:textId="77777777">
            <w:pPr>
              <w:jc w:val="center"/>
            </w:pPr>
          </w:p>
          <w:p w:rsidR="002D105E" w:rsidP="007E448B" w:rsidRDefault="002D105E" w14:paraId="253AED5D" w14:textId="77777777">
            <w:pPr>
              <w:jc w:val="center"/>
            </w:pPr>
          </w:p>
          <w:p w:rsidR="002D105E" w:rsidP="007E448B" w:rsidRDefault="002D105E" w14:paraId="5AE1FB6B" w14:textId="77777777">
            <w:pPr>
              <w:jc w:val="center"/>
            </w:pPr>
          </w:p>
          <w:p w:rsidR="002D105E" w:rsidP="007E448B" w:rsidRDefault="002D105E" w14:paraId="34346D32" w14:textId="77777777">
            <w:pPr>
              <w:jc w:val="center"/>
            </w:pPr>
          </w:p>
          <w:p w:rsidR="00D16326" w:rsidP="007E448B" w:rsidRDefault="002D105E" w14:paraId="78D5F36C" w14:textId="2A770CD7">
            <w:pPr>
              <w:jc w:val="center"/>
            </w:pPr>
            <w:r>
              <w:t>Case 19-03-005</w:t>
            </w:r>
          </w:p>
        </w:tc>
      </w:tr>
    </w:tbl>
    <w:p w:rsidR="0089195D" w:rsidRDefault="0089195D" w14:paraId="6352B93F" w14:textId="77777777">
      <w:pPr>
        <w:suppressAutoHyphens/>
      </w:pPr>
    </w:p>
    <w:p w:rsidR="0089195D" w:rsidRDefault="0089195D" w14:paraId="7799850B" w14:textId="77777777"/>
    <w:p w:rsidRPr="00E304D2" w:rsidR="0089195D" w:rsidRDefault="0089195D" w14:paraId="5791EB0F" w14:textId="77777777">
      <w:pPr>
        <w:jc w:val="center"/>
        <w:rPr>
          <w:rFonts w:ascii="Arial" w:hAnsi="Arial" w:cs="Arial"/>
          <w:b/>
          <w:szCs w:val="26"/>
        </w:rPr>
      </w:pPr>
      <w:bookmarkStart w:name="_Toc370798909" w:id="0"/>
      <w:r w:rsidRPr="00E304D2">
        <w:rPr>
          <w:rFonts w:ascii="Arial" w:hAnsi="Arial" w:cs="Arial"/>
          <w:b/>
          <w:szCs w:val="26"/>
        </w:rPr>
        <w:t>ORDER EXTENDING STATUTORY DEADLINE</w:t>
      </w:r>
    </w:p>
    <w:bookmarkEnd w:id="0"/>
    <w:p w:rsidR="0089195D" w:rsidP="00107949" w:rsidRDefault="0089195D" w14:paraId="13F3863A" w14:textId="77777777">
      <w:pPr>
        <w:tabs>
          <w:tab w:val="left" w:pos="3493"/>
        </w:tabs>
        <w:suppressAutoHyphens/>
      </w:pPr>
    </w:p>
    <w:p w:rsidRPr="00E304D2" w:rsidR="003A3FFB" w:rsidP="007A6B7B" w:rsidRDefault="003A3FFB" w14:paraId="00712881" w14:textId="77777777">
      <w:pPr>
        <w:keepNext/>
        <w:tabs>
          <w:tab w:val="center" w:pos="4680"/>
        </w:tabs>
        <w:spacing w:before="120" w:after="120"/>
        <w:outlineLvl w:val="0"/>
        <w:rPr>
          <w:rFonts w:ascii="Arial" w:hAnsi="Arial" w:cs="Arial"/>
          <w:b/>
        </w:rPr>
      </w:pPr>
      <w:bookmarkStart w:name="_Toc370798910" w:id="1"/>
      <w:r w:rsidRPr="00E304D2">
        <w:rPr>
          <w:rFonts w:ascii="Arial" w:hAnsi="Arial" w:cs="Arial"/>
          <w:b/>
        </w:rPr>
        <w:t>Summary</w:t>
      </w:r>
    </w:p>
    <w:p w:rsidRPr="003A3FFB" w:rsidR="003A3FFB" w:rsidP="00C64C08" w:rsidRDefault="002D105E" w14:paraId="102B90A4" w14:textId="2A9E6F49">
      <w:pPr>
        <w:spacing w:line="360" w:lineRule="auto"/>
        <w:ind w:firstLine="720"/>
      </w:pPr>
      <w:r w:rsidRPr="002D105E">
        <w:rPr>
          <w:szCs w:val="26"/>
        </w:rPr>
        <w:t xml:space="preserve">This </w:t>
      </w:r>
      <w:r>
        <w:rPr>
          <w:szCs w:val="26"/>
        </w:rPr>
        <w:t>d</w:t>
      </w:r>
      <w:r w:rsidRPr="002D105E">
        <w:rPr>
          <w:szCs w:val="26"/>
        </w:rPr>
        <w:t>ecision extends the statutory deadline for completion of Complaint</w:t>
      </w:r>
      <w:r w:rsidR="0037346B">
        <w:rPr>
          <w:szCs w:val="26"/>
        </w:rPr>
        <w:t> </w:t>
      </w:r>
      <w:r w:rsidR="00D15031">
        <w:rPr>
          <w:szCs w:val="26"/>
        </w:rPr>
        <w:t>C</w:t>
      </w:r>
      <w:r w:rsidRPr="00D15031" w:rsidR="00D15031">
        <w:rPr>
          <w:szCs w:val="26"/>
        </w:rPr>
        <w:t xml:space="preserve">ase </w:t>
      </w:r>
      <w:r w:rsidRPr="002D105E">
        <w:rPr>
          <w:szCs w:val="26"/>
        </w:rPr>
        <w:t>(C.) 19-03-005 until April 22, 2022 and stays the proceeding.</w:t>
      </w:r>
    </w:p>
    <w:p w:rsidRPr="00E304D2" w:rsidR="003A3FFB" w:rsidP="0067542A" w:rsidRDefault="003A3FFB" w14:paraId="7258AAC2" w14:textId="77777777">
      <w:pPr>
        <w:pStyle w:val="ListParagraph"/>
        <w:keepNext/>
        <w:numPr>
          <w:ilvl w:val="0"/>
          <w:numId w:val="8"/>
        </w:numPr>
        <w:spacing w:before="120" w:after="120"/>
        <w:ind w:left="450" w:hanging="450"/>
        <w:outlineLvl w:val="0"/>
        <w:rPr>
          <w:rFonts w:ascii="Arial" w:hAnsi="Arial" w:cs="Arial"/>
          <w:b/>
        </w:rPr>
      </w:pPr>
      <w:r w:rsidRPr="00E304D2">
        <w:rPr>
          <w:rFonts w:ascii="Arial" w:hAnsi="Arial" w:cs="Arial"/>
          <w:b/>
        </w:rPr>
        <w:t>Background</w:t>
      </w:r>
      <w:bookmarkEnd w:id="1"/>
    </w:p>
    <w:p w:rsidR="005F01FE" w:rsidP="004C69CF" w:rsidRDefault="005F01FE" w14:paraId="058C6F0A" w14:textId="50F88ECB">
      <w:pPr>
        <w:spacing w:line="360" w:lineRule="auto"/>
        <w:ind w:firstLine="720"/>
      </w:pPr>
      <w:bookmarkStart w:name="_Hlk34737369" w:id="2"/>
      <w:r w:rsidRPr="00A250FA">
        <w:t xml:space="preserve">Public Utilities (Pub. Util.) Code § 1701.2(i) provides that adjudicatory cases must be resolved within twelve (12) months after initiation unless the Commission makes findings “why that deadline cannot be met and issues an </w:t>
      </w:r>
      <w:r w:rsidR="00D15031">
        <w:t>o</w:t>
      </w:r>
      <w:r w:rsidRPr="00A250FA">
        <w:t>rder extending that deadline.”  In this proceeding, the current deadline is May</w:t>
      </w:r>
      <w:r w:rsidR="006A0A9B">
        <w:t> </w:t>
      </w:r>
      <w:r w:rsidRPr="00A250FA">
        <w:t>27, 2021.</w:t>
      </w:r>
      <w:r w:rsidRPr="00A250FA">
        <w:rPr>
          <w:vertAlign w:val="superscript"/>
        </w:rPr>
        <w:footnoteReference w:id="2"/>
      </w:r>
      <w:r w:rsidRPr="00A250FA">
        <w:t xml:space="preserve"> </w:t>
      </w:r>
    </w:p>
    <w:p w:rsidR="005F01FE" w:rsidP="005F01FE" w:rsidRDefault="005F01FE" w14:paraId="5B6EADC8" w14:textId="77777777">
      <w:pPr>
        <w:pStyle w:val="Standard0"/>
      </w:pPr>
      <w:r>
        <w:lastRenderedPageBreak/>
        <w:t xml:space="preserve">On March 8, 2019, </w:t>
      </w:r>
      <w:proofErr w:type="spellStart"/>
      <w:r w:rsidRPr="004F7A84">
        <w:t>OhmConnect</w:t>
      </w:r>
      <w:proofErr w:type="spellEnd"/>
      <w:r w:rsidRPr="004F7A84">
        <w:t>, Inc. filed</w:t>
      </w:r>
      <w:r w:rsidRPr="00AD0FA1">
        <w:rPr>
          <w:i/>
          <w:iCs/>
        </w:rPr>
        <w:t xml:space="preserve"> Complaint of </w:t>
      </w:r>
      <w:proofErr w:type="spellStart"/>
      <w:r w:rsidRPr="00AD0FA1">
        <w:rPr>
          <w:i/>
          <w:iCs/>
        </w:rPr>
        <w:t>OhmConnect</w:t>
      </w:r>
      <w:proofErr w:type="spellEnd"/>
      <w:r w:rsidRPr="00AD0FA1">
        <w:rPr>
          <w:i/>
          <w:iCs/>
        </w:rPr>
        <w:t xml:space="preserve">, Inc. Against Southern California Edison Company </w:t>
      </w:r>
      <w:r w:rsidRPr="00EE78D9">
        <w:rPr>
          <w:i/>
          <w:iCs/>
        </w:rPr>
        <w:t>for</w:t>
      </w:r>
      <w:r w:rsidRPr="00AD0FA1">
        <w:rPr>
          <w:i/>
          <w:iCs/>
        </w:rPr>
        <w:t xml:space="preserve"> Data Failures</w:t>
      </w:r>
      <w:r>
        <w:t xml:space="preserve"> requesting Commission order </w:t>
      </w:r>
      <w:r w:rsidRPr="00AD0FA1">
        <w:t xml:space="preserve">directing </w:t>
      </w:r>
      <w:r>
        <w:t>Southern California Edison Company (SCE)</w:t>
      </w:r>
      <w:r w:rsidRPr="00AD0FA1">
        <w:t xml:space="preserve"> </w:t>
      </w:r>
      <w:r>
        <w:t xml:space="preserve">(i) </w:t>
      </w:r>
      <w:r w:rsidRPr="00AD0FA1">
        <w:t xml:space="preserve">to immediately begin to provide data within the timeframes provided by </w:t>
      </w:r>
      <w:r>
        <w:t xml:space="preserve">SCE’s Electric Rule 24: </w:t>
      </w:r>
      <w:r w:rsidRPr="0004703C">
        <w:rPr>
          <w:i/>
          <w:iCs/>
        </w:rPr>
        <w:t>Direct Participation Demand Response</w:t>
      </w:r>
      <w:r w:rsidRPr="00AD0FA1">
        <w:t>, Rule 26</w:t>
      </w:r>
      <w:r>
        <w:t xml:space="preserve">: </w:t>
      </w:r>
      <w:r w:rsidRPr="0004703C">
        <w:rPr>
          <w:i/>
          <w:iCs/>
        </w:rPr>
        <w:t>Release of Customer Data or Energy Usage Related Data To Third Parties</w:t>
      </w:r>
      <w:r w:rsidRPr="00AD0FA1">
        <w:t>, and</w:t>
      </w:r>
      <w:r>
        <w:t xml:space="preserve"> Commission</w:t>
      </w:r>
      <w:r w:rsidRPr="00AD0FA1">
        <w:t xml:space="preserve"> Resolution </w:t>
      </w:r>
      <w:r>
        <w:t> </w:t>
      </w:r>
      <w:r w:rsidRPr="00AD0FA1">
        <w:t>E</w:t>
      </w:r>
      <w:r>
        <w:noBreakHyphen/>
      </w:r>
      <w:r w:rsidRPr="00AD0FA1">
        <w:t xml:space="preserve">4868, </w:t>
      </w:r>
      <w:r>
        <w:t xml:space="preserve">(ii) </w:t>
      </w:r>
      <w:r w:rsidRPr="00AD0FA1">
        <w:t xml:space="preserve">to resolve all outstanding data issues, and </w:t>
      </w:r>
      <w:r>
        <w:t xml:space="preserve">(iii) </w:t>
      </w:r>
      <w:r w:rsidRPr="00AD0FA1">
        <w:t xml:space="preserve">to improve all related processes to ensure compliance with </w:t>
      </w:r>
      <w:r>
        <w:t xml:space="preserve">SCE’s </w:t>
      </w:r>
      <w:r w:rsidRPr="00AD0FA1">
        <w:t xml:space="preserve">Rule 24, Rule 26, Resolution </w:t>
      </w:r>
      <w:r>
        <w:t>E-</w:t>
      </w:r>
      <w:r w:rsidRPr="00AD0FA1">
        <w:t xml:space="preserve">4868, and </w:t>
      </w:r>
      <w:r>
        <w:t>Pub. Util. Code</w:t>
      </w:r>
      <w:r w:rsidRPr="00AD0FA1">
        <w:t xml:space="preserve"> Section 761; and related matters</w:t>
      </w:r>
      <w:r>
        <w:t>.  This adjudicatory proceeding was assigned to Administrative Law Judge (ALJ) Dan Burcham and Commissioner Liane Randolph on March 26, 2019.</w:t>
      </w:r>
    </w:p>
    <w:p w:rsidR="005F01FE" w:rsidP="005F01FE" w:rsidRDefault="005F01FE" w14:paraId="400DA93F" w14:textId="60DF0D03">
      <w:pPr>
        <w:pStyle w:val="Standard0"/>
      </w:pPr>
      <w:r>
        <w:t xml:space="preserve">Thereafter, the Commission issued </w:t>
      </w:r>
      <w:r w:rsidRPr="00055B7B">
        <w:rPr>
          <w:i/>
          <w:iCs/>
        </w:rPr>
        <w:t>Instruction to Answer</w:t>
      </w:r>
      <w:r>
        <w:t xml:space="preserve"> on March 26, 2019.  On April 25, 2019, SCE filed an Answer to </w:t>
      </w:r>
      <w:proofErr w:type="spellStart"/>
      <w:r>
        <w:t>OhmConnect</w:t>
      </w:r>
      <w:proofErr w:type="spellEnd"/>
      <w:r>
        <w:t>, Inc. (</w:t>
      </w:r>
      <w:proofErr w:type="spellStart"/>
      <w:r>
        <w:t>OhmConnect</w:t>
      </w:r>
      <w:proofErr w:type="spellEnd"/>
      <w:r>
        <w:t>)’s Complaint.  A</w:t>
      </w:r>
      <w:r w:rsidRPr="003B3B85">
        <w:t xml:space="preserve"> prehearing conference (PHC) was held on May 30, 2019, Junipero</w:t>
      </w:r>
      <w:r w:rsidR="006A0A9B">
        <w:t> </w:t>
      </w:r>
      <w:r w:rsidRPr="003B3B85">
        <w:t>Serra State Office</w:t>
      </w:r>
      <w:r>
        <w:t> </w:t>
      </w:r>
      <w:r w:rsidRPr="003B3B85">
        <w:t>Building, 320 West 4th Street, Los</w:t>
      </w:r>
      <w:r>
        <w:t> </w:t>
      </w:r>
      <w:r w:rsidRPr="003B3B85">
        <w:t xml:space="preserve">Angeles to discuss the parties, the scope of the proceeding, </w:t>
      </w:r>
      <w:r w:rsidRPr="003B3B85" w:rsidR="00F76342">
        <w:t>schedule,</w:t>
      </w:r>
      <w:r w:rsidRPr="003B3B85">
        <w:t xml:space="preserve"> and other procedural matters</w:t>
      </w:r>
      <w:r>
        <w:t xml:space="preserve">.  Defendant SCE filed a motion to dismiss </w:t>
      </w:r>
      <w:proofErr w:type="spellStart"/>
      <w:r>
        <w:t>OhmConnect’s</w:t>
      </w:r>
      <w:proofErr w:type="spellEnd"/>
      <w:r>
        <w:t xml:space="preserve"> complaint on June</w:t>
      </w:r>
      <w:r w:rsidR="006A0A9B">
        <w:t> </w:t>
      </w:r>
      <w:r>
        <w:t>17,</w:t>
      </w:r>
      <w:r w:rsidR="006A0A9B">
        <w:t> </w:t>
      </w:r>
      <w:r>
        <w:t>2019.  ALJ Burcham retired at the end of 2019.  On November 14, 2019, this matter was re-assigned to ALJ Andrea D. McGary.</w:t>
      </w:r>
      <w:r w:rsidR="00F76342">
        <w:t xml:space="preserve"> </w:t>
      </w:r>
      <w:r>
        <w:t xml:space="preserve"> On February 27, 2020 and August 27, 2020 respectively, orders extending the original March 8, 2020 statutory deadline to May 27, 2021 were entered to </w:t>
      </w:r>
      <w:r w:rsidRPr="005B7C2E">
        <w:t>allow newly assigned ALJ</w:t>
      </w:r>
      <w:r w:rsidR="006A0A9B">
        <w:t> </w:t>
      </w:r>
      <w:r>
        <w:t>McGary</w:t>
      </w:r>
      <w:r w:rsidRPr="005B7C2E">
        <w:t xml:space="preserve"> to issue a scoping memo, conduct evidentiary hearings, thoroughly evaluate the record, and prepare a proposed decision in this proceeding</w:t>
      </w:r>
      <w:r>
        <w:t xml:space="preserve">.  </w:t>
      </w:r>
    </w:p>
    <w:p w:rsidR="00F76342" w:rsidP="005F01FE" w:rsidRDefault="005F01FE" w14:paraId="70E0B6BA" w14:textId="5B7702D0">
      <w:pPr>
        <w:pStyle w:val="Standard0"/>
      </w:pPr>
      <w:r>
        <w:t xml:space="preserve">On March 23, 2021, this C.19-03-005 case was re-assigned from former Commissioner Liane M. Randolph to current Commissioner Martha Guzman Aceves. </w:t>
      </w:r>
    </w:p>
    <w:p w:rsidR="005F01FE" w:rsidP="005F01FE" w:rsidRDefault="005F01FE" w14:paraId="3C042D50" w14:textId="4CF78937">
      <w:pPr>
        <w:pStyle w:val="Standard0"/>
      </w:pPr>
      <w:r>
        <w:lastRenderedPageBreak/>
        <w:t>A</w:t>
      </w:r>
      <w:r w:rsidR="00F76342">
        <w:t>f</w:t>
      </w:r>
      <w:r>
        <w:t xml:space="preserve">ter evaluation of the record, including the Reporter’s Transcript of the May 30, 2019 PHC and subsequent party motions and briefs, we have determined that </w:t>
      </w:r>
      <w:proofErr w:type="spellStart"/>
      <w:r>
        <w:t>OhmConnect’s</w:t>
      </w:r>
      <w:proofErr w:type="spellEnd"/>
      <w:r>
        <w:t xml:space="preserve"> underlying data delivery complaint is integrally related to Ordering Paragraph 29 of Commission Resolution E-4868 and pending related Application (A.), 18-11-015, A.18-11-016, and A.18-11-017 (collectively the IOU Click-Thru Proceedings).</w:t>
      </w:r>
      <w:r>
        <w:rPr>
          <w:rStyle w:val="FootnoteReference"/>
        </w:rPr>
        <w:footnoteReference w:id="3"/>
      </w:r>
      <w:r>
        <w:t xml:space="preserve"> </w:t>
      </w:r>
      <w:r w:rsidR="000C7D2A">
        <w:t xml:space="preserve"> </w:t>
      </w:r>
      <w:r w:rsidRPr="00A56F4E">
        <w:t>Ordering Paragraph 29 of Resolution E-4868 required investor owned utilities Pacific Gas and Electric</w:t>
      </w:r>
      <w:r w:rsidR="00F76342">
        <w:t xml:space="preserve"> Company</w:t>
      </w:r>
      <w:r w:rsidRPr="00A56F4E">
        <w:t xml:space="preserve"> (PG&amp;E), Southern California Edison </w:t>
      </w:r>
      <w:r w:rsidR="00F76342">
        <w:t xml:space="preserve">Company </w:t>
      </w:r>
      <w:r w:rsidRPr="00A56F4E">
        <w:t xml:space="preserve">(SCE), and San Diego Gas &amp; Electric </w:t>
      </w:r>
      <w:r w:rsidR="00F76342">
        <w:t xml:space="preserve">Company </w:t>
      </w:r>
      <w:r w:rsidRPr="00A56F4E">
        <w:t>(SDG&amp;E), to file individual applications for approval of cost estimates and proposed</w:t>
      </w:r>
      <w:r>
        <w:t xml:space="preserve"> </w:t>
      </w:r>
      <w:r w:rsidRPr="00A56F4E">
        <w:t>improvements and/or enhancements to the functionality of the click-through electronic signature authorization process utilized by customer ‘s energy data with third party Demand Response Providers</w:t>
      </w:r>
      <w:r>
        <w:t xml:space="preserve"> (“DRP Functionality Standards”). </w:t>
      </w:r>
      <w:r w:rsidR="00F76342">
        <w:t xml:space="preserve"> </w:t>
      </w:r>
      <w:r>
        <w:t>Decision(s) establishing the DRP Functionality Standards required by Commission Resolution E-4868, and necessary for adjudication of this C.19</w:t>
      </w:r>
      <w:r w:rsidR="006A0A9B">
        <w:noBreakHyphen/>
      </w:r>
      <w:r>
        <w:t xml:space="preserve">03-005 proceeding, have not yet been entered. </w:t>
      </w:r>
    </w:p>
    <w:p w:rsidR="005F01FE" w:rsidP="005F01FE" w:rsidRDefault="005F01FE" w14:paraId="074B2664" w14:textId="77777777">
      <w:pPr>
        <w:pStyle w:val="Standard0"/>
      </w:pPr>
      <w:r>
        <w:t>The statutory deadline for completion of the IOU Click-Through Proceedings is currently April 22, 2022.  As of April 5, 2021, the e</w:t>
      </w:r>
      <w:r w:rsidRPr="000B5D77">
        <w:t xml:space="preserve">videntiary </w:t>
      </w:r>
      <w:r>
        <w:t>h</w:t>
      </w:r>
      <w:r w:rsidRPr="000B5D77">
        <w:t>earing</w:t>
      </w:r>
      <w:r>
        <w:t xml:space="preserve"> and briefing process</w:t>
      </w:r>
      <w:r w:rsidRPr="000B5D77">
        <w:t xml:space="preserve"> </w:t>
      </w:r>
      <w:r>
        <w:t>in A.</w:t>
      </w:r>
      <w:r w:rsidRPr="00A250FA">
        <w:t>18-11-015, A.18-11-016, and A.18-11-017</w:t>
      </w:r>
      <w:r>
        <w:t xml:space="preserve"> is underway</w:t>
      </w:r>
      <w:r w:rsidRPr="000B5D77">
        <w:t>.</w:t>
      </w:r>
    </w:p>
    <w:p w:rsidRPr="00E304D2" w:rsidR="0089195D" w:rsidP="005F01FE" w:rsidRDefault="005F01FE" w14:paraId="5911D24C" w14:textId="18DE94AA">
      <w:pPr>
        <w:spacing w:line="360" w:lineRule="auto"/>
        <w:ind w:firstLine="720"/>
        <w:rPr>
          <w:szCs w:val="26"/>
        </w:rPr>
      </w:pPr>
      <w:r>
        <w:t xml:space="preserve">Based on the </w:t>
      </w:r>
      <w:proofErr w:type="gramStart"/>
      <w:r>
        <w:t>current status</w:t>
      </w:r>
      <w:proofErr w:type="gramEnd"/>
      <w:r>
        <w:t xml:space="preserve"> of C.19-03-005 as well as the requirements of Pub. Util. Code Section 1701.2(d) and August 27, 2020 </w:t>
      </w:r>
      <w:r w:rsidRPr="002F0723">
        <w:rPr>
          <w:i/>
          <w:iCs/>
        </w:rPr>
        <w:t>Order Extending Deadlin</w:t>
      </w:r>
      <w:r>
        <w:rPr>
          <w:i/>
          <w:iCs/>
        </w:rPr>
        <w:t>e,</w:t>
      </w:r>
      <w:r>
        <w:t xml:space="preserve"> adjudication of this C.19-03-005 proceeding would need to be completed prior to </w:t>
      </w:r>
      <w:bookmarkStart w:name="_Hlk70531597" w:id="3"/>
      <w:r>
        <w:lastRenderedPageBreak/>
        <w:t>May 27, 2021</w:t>
      </w:r>
      <w:bookmarkEnd w:id="3"/>
      <w:r>
        <w:t>.</w:t>
      </w:r>
      <w:r>
        <w:rPr>
          <w:rStyle w:val="FootnoteReference"/>
        </w:rPr>
        <w:footnoteReference w:id="4"/>
      </w:r>
      <w:r>
        <w:t xml:space="preserve">  It is not possible to complete all required judicial tasks and resolve this adjudicatory proceeding prior to May 27, 2021 or prior to entry of Decisions mandated by Resolution E-4868 in the IOU Click-Thru Proceedings.  Accordingly, we conclude that it is appropriate to extend the statutory deadline in this C.19-03-005 case until on or before April 22, 2022.</w:t>
      </w:r>
      <w:r>
        <w:rPr>
          <w:rStyle w:val="FootnoteReference"/>
        </w:rPr>
        <w:footnoteReference w:id="5"/>
      </w:r>
      <w:r w:rsidRPr="00E304D2" w:rsidR="002C7106">
        <w:rPr>
          <w:szCs w:val="26"/>
        </w:rPr>
        <w:t xml:space="preserve"> </w:t>
      </w:r>
    </w:p>
    <w:bookmarkEnd w:id="2"/>
    <w:p w:rsidRPr="00E304D2" w:rsidR="0089195D" w:rsidP="00495F20" w:rsidRDefault="00841B13" w14:paraId="1BBD904B" w14:textId="77777777">
      <w:pPr>
        <w:pStyle w:val="Heading1"/>
        <w:numPr>
          <w:ilvl w:val="0"/>
          <w:numId w:val="8"/>
        </w:numPr>
        <w:spacing w:before="0"/>
        <w:ind w:left="446" w:hanging="446"/>
        <w:rPr>
          <w:rFonts w:ascii="Arial" w:hAnsi="Arial" w:cs="Arial"/>
        </w:rPr>
      </w:pPr>
      <w:r w:rsidRPr="00E304D2">
        <w:rPr>
          <w:rFonts w:ascii="Arial" w:hAnsi="Arial" w:cs="Arial"/>
        </w:rPr>
        <w:t>Waiver of Comment Period</w:t>
      </w:r>
    </w:p>
    <w:p w:rsidR="0089195D" w:rsidRDefault="005F01FE" w14:paraId="52554930" w14:textId="07899F19">
      <w:pPr>
        <w:pStyle w:val="standard"/>
      </w:pPr>
      <w:r w:rsidRPr="005F01FE">
        <w:rPr>
          <w:rFonts w:eastAsia="Calibri"/>
          <w:szCs w:val="22"/>
        </w:rPr>
        <w:t>Under Rule 14.6(c)(4) of the Rules of Practice and Procedure, the Commission may waive the otherwise applicable thirty (30) day period for public review and comment on a decision that extends the twelve (12) month deadline set forth in Pub. Util. Code § 1701.2(i).  Under the circumstances of this case, it is appropriate to waive the 30-day period for public review and comment</w:t>
      </w:r>
      <w:r w:rsidRPr="00C8610C" w:rsidR="00C8610C">
        <w:t>.</w:t>
      </w:r>
    </w:p>
    <w:p w:rsidRPr="00E304D2" w:rsidR="0089195D" w:rsidP="002E7228" w:rsidRDefault="0089195D" w14:paraId="2CE59C44" w14:textId="77777777">
      <w:pPr>
        <w:pStyle w:val="Heading1"/>
        <w:numPr>
          <w:ilvl w:val="0"/>
          <w:numId w:val="8"/>
        </w:numPr>
        <w:spacing w:before="0"/>
        <w:ind w:left="446" w:hanging="446"/>
        <w:rPr>
          <w:rFonts w:ascii="Arial" w:hAnsi="Arial" w:cs="Arial"/>
        </w:rPr>
      </w:pPr>
      <w:r w:rsidRPr="00E304D2">
        <w:rPr>
          <w:rFonts w:ascii="Arial" w:hAnsi="Arial" w:cs="Arial"/>
        </w:rPr>
        <w:t>Assignment of Proceeding</w:t>
      </w:r>
    </w:p>
    <w:p w:rsidRPr="00530498" w:rsidR="0089195D" w:rsidRDefault="009D2B3F" w14:paraId="7FA8B0C5" w14:textId="4E0D530C">
      <w:pPr>
        <w:pStyle w:val="standard"/>
      </w:pPr>
      <w:r w:rsidRPr="009D2B3F">
        <w:rPr>
          <w:rFonts w:eastAsia="Calibri"/>
          <w:szCs w:val="22"/>
        </w:rPr>
        <w:t>Martha Guzman-Aceves is the assigned Commissioner and Andrea D. McGary is the assigned ALJ in this proceeding</w:t>
      </w:r>
      <w:r w:rsidRPr="00530498" w:rsidR="00EA39F7">
        <w:t>.</w:t>
      </w:r>
    </w:p>
    <w:p w:rsidRPr="00E304D2" w:rsidR="00553B36" w:rsidP="002E7228" w:rsidRDefault="00553B36" w14:paraId="05926E21" w14:textId="77777777">
      <w:pPr>
        <w:pStyle w:val="dummy"/>
        <w:tabs>
          <w:tab w:val="left" w:pos="6973"/>
        </w:tabs>
        <w:spacing w:before="0" w:after="0" w:line="360" w:lineRule="auto"/>
        <w:rPr>
          <w:rFonts w:ascii="Arial" w:hAnsi="Arial" w:cs="Arial"/>
        </w:rPr>
      </w:pPr>
      <w:bookmarkStart w:name="_Toc370798913" w:id="4"/>
      <w:r w:rsidRPr="00E304D2">
        <w:rPr>
          <w:rFonts w:ascii="Arial" w:hAnsi="Arial" w:cs="Arial"/>
        </w:rPr>
        <w:t>Findin</w:t>
      </w:r>
      <w:r w:rsidRPr="00E304D2" w:rsidR="00EA27F8">
        <w:rPr>
          <w:rFonts w:ascii="Arial" w:hAnsi="Arial" w:cs="Arial"/>
        </w:rPr>
        <w:t>g</w:t>
      </w:r>
      <w:r w:rsidRPr="00E304D2">
        <w:rPr>
          <w:rFonts w:ascii="Arial" w:hAnsi="Arial" w:cs="Arial"/>
        </w:rPr>
        <w:t>s of Fact</w:t>
      </w:r>
    </w:p>
    <w:p w:rsidR="00041437" w:rsidP="00041437" w:rsidRDefault="00041437" w14:paraId="1E9FB30A" w14:textId="293E2123">
      <w:pPr>
        <w:pStyle w:val="num1"/>
        <w:numPr>
          <w:ilvl w:val="0"/>
          <w:numId w:val="5"/>
        </w:numPr>
      </w:pPr>
      <w:r>
        <w:t>The original statutory deadline for resolving this adjudicatory proceeding C.19-03-005 was March 8, 2020.</w:t>
      </w:r>
    </w:p>
    <w:p w:rsidR="00041437" w:rsidP="00041437" w:rsidRDefault="00041437" w14:paraId="6FA43BFB" w14:textId="77777777">
      <w:pPr>
        <w:pStyle w:val="num1"/>
        <w:numPr>
          <w:ilvl w:val="0"/>
          <w:numId w:val="5"/>
        </w:numPr>
      </w:pPr>
      <w:r>
        <w:t xml:space="preserve">The statutory deadline in C.19-03-005 was extended, by orders extending deadline issued on February 27, 2020 and August 27, 2020 respectively, to allow the newly assigned ALJ Andrea D. McGary to issue a scoping memo, conduct evidentiary hearings, thoroughly evaluate the record, and prepare a proposed decision in this proceeding. </w:t>
      </w:r>
    </w:p>
    <w:p w:rsidR="00041437" w:rsidP="00041437" w:rsidRDefault="00041437" w14:paraId="0A9DF29D" w14:textId="77777777">
      <w:pPr>
        <w:pStyle w:val="num1"/>
        <w:numPr>
          <w:ilvl w:val="0"/>
          <w:numId w:val="5"/>
        </w:numPr>
      </w:pPr>
      <w:r>
        <w:lastRenderedPageBreak/>
        <w:t>The current statutory deadline for resolving this C.19-03-005 adjudicatory proceeding is May 27, 2021.</w:t>
      </w:r>
    </w:p>
    <w:p w:rsidR="00041437" w:rsidP="00041437" w:rsidRDefault="00041437" w14:paraId="68713033" w14:textId="77777777">
      <w:pPr>
        <w:pStyle w:val="num1"/>
        <w:numPr>
          <w:ilvl w:val="0"/>
          <w:numId w:val="5"/>
        </w:numPr>
      </w:pPr>
      <w:r>
        <w:t>The evidentiary hearing and briefing process in IOU Click-Through Proceedings A.18-11-015, A.18-11-016, and A.18-11-017 began on April 5, 2021.</w:t>
      </w:r>
    </w:p>
    <w:p w:rsidRPr="00FC0FA5" w:rsidR="00FC0FA5" w:rsidP="00041437" w:rsidRDefault="00041437" w14:paraId="6CBB79E0" w14:textId="6C349594">
      <w:pPr>
        <w:pStyle w:val="num1"/>
        <w:numPr>
          <w:ilvl w:val="0"/>
          <w:numId w:val="5"/>
        </w:numPr>
      </w:pPr>
      <w:r>
        <w:t xml:space="preserve">A statutory extension until April 22, 2022 is necessary to allow time for entry of Decisions in Commission proceedings A.18-11-015, A.18-11-016, and A.18-11-017, establishing the DRP Functionality Standards required by Commission Resolution E-4868 and necessary for final adjudication of this </w:t>
      </w:r>
      <w:r w:rsidR="00476CCE">
        <w:br/>
      </w:r>
      <w:r>
        <w:t>C.19-03-005 complaint</w:t>
      </w:r>
      <w:r w:rsidR="006F3296">
        <w:t>.</w:t>
      </w:r>
    </w:p>
    <w:bookmarkEnd w:id="4"/>
    <w:p w:rsidRPr="00D059E8" w:rsidR="003067E6" w:rsidP="00C92116" w:rsidRDefault="003067E6" w14:paraId="70DDED7C" w14:textId="77777777">
      <w:pPr>
        <w:pStyle w:val="dummy"/>
        <w:keepNext w:val="0"/>
        <w:spacing w:before="0"/>
        <w:rPr>
          <w:rFonts w:ascii="Arial" w:hAnsi="Arial" w:cs="Arial"/>
        </w:rPr>
      </w:pPr>
      <w:r w:rsidRPr="00D059E8">
        <w:rPr>
          <w:rFonts w:ascii="Arial" w:hAnsi="Arial" w:cs="Arial"/>
        </w:rPr>
        <w:t>Conclusion</w:t>
      </w:r>
      <w:r w:rsidRPr="00D059E8" w:rsidR="002F6BD1">
        <w:rPr>
          <w:rFonts w:ascii="Arial" w:hAnsi="Arial" w:cs="Arial"/>
        </w:rPr>
        <w:t xml:space="preserve"> </w:t>
      </w:r>
      <w:r w:rsidRPr="00D059E8">
        <w:rPr>
          <w:rFonts w:ascii="Arial" w:hAnsi="Arial" w:cs="Arial"/>
        </w:rPr>
        <w:t>of Law</w:t>
      </w:r>
    </w:p>
    <w:p w:rsidR="00476CCE" w:rsidP="00476CCE" w:rsidRDefault="00B16C20" w14:paraId="1B8E46F8" w14:textId="5C23D050">
      <w:pPr>
        <w:pStyle w:val="standard"/>
      </w:pPr>
      <w:r>
        <w:t xml:space="preserve">Pursuant to the authority granted to the Commission under Pub. Util. Code </w:t>
      </w:r>
      <w:r w:rsidR="00DE3439">
        <w:t>Section</w:t>
      </w:r>
      <w:r>
        <w:t xml:space="preserve"> </w:t>
      </w:r>
      <w:r w:rsidRPr="00041437" w:rsidR="00041437">
        <w:t xml:space="preserve">1701.2(i), the statutory deadline should be extended to </w:t>
      </w:r>
      <w:proofErr w:type="gramStart"/>
      <w:r w:rsidRPr="00041437" w:rsidR="00041437">
        <w:t xml:space="preserve">April </w:t>
      </w:r>
      <w:r w:rsidR="006A0A9B">
        <w:t> </w:t>
      </w:r>
      <w:r w:rsidRPr="00041437" w:rsidR="00041437">
        <w:t>22</w:t>
      </w:r>
      <w:proofErr w:type="gramEnd"/>
      <w:r w:rsidRPr="00041437" w:rsidR="00041437">
        <w:t>,</w:t>
      </w:r>
      <w:r w:rsidR="006A0A9B">
        <w:t> </w:t>
      </w:r>
      <w:r w:rsidRPr="00041437" w:rsidR="00041437">
        <w:t>2022</w:t>
      </w:r>
      <w:r w:rsidRPr="00C96143" w:rsidR="00730AEB">
        <w:t>.</w:t>
      </w:r>
      <w:r w:rsidRPr="00041437" w:rsidR="00041437">
        <w:t xml:space="preserve"> </w:t>
      </w:r>
    </w:p>
    <w:p w:rsidRPr="00476CCE" w:rsidR="00476CCE" w:rsidP="00476CCE" w:rsidRDefault="00476CCE" w14:paraId="1BD28B50" w14:textId="77777777">
      <w:pPr>
        <w:keepNext/>
        <w:spacing w:line="360" w:lineRule="auto"/>
        <w:ind w:firstLine="720"/>
        <w:rPr>
          <w:rFonts w:eastAsia="Calibri"/>
          <w:szCs w:val="22"/>
        </w:rPr>
      </w:pPr>
      <w:r w:rsidRPr="00476CCE">
        <w:rPr>
          <w:rFonts w:eastAsia="Calibri"/>
          <w:b/>
          <w:szCs w:val="22"/>
        </w:rPr>
        <w:t>IT IS ORDERED</w:t>
      </w:r>
      <w:r w:rsidRPr="00476CCE">
        <w:rPr>
          <w:rFonts w:eastAsia="Calibri"/>
          <w:szCs w:val="22"/>
        </w:rPr>
        <w:t xml:space="preserve"> that:</w:t>
      </w:r>
    </w:p>
    <w:p w:rsidRPr="00476CCE" w:rsidR="00476CCE" w:rsidP="00476CCE" w:rsidRDefault="00476CCE" w14:paraId="77372B57" w14:textId="77777777">
      <w:pPr>
        <w:numPr>
          <w:ilvl w:val="0"/>
          <w:numId w:val="13"/>
        </w:numPr>
        <w:spacing w:line="360" w:lineRule="auto"/>
        <w:rPr>
          <w:rFonts w:eastAsia="Calibri"/>
          <w:szCs w:val="22"/>
        </w:rPr>
      </w:pPr>
      <w:r w:rsidRPr="00476CCE">
        <w:rPr>
          <w:rFonts w:eastAsia="Calibri"/>
          <w:szCs w:val="22"/>
        </w:rPr>
        <w:t>The statutory deadline for completion of this C.19-03-005 proceeding is extended until April 22, 2022.</w:t>
      </w:r>
    </w:p>
    <w:p w:rsidRPr="00476CCE" w:rsidR="00476CCE" w:rsidP="00476CCE" w:rsidRDefault="00476CCE" w14:paraId="1A869A0D" w14:textId="77777777">
      <w:pPr>
        <w:numPr>
          <w:ilvl w:val="0"/>
          <w:numId w:val="13"/>
        </w:numPr>
        <w:spacing w:line="360" w:lineRule="auto"/>
        <w:rPr>
          <w:rFonts w:eastAsia="Calibri"/>
          <w:szCs w:val="22"/>
        </w:rPr>
      </w:pPr>
      <w:r w:rsidRPr="00476CCE">
        <w:rPr>
          <w:rFonts w:eastAsia="Calibri"/>
          <w:szCs w:val="22"/>
        </w:rPr>
        <w:t xml:space="preserve">C.19-03-005 is hereby Stayed until November 1, 2021. </w:t>
      </w:r>
    </w:p>
    <w:p w:rsidRPr="00476CCE" w:rsidR="00476CCE" w:rsidP="00476CCE" w:rsidRDefault="00476CCE" w14:paraId="38D09880" w14:textId="77777777">
      <w:pPr>
        <w:numPr>
          <w:ilvl w:val="0"/>
          <w:numId w:val="13"/>
        </w:numPr>
        <w:spacing w:line="360" w:lineRule="auto"/>
        <w:rPr>
          <w:rFonts w:eastAsia="Calibri"/>
          <w:szCs w:val="22"/>
        </w:rPr>
      </w:pPr>
      <w:r w:rsidRPr="00476CCE">
        <w:rPr>
          <w:rFonts w:eastAsia="Calibri"/>
          <w:szCs w:val="22"/>
        </w:rPr>
        <w:t>The thirty (30) day period for review and comment on this Order is waived.</w:t>
      </w:r>
    </w:p>
    <w:p w:rsidRPr="00476CCE" w:rsidR="00476CCE" w:rsidP="00476CCE" w:rsidRDefault="00476CCE" w14:paraId="35772DAF" w14:textId="77777777">
      <w:pPr>
        <w:numPr>
          <w:ilvl w:val="0"/>
          <w:numId w:val="13"/>
        </w:numPr>
        <w:spacing w:line="360" w:lineRule="auto"/>
        <w:rPr>
          <w:rFonts w:eastAsia="Calibri"/>
          <w:szCs w:val="22"/>
        </w:rPr>
      </w:pPr>
      <w:r w:rsidRPr="00476CCE">
        <w:rPr>
          <w:rFonts w:eastAsia="Calibri"/>
          <w:szCs w:val="22"/>
        </w:rPr>
        <w:t>This proceeding shall remain open.</w:t>
      </w:r>
    </w:p>
    <w:p w:rsidRPr="00476CCE" w:rsidR="00476CCE" w:rsidP="00476CCE" w:rsidRDefault="00476CCE" w14:paraId="38205B7B" w14:textId="77777777">
      <w:pPr>
        <w:spacing w:line="360" w:lineRule="auto"/>
        <w:ind w:firstLine="720"/>
        <w:rPr>
          <w:rFonts w:eastAsia="Calibri"/>
          <w:szCs w:val="22"/>
        </w:rPr>
      </w:pPr>
      <w:r w:rsidRPr="00476CCE">
        <w:rPr>
          <w:rFonts w:eastAsia="Calibri"/>
          <w:szCs w:val="22"/>
        </w:rPr>
        <w:t>This order is effective today.</w:t>
      </w:r>
    </w:p>
    <w:p w:rsidRPr="00270AB9" w:rsidR="00476CCE" w:rsidP="00476CCE" w:rsidRDefault="00476CCE" w14:paraId="74C530BC" w14:textId="4F142901">
      <w:pPr>
        <w:pStyle w:val="standard"/>
        <w:keepNext/>
        <w:keepLines/>
        <w:rPr>
          <w:szCs w:val="26"/>
        </w:rPr>
      </w:pPr>
      <w:r w:rsidRPr="00476CCE">
        <w:rPr>
          <w:rFonts w:eastAsia="Calibri"/>
          <w:szCs w:val="22"/>
        </w:rPr>
        <w:t>Dated ________________, at San Francisco, California</w:t>
      </w:r>
      <w:r>
        <w:rPr>
          <w:rFonts w:eastAsia="Calibri"/>
          <w:szCs w:val="22"/>
        </w:rPr>
        <w:t>.</w:t>
      </w:r>
    </w:p>
    <w:p w:rsidR="00976E36" w:rsidP="002E7228" w:rsidRDefault="00976E36" w14:paraId="0CFD3622" w14:textId="4E1B6481">
      <w:pPr>
        <w:pStyle w:val="standard"/>
        <w:keepNext/>
        <w:keepLines/>
        <w:rPr>
          <w:szCs w:val="26"/>
        </w:rPr>
      </w:pPr>
    </w:p>
    <w:sectPr w:rsidR="00976E36">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F9E2" w14:textId="77777777" w:rsidR="008F793C" w:rsidRDefault="008F793C">
      <w:r>
        <w:separator/>
      </w:r>
    </w:p>
  </w:endnote>
  <w:endnote w:type="continuationSeparator" w:id="0">
    <w:p w14:paraId="78F5C7EE" w14:textId="77777777" w:rsidR="008F793C" w:rsidRDefault="008F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9906" w14:textId="77777777" w:rsidR="00E739BD" w:rsidRDefault="00E73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6E6" w14:textId="77777777" w:rsidR="00101F4F" w:rsidRDefault="00101F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13A" w14:textId="728935EC" w:rsidR="00101F4F" w:rsidRPr="00586B57" w:rsidRDefault="00EE344A" w:rsidP="00FD568F">
    <w:pPr>
      <w:pStyle w:val="Footer"/>
      <w:tabs>
        <w:tab w:val="clear" w:pos="4320"/>
        <w:tab w:val="center" w:pos="4680"/>
      </w:tabs>
      <w:jc w:val="left"/>
      <w:rPr>
        <w:rStyle w:val="PageNumber"/>
        <w:sz w:val="24"/>
        <w:szCs w:val="24"/>
      </w:rPr>
    </w:pPr>
    <w:r w:rsidRPr="00EE344A">
      <w:rPr>
        <w:sz w:val="16"/>
        <w:szCs w:val="16"/>
      </w:rPr>
      <w:t xml:space="preserve">381523968 </w:t>
    </w:r>
    <w:r w:rsidR="00C47AFA" w:rsidRPr="00C47AFA">
      <w:rPr>
        <w:sz w:val="16"/>
        <w:szCs w:val="16"/>
      </w:rPr>
      <w:t xml:space="preserve"> </w:t>
    </w:r>
    <w:r w:rsidR="00FB64CC">
      <w:rPr>
        <w:sz w:val="16"/>
        <w:szCs w:val="16"/>
      </w:rPr>
      <w:t xml:space="preserve"> </w:t>
    </w:r>
    <w:r w:rsidR="00101F4F">
      <w:rPr>
        <w:rFonts w:asciiTheme="majorHAnsi" w:eastAsiaTheme="majorEastAsia" w:hAnsiTheme="majorHAnsi" w:cstheme="majorBidi"/>
        <w:sz w:val="16"/>
        <w:szCs w:val="16"/>
      </w:rPr>
      <w:tab/>
    </w:r>
    <w:r w:rsidR="00101F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8A51" w14:textId="77777777" w:rsidR="008F793C" w:rsidRDefault="008F793C">
      <w:r>
        <w:separator/>
      </w:r>
    </w:p>
  </w:footnote>
  <w:footnote w:type="continuationSeparator" w:id="0">
    <w:p w14:paraId="7984EB23" w14:textId="77777777" w:rsidR="008F793C" w:rsidRDefault="008F793C">
      <w:r>
        <w:continuationSeparator/>
      </w:r>
    </w:p>
  </w:footnote>
  <w:footnote w:type="continuationNotice" w:id="1">
    <w:p w14:paraId="022B7CCD" w14:textId="77777777" w:rsidR="008F793C" w:rsidRDefault="008F793C">
      <w:pPr>
        <w:rPr>
          <w:sz w:val="22"/>
        </w:rPr>
      </w:pPr>
    </w:p>
    <w:p w14:paraId="595F6969" w14:textId="77777777" w:rsidR="008F793C" w:rsidRDefault="008F793C">
      <w:pPr>
        <w:jc w:val="right"/>
        <w:rPr>
          <w:sz w:val="22"/>
        </w:rPr>
      </w:pPr>
      <w:r>
        <w:rPr>
          <w:i/>
          <w:sz w:val="22"/>
        </w:rPr>
        <w:t xml:space="preserve">Footnote continued on next </w:t>
      </w:r>
      <w:proofErr w:type="gramStart"/>
      <w:r>
        <w:rPr>
          <w:i/>
          <w:sz w:val="22"/>
        </w:rPr>
        <w:t>page</w:t>
      </w:r>
      <w:proofErr w:type="gramEnd"/>
    </w:p>
  </w:footnote>
  <w:footnote w:id="2">
    <w:p w14:paraId="1DA52C22" w14:textId="157419AB" w:rsidR="005F01FE" w:rsidRDefault="005F01FE" w:rsidP="005F01FE">
      <w:pPr>
        <w:pStyle w:val="FootnoteText"/>
      </w:pPr>
      <w:r>
        <w:rPr>
          <w:rStyle w:val="FootnoteReference"/>
        </w:rPr>
        <w:footnoteRef/>
      </w:r>
      <w:r w:rsidR="00F76342">
        <w:t xml:space="preserve"> </w:t>
      </w:r>
      <w:r>
        <w:t>The original statutory deadline in this Complaint (C.)</w:t>
      </w:r>
      <w:r w:rsidR="00F76342">
        <w:t xml:space="preserve"> </w:t>
      </w:r>
      <w:r>
        <w:t xml:space="preserve">19-03-005 proceeding was </w:t>
      </w:r>
      <w:r w:rsidR="00F76342">
        <w:br/>
      </w:r>
      <w:r>
        <w:t>March 8, 2020.  Pursuant to Commission Decision (D.) 20-02-068 and D.20-08-053, the original March 8, 2020 statutory deadline was extended to May 27, 2021.</w:t>
      </w:r>
    </w:p>
  </w:footnote>
  <w:footnote w:id="3">
    <w:p w14:paraId="649AD95C" w14:textId="70B43FF0" w:rsidR="005F01FE" w:rsidRDefault="005F01FE" w:rsidP="005F01FE">
      <w:pPr>
        <w:pStyle w:val="FootnoteText"/>
      </w:pPr>
      <w:r>
        <w:rPr>
          <w:rStyle w:val="FootnoteReference"/>
        </w:rPr>
        <w:footnoteRef/>
      </w:r>
      <w:r>
        <w:t xml:space="preserve"> The existing approval process allows the IOUs to release a customer’s energy data to third party demand response providers subject to Commission privacy rules reflected in existing IOU Electric Rules:  PG&amp;E Rules 24, SCE Rule 25, and SDG&amp;E Rule 33 as applicable; </w:t>
      </w:r>
      <w:r w:rsidRPr="009B577E">
        <w:rPr>
          <w:i/>
          <w:iCs/>
        </w:rPr>
        <w:t>See</w:t>
      </w:r>
      <w:r>
        <w:t xml:space="preserve"> </w:t>
      </w:r>
      <w:r w:rsidRPr="009B577E">
        <w:rPr>
          <w:i/>
          <w:iCs/>
        </w:rPr>
        <w:t>also</w:t>
      </w:r>
      <w:r>
        <w:t xml:space="preserve"> D. 11-07-056. </w:t>
      </w:r>
    </w:p>
  </w:footnote>
  <w:footnote w:id="4">
    <w:p w14:paraId="2391836D" w14:textId="484E294E" w:rsidR="005F01FE" w:rsidRDefault="005F01FE" w:rsidP="000C7D2A">
      <w:pPr>
        <w:pStyle w:val="FootnoteText"/>
        <w:spacing w:after="120"/>
      </w:pPr>
      <w:r>
        <w:rPr>
          <w:rStyle w:val="FootnoteReference"/>
        </w:rPr>
        <w:footnoteRef/>
      </w:r>
      <w:r>
        <w:t xml:space="preserve"> </w:t>
      </w:r>
      <w:r w:rsidRPr="002F0723">
        <w:rPr>
          <w:i/>
          <w:iCs/>
        </w:rPr>
        <w:t>See</w:t>
      </w:r>
      <w:r>
        <w:t xml:space="preserve"> </w:t>
      </w:r>
      <w:r w:rsidRPr="000B5D77">
        <w:t>D.20-08-053</w:t>
      </w:r>
      <w:r>
        <w:t>.</w:t>
      </w:r>
    </w:p>
  </w:footnote>
  <w:footnote w:id="5">
    <w:p w14:paraId="206BC0BF" w14:textId="45DF1615" w:rsidR="005F01FE" w:rsidRDefault="005F01FE" w:rsidP="005F01FE">
      <w:pPr>
        <w:pStyle w:val="FootnoteText"/>
      </w:pPr>
      <w:r>
        <w:rPr>
          <w:rStyle w:val="FootnoteReference"/>
        </w:rPr>
        <w:footnoteRef/>
      </w:r>
      <w:r w:rsidR="004D63D6">
        <w:t xml:space="preserve"> </w:t>
      </w:r>
      <w:r>
        <w:t>May 27, 2021 is the current statutory deadline for IOU Click-Through Proceedings A</w:t>
      </w:r>
      <w:r w:rsidRPr="00DE3DAB">
        <w:t>18-11-015, A.18-11-016, and A.18-11-017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2E0F" w14:textId="77777777" w:rsidR="00E739BD" w:rsidRDefault="00E73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74C4" w14:textId="235432E1" w:rsidR="001005B8" w:rsidRDefault="00EE344A" w:rsidP="001005B8">
    <w:pPr>
      <w:pStyle w:val="Header"/>
      <w:tabs>
        <w:tab w:val="clear" w:pos="8640"/>
        <w:tab w:val="right" w:pos="9360"/>
      </w:tabs>
    </w:pPr>
    <w:r>
      <w:t>C.19-03-</w:t>
    </w:r>
    <w:proofErr w:type="gramStart"/>
    <w:r>
      <w:t>005</w:t>
    </w:r>
    <w:r w:rsidR="00101F4F" w:rsidRPr="008C572C">
      <w:t xml:space="preserve">  ALJ</w:t>
    </w:r>
    <w:proofErr w:type="gramEnd"/>
    <w:r w:rsidR="00101F4F" w:rsidRPr="008C572C">
      <w:t>/</w:t>
    </w:r>
    <w:r>
      <w:t>ADR</w:t>
    </w:r>
    <w:r w:rsidR="00E739BD">
      <w:t>/</w:t>
    </w:r>
    <w:proofErr w:type="spellStart"/>
    <w:r w:rsidR="00E739BD">
      <w:t>mln</w:t>
    </w:r>
    <w:proofErr w:type="spellEnd"/>
    <w:r w:rsidR="00101F4F" w:rsidRPr="008C572C">
      <w:t>/</w:t>
    </w:r>
    <w:proofErr w:type="spellStart"/>
    <w:r w:rsidR="00A727D7">
      <w:t>sgu</w:t>
    </w:r>
    <w:proofErr w:type="spellEnd"/>
    <w:r w:rsidR="001005B8">
      <w:tab/>
    </w:r>
    <w:r w:rsidR="001005B8">
      <w:tab/>
    </w:r>
    <w:r w:rsidR="001005B8">
      <w:rPr>
        <w:rFonts w:ascii="Helvetica" w:hAnsi="Helvetica"/>
        <w:b/>
        <w:sz w:val="32"/>
        <w:szCs w:val="32"/>
      </w:rPr>
      <w:t>PROPOSED DECISION</w:t>
    </w:r>
  </w:p>
  <w:p w14:paraId="43B9CCEF" w14:textId="77777777" w:rsidR="00681294" w:rsidRPr="008C572C" w:rsidRDefault="00681294" w:rsidP="00131E5E">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BE2E" w14:textId="77777777" w:rsidR="00E739BD" w:rsidRDefault="00E7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46C1C14"/>
    <w:multiLevelType w:val="multilevel"/>
    <w:tmpl w:val="D6A4D238"/>
    <w:styleLink w:val="FoFCoLOP"/>
    <w:lvl w:ilvl="0">
      <w:start w:val="1"/>
      <w:numFmt w:val="decimal"/>
      <w:pStyle w:val="Co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D6A4D238"/>
    <w:numStyleLink w:val="FoFCoLOP"/>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197B55"/>
    <w:multiLevelType w:val="multilevel"/>
    <w:tmpl w:val="7922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B0A06"/>
    <w:multiLevelType w:val="singleLevel"/>
    <w:tmpl w:val="21AE8D44"/>
    <w:lvl w:ilvl="0">
      <w:start w:val="1"/>
      <w:numFmt w:val="decimal"/>
      <w:lvlText w:val="%1."/>
      <w:legacy w:legacy="1" w:legacySpace="0" w:legacyIndent="360"/>
      <w:lvlJc w:val="left"/>
    </w:lvl>
  </w:abstractNum>
  <w:abstractNum w:abstractNumId="9" w15:restartNumberingAfterBreak="0">
    <w:nsid w:val="78B22654"/>
    <w:multiLevelType w:val="multilevel"/>
    <w:tmpl w:val="2824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C30FD"/>
    <w:multiLevelType w:val="singleLevel"/>
    <w:tmpl w:val="2FB6A734"/>
    <w:lvl w:ilvl="0">
      <w:start w:val="1"/>
      <w:numFmt w:val="decimal"/>
      <w:lvlText w:val="%1."/>
      <w:legacy w:legacy="1" w:legacySpace="144" w:legacyIndent="0"/>
      <w:lvlJc w:val="left"/>
    </w:lvl>
  </w:abstractNum>
  <w:abstractNum w:abstractNumId="11"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10"/>
  </w:num>
  <w:num w:numId="4">
    <w:abstractNumId w:val="8"/>
  </w:num>
  <w:num w:numId="5">
    <w:abstractNumId w:val="11"/>
  </w:num>
  <w:num w:numId="6">
    <w:abstractNumId w:val="7"/>
  </w:num>
  <w:num w:numId="7">
    <w:abstractNumId w:val="4"/>
  </w:num>
  <w:num w:numId="8">
    <w:abstractNumId w:val="6"/>
  </w:num>
  <w:num w:numId="9">
    <w:abstractNumId w:val="9"/>
  </w:num>
  <w:num w:numId="10">
    <w:abstractNumId w:val="5"/>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73D"/>
    <w:rsid w:val="00025274"/>
    <w:rsid w:val="000328ED"/>
    <w:rsid w:val="00041437"/>
    <w:rsid w:val="00042A5D"/>
    <w:rsid w:val="00051447"/>
    <w:rsid w:val="000537D4"/>
    <w:rsid w:val="000567E0"/>
    <w:rsid w:val="00057AD7"/>
    <w:rsid w:val="00061C1D"/>
    <w:rsid w:val="00061CE8"/>
    <w:rsid w:val="00074C89"/>
    <w:rsid w:val="00087148"/>
    <w:rsid w:val="000925BF"/>
    <w:rsid w:val="00092B9D"/>
    <w:rsid w:val="00094579"/>
    <w:rsid w:val="000A421B"/>
    <w:rsid w:val="000A502E"/>
    <w:rsid w:val="000C4701"/>
    <w:rsid w:val="000C7D2A"/>
    <w:rsid w:val="000D4AE9"/>
    <w:rsid w:val="000D55BD"/>
    <w:rsid w:val="000E479E"/>
    <w:rsid w:val="000F13F5"/>
    <w:rsid w:val="000F1F94"/>
    <w:rsid w:val="000F41FC"/>
    <w:rsid w:val="000F650C"/>
    <w:rsid w:val="001005B8"/>
    <w:rsid w:val="00101E24"/>
    <w:rsid w:val="00101F4F"/>
    <w:rsid w:val="00105F5C"/>
    <w:rsid w:val="00107949"/>
    <w:rsid w:val="00110C8E"/>
    <w:rsid w:val="00111F4C"/>
    <w:rsid w:val="001139A6"/>
    <w:rsid w:val="00130693"/>
    <w:rsid w:val="00131406"/>
    <w:rsid w:val="00131E5E"/>
    <w:rsid w:val="00135903"/>
    <w:rsid w:val="00136FC2"/>
    <w:rsid w:val="0013757F"/>
    <w:rsid w:val="001401B6"/>
    <w:rsid w:val="0014247A"/>
    <w:rsid w:val="0014760F"/>
    <w:rsid w:val="00155678"/>
    <w:rsid w:val="0016171E"/>
    <w:rsid w:val="001644C4"/>
    <w:rsid w:val="0017399C"/>
    <w:rsid w:val="00173E34"/>
    <w:rsid w:val="00175B9B"/>
    <w:rsid w:val="001851A1"/>
    <w:rsid w:val="00193C8B"/>
    <w:rsid w:val="001949BB"/>
    <w:rsid w:val="00195C02"/>
    <w:rsid w:val="00196DF3"/>
    <w:rsid w:val="001A11FD"/>
    <w:rsid w:val="001A2B2B"/>
    <w:rsid w:val="001C418A"/>
    <w:rsid w:val="001C4BD2"/>
    <w:rsid w:val="001D1BD0"/>
    <w:rsid w:val="002025B6"/>
    <w:rsid w:val="00210F9F"/>
    <w:rsid w:val="00215C8F"/>
    <w:rsid w:val="00220160"/>
    <w:rsid w:val="00222429"/>
    <w:rsid w:val="00226EA9"/>
    <w:rsid w:val="0023415A"/>
    <w:rsid w:val="00234684"/>
    <w:rsid w:val="002356BA"/>
    <w:rsid w:val="00240543"/>
    <w:rsid w:val="00241529"/>
    <w:rsid w:val="00244513"/>
    <w:rsid w:val="002527A5"/>
    <w:rsid w:val="002527E9"/>
    <w:rsid w:val="00253EE7"/>
    <w:rsid w:val="00261799"/>
    <w:rsid w:val="00262344"/>
    <w:rsid w:val="00271F0C"/>
    <w:rsid w:val="0027328D"/>
    <w:rsid w:val="002870D2"/>
    <w:rsid w:val="002915AB"/>
    <w:rsid w:val="002A2AFF"/>
    <w:rsid w:val="002A7E4C"/>
    <w:rsid w:val="002C0607"/>
    <w:rsid w:val="002C0C14"/>
    <w:rsid w:val="002C7106"/>
    <w:rsid w:val="002C7D21"/>
    <w:rsid w:val="002D0E69"/>
    <w:rsid w:val="002D105E"/>
    <w:rsid w:val="002D46C4"/>
    <w:rsid w:val="002E7228"/>
    <w:rsid w:val="002F0258"/>
    <w:rsid w:val="002F21CE"/>
    <w:rsid w:val="002F4EC8"/>
    <w:rsid w:val="002F625C"/>
    <w:rsid w:val="002F6BD1"/>
    <w:rsid w:val="002F7853"/>
    <w:rsid w:val="00304495"/>
    <w:rsid w:val="0030460C"/>
    <w:rsid w:val="00304CE2"/>
    <w:rsid w:val="003067E6"/>
    <w:rsid w:val="00314534"/>
    <w:rsid w:val="0031653E"/>
    <w:rsid w:val="003225E9"/>
    <w:rsid w:val="00322E9A"/>
    <w:rsid w:val="0032368B"/>
    <w:rsid w:val="00323EF8"/>
    <w:rsid w:val="00330349"/>
    <w:rsid w:val="003346EE"/>
    <w:rsid w:val="00334C52"/>
    <w:rsid w:val="003351DA"/>
    <w:rsid w:val="0033720F"/>
    <w:rsid w:val="0034018D"/>
    <w:rsid w:val="00340309"/>
    <w:rsid w:val="00340CAF"/>
    <w:rsid w:val="00341908"/>
    <w:rsid w:val="00342D73"/>
    <w:rsid w:val="003462B8"/>
    <w:rsid w:val="00354DF4"/>
    <w:rsid w:val="00362FEC"/>
    <w:rsid w:val="0037346B"/>
    <w:rsid w:val="003855F1"/>
    <w:rsid w:val="003910CB"/>
    <w:rsid w:val="0039260C"/>
    <w:rsid w:val="003941C4"/>
    <w:rsid w:val="003975E4"/>
    <w:rsid w:val="003A28F6"/>
    <w:rsid w:val="003A3FFB"/>
    <w:rsid w:val="003A6C30"/>
    <w:rsid w:val="003D2753"/>
    <w:rsid w:val="003D293C"/>
    <w:rsid w:val="003D314E"/>
    <w:rsid w:val="003D76EC"/>
    <w:rsid w:val="003D7A1A"/>
    <w:rsid w:val="003E1580"/>
    <w:rsid w:val="003E1FAB"/>
    <w:rsid w:val="003E6DFD"/>
    <w:rsid w:val="003F1AAA"/>
    <w:rsid w:val="003F3DDF"/>
    <w:rsid w:val="00404A80"/>
    <w:rsid w:val="00406E09"/>
    <w:rsid w:val="00406F05"/>
    <w:rsid w:val="00410098"/>
    <w:rsid w:val="00421D42"/>
    <w:rsid w:val="00424493"/>
    <w:rsid w:val="00424843"/>
    <w:rsid w:val="00425893"/>
    <w:rsid w:val="00434D52"/>
    <w:rsid w:val="00434F77"/>
    <w:rsid w:val="00443117"/>
    <w:rsid w:val="00447572"/>
    <w:rsid w:val="00450831"/>
    <w:rsid w:val="00452F5B"/>
    <w:rsid w:val="004538E6"/>
    <w:rsid w:val="00465037"/>
    <w:rsid w:val="00465654"/>
    <w:rsid w:val="00466696"/>
    <w:rsid w:val="00474BED"/>
    <w:rsid w:val="00476CCE"/>
    <w:rsid w:val="004811C8"/>
    <w:rsid w:val="004860F2"/>
    <w:rsid w:val="004923AE"/>
    <w:rsid w:val="00495F20"/>
    <w:rsid w:val="004A48F7"/>
    <w:rsid w:val="004A75C0"/>
    <w:rsid w:val="004A79DE"/>
    <w:rsid w:val="004B10B1"/>
    <w:rsid w:val="004B5B56"/>
    <w:rsid w:val="004B5B63"/>
    <w:rsid w:val="004C69CF"/>
    <w:rsid w:val="004D101F"/>
    <w:rsid w:val="004D63D6"/>
    <w:rsid w:val="004D767B"/>
    <w:rsid w:val="004E51D1"/>
    <w:rsid w:val="004E6B2C"/>
    <w:rsid w:val="004F1D45"/>
    <w:rsid w:val="005004A5"/>
    <w:rsid w:val="00503589"/>
    <w:rsid w:val="0050422A"/>
    <w:rsid w:val="00505391"/>
    <w:rsid w:val="00512357"/>
    <w:rsid w:val="00513E80"/>
    <w:rsid w:val="0051774C"/>
    <w:rsid w:val="00517BEF"/>
    <w:rsid w:val="00517EAF"/>
    <w:rsid w:val="00522D3D"/>
    <w:rsid w:val="00530498"/>
    <w:rsid w:val="005330B4"/>
    <w:rsid w:val="005343F3"/>
    <w:rsid w:val="00540B67"/>
    <w:rsid w:val="005413B2"/>
    <w:rsid w:val="00550CD4"/>
    <w:rsid w:val="00552330"/>
    <w:rsid w:val="00553B36"/>
    <w:rsid w:val="00554B56"/>
    <w:rsid w:val="00566EB6"/>
    <w:rsid w:val="00580035"/>
    <w:rsid w:val="00586B57"/>
    <w:rsid w:val="0059642F"/>
    <w:rsid w:val="00597A9E"/>
    <w:rsid w:val="005A19D9"/>
    <w:rsid w:val="005A6278"/>
    <w:rsid w:val="005B5E0F"/>
    <w:rsid w:val="005B619A"/>
    <w:rsid w:val="005B78AE"/>
    <w:rsid w:val="005C2D36"/>
    <w:rsid w:val="005C52D2"/>
    <w:rsid w:val="005D6082"/>
    <w:rsid w:val="005E1B52"/>
    <w:rsid w:val="005E2FD8"/>
    <w:rsid w:val="005F01FE"/>
    <w:rsid w:val="005F4AC7"/>
    <w:rsid w:val="005F589A"/>
    <w:rsid w:val="005F6E68"/>
    <w:rsid w:val="00600EF8"/>
    <w:rsid w:val="00607F12"/>
    <w:rsid w:val="006100B9"/>
    <w:rsid w:val="00614CA6"/>
    <w:rsid w:val="0062281C"/>
    <w:rsid w:val="0062368C"/>
    <w:rsid w:val="00625BDB"/>
    <w:rsid w:val="0062674D"/>
    <w:rsid w:val="00642AB4"/>
    <w:rsid w:val="00647EAD"/>
    <w:rsid w:val="00654214"/>
    <w:rsid w:val="00655970"/>
    <w:rsid w:val="00660256"/>
    <w:rsid w:val="0067542A"/>
    <w:rsid w:val="0067623F"/>
    <w:rsid w:val="00681294"/>
    <w:rsid w:val="006A0A9B"/>
    <w:rsid w:val="006A1B2E"/>
    <w:rsid w:val="006A2927"/>
    <w:rsid w:val="006A2C2A"/>
    <w:rsid w:val="006A3F7B"/>
    <w:rsid w:val="006A7E18"/>
    <w:rsid w:val="006B473B"/>
    <w:rsid w:val="006B5192"/>
    <w:rsid w:val="006B5C09"/>
    <w:rsid w:val="006B6D82"/>
    <w:rsid w:val="006C038E"/>
    <w:rsid w:val="006C11E7"/>
    <w:rsid w:val="006C259F"/>
    <w:rsid w:val="006C502C"/>
    <w:rsid w:val="006C50E8"/>
    <w:rsid w:val="006D06DB"/>
    <w:rsid w:val="006D74B1"/>
    <w:rsid w:val="006E3718"/>
    <w:rsid w:val="006E754F"/>
    <w:rsid w:val="006F3296"/>
    <w:rsid w:val="006F5823"/>
    <w:rsid w:val="00703294"/>
    <w:rsid w:val="00703FDC"/>
    <w:rsid w:val="00715DE4"/>
    <w:rsid w:val="007178BA"/>
    <w:rsid w:val="00727FF5"/>
    <w:rsid w:val="00730AEB"/>
    <w:rsid w:val="00740AE3"/>
    <w:rsid w:val="00756331"/>
    <w:rsid w:val="00757CFE"/>
    <w:rsid w:val="00760BBA"/>
    <w:rsid w:val="00763165"/>
    <w:rsid w:val="00763F27"/>
    <w:rsid w:val="00780122"/>
    <w:rsid w:val="00783368"/>
    <w:rsid w:val="007873B3"/>
    <w:rsid w:val="007938C2"/>
    <w:rsid w:val="007A4A8A"/>
    <w:rsid w:val="007A5E8A"/>
    <w:rsid w:val="007A6B7B"/>
    <w:rsid w:val="007B05D0"/>
    <w:rsid w:val="007B5FEE"/>
    <w:rsid w:val="007C256A"/>
    <w:rsid w:val="007C3C63"/>
    <w:rsid w:val="007D0F17"/>
    <w:rsid w:val="007E2869"/>
    <w:rsid w:val="007E3861"/>
    <w:rsid w:val="007E3A7B"/>
    <w:rsid w:val="007E448B"/>
    <w:rsid w:val="007E51E1"/>
    <w:rsid w:val="007E6897"/>
    <w:rsid w:val="007E7B14"/>
    <w:rsid w:val="007F3737"/>
    <w:rsid w:val="007F45AD"/>
    <w:rsid w:val="007F63A9"/>
    <w:rsid w:val="00801D2B"/>
    <w:rsid w:val="00803238"/>
    <w:rsid w:val="00803F45"/>
    <w:rsid w:val="008047A2"/>
    <w:rsid w:val="00804CB2"/>
    <w:rsid w:val="0080650C"/>
    <w:rsid w:val="00826873"/>
    <w:rsid w:val="008307A3"/>
    <w:rsid w:val="00831599"/>
    <w:rsid w:val="00835FFA"/>
    <w:rsid w:val="0083699C"/>
    <w:rsid w:val="0083777F"/>
    <w:rsid w:val="00837CC2"/>
    <w:rsid w:val="00841B13"/>
    <w:rsid w:val="008449F5"/>
    <w:rsid w:val="0085193D"/>
    <w:rsid w:val="00861094"/>
    <w:rsid w:val="008650F1"/>
    <w:rsid w:val="0087177D"/>
    <w:rsid w:val="0087504A"/>
    <w:rsid w:val="008801D8"/>
    <w:rsid w:val="0089195D"/>
    <w:rsid w:val="00892D2C"/>
    <w:rsid w:val="008950C0"/>
    <w:rsid w:val="008A19B5"/>
    <w:rsid w:val="008A7141"/>
    <w:rsid w:val="008B0907"/>
    <w:rsid w:val="008B44A1"/>
    <w:rsid w:val="008B74D6"/>
    <w:rsid w:val="008C4179"/>
    <w:rsid w:val="008C4825"/>
    <w:rsid w:val="008C572C"/>
    <w:rsid w:val="008C6949"/>
    <w:rsid w:val="008C7E55"/>
    <w:rsid w:val="008D04ED"/>
    <w:rsid w:val="008D32EF"/>
    <w:rsid w:val="008D351D"/>
    <w:rsid w:val="008D5B7A"/>
    <w:rsid w:val="008E071B"/>
    <w:rsid w:val="008E1AAD"/>
    <w:rsid w:val="008F0C0E"/>
    <w:rsid w:val="008F2E4B"/>
    <w:rsid w:val="008F6067"/>
    <w:rsid w:val="008F793C"/>
    <w:rsid w:val="00901AE0"/>
    <w:rsid w:val="0090244F"/>
    <w:rsid w:val="009126CA"/>
    <w:rsid w:val="00922F40"/>
    <w:rsid w:val="0092571A"/>
    <w:rsid w:val="00927A42"/>
    <w:rsid w:val="00932552"/>
    <w:rsid w:val="00932ECF"/>
    <w:rsid w:val="009362C1"/>
    <w:rsid w:val="009429BA"/>
    <w:rsid w:val="00950C51"/>
    <w:rsid w:val="00956B9D"/>
    <w:rsid w:val="00960C1A"/>
    <w:rsid w:val="00964994"/>
    <w:rsid w:val="00971649"/>
    <w:rsid w:val="00972D20"/>
    <w:rsid w:val="00975976"/>
    <w:rsid w:val="00976E36"/>
    <w:rsid w:val="009772DE"/>
    <w:rsid w:val="00984A45"/>
    <w:rsid w:val="009851FB"/>
    <w:rsid w:val="00986A6C"/>
    <w:rsid w:val="009906D4"/>
    <w:rsid w:val="00994A7E"/>
    <w:rsid w:val="00996C01"/>
    <w:rsid w:val="009A1097"/>
    <w:rsid w:val="009B3BEE"/>
    <w:rsid w:val="009B666F"/>
    <w:rsid w:val="009B6CF5"/>
    <w:rsid w:val="009D0404"/>
    <w:rsid w:val="009D18E9"/>
    <w:rsid w:val="009D2B3F"/>
    <w:rsid w:val="009D65AD"/>
    <w:rsid w:val="009D6F4E"/>
    <w:rsid w:val="009E2DB4"/>
    <w:rsid w:val="009E3647"/>
    <w:rsid w:val="009E459F"/>
    <w:rsid w:val="009E5EC3"/>
    <w:rsid w:val="009E7FAD"/>
    <w:rsid w:val="009F342C"/>
    <w:rsid w:val="009F58A6"/>
    <w:rsid w:val="009F75F2"/>
    <w:rsid w:val="00A032BB"/>
    <w:rsid w:val="00A06A43"/>
    <w:rsid w:val="00A13543"/>
    <w:rsid w:val="00A15184"/>
    <w:rsid w:val="00A151EB"/>
    <w:rsid w:val="00A154C8"/>
    <w:rsid w:val="00A202E2"/>
    <w:rsid w:val="00A234EA"/>
    <w:rsid w:val="00A34AD4"/>
    <w:rsid w:val="00A43AAA"/>
    <w:rsid w:val="00A43F24"/>
    <w:rsid w:val="00A44D0F"/>
    <w:rsid w:val="00A606B2"/>
    <w:rsid w:val="00A61055"/>
    <w:rsid w:val="00A6132C"/>
    <w:rsid w:val="00A66FEE"/>
    <w:rsid w:val="00A67AE2"/>
    <w:rsid w:val="00A710E6"/>
    <w:rsid w:val="00A727D7"/>
    <w:rsid w:val="00A77338"/>
    <w:rsid w:val="00A773CB"/>
    <w:rsid w:val="00A8417F"/>
    <w:rsid w:val="00A907C1"/>
    <w:rsid w:val="00A937AE"/>
    <w:rsid w:val="00AA0B83"/>
    <w:rsid w:val="00AA4AF9"/>
    <w:rsid w:val="00AA6D92"/>
    <w:rsid w:val="00AB19EA"/>
    <w:rsid w:val="00AB4D07"/>
    <w:rsid w:val="00AC22A7"/>
    <w:rsid w:val="00AD387C"/>
    <w:rsid w:val="00AE1676"/>
    <w:rsid w:val="00AE4F8A"/>
    <w:rsid w:val="00AE7D6C"/>
    <w:rsid w:val="00B01B73"/>
    <w:rsid w:val="00B074AC"/>
    <w:rsid w:val="00B10965"/>
    <w:rsid w:val="00B11850"/>
    <w:rsid w:val="00B1451B"/>
    <w:rsid w:val="00B16C20"/>
    <w:rsid w:val="00B20BD9"/>
    <w:rsid w:val="00B22B31"/>
    <w:rsid w:val="00B24AA2"/>
    <w:rsid w:val="00B26F0F"/>
    <w:rsid w:val="00B27D1E"/>
    <w:rsid w:val="00B32B8D"/>
    <w:rsid w:val="00B37F87"/>
    <w:rsid w:val="00B46D2B"/>
    <w:rsid w:val="00B5247A"/>
    <w:rsid w:val="00B60541"/>
    <w:rsid w:val="00B618AF"/>
    <w:rsid w:val="00B669BB"/>
    <w:rsid w:val="00B67803"/>
    <w:rsid w:val="00B7053D"/>
    <w:rsid w:val="00B74C6A"/>
    <w:rsid w:val="00B81FCE"/>
    <w:rsid w:val="00B84D59"/>
    <w:rsid w:val="00B91922"/>
    <w:rsid w:val="00BA0468"/>
    <w:rsid w:val="00BA5503"/>
    <w:rsid w:val="00BB44ED"/>
    <w:rsid w:val="00BB6F20"/>
    <w:rsid w:val="00BB73D0"/>
    <w:rsid w:val="00BD198E"/>
    <w:rsid w:val="00BD3A7D"/>
    <w:rsid w:val="00BD4C49"/>
    <w:rsid w:val="00BE024E"/>
    <w:rsid w:val="00BF29BD"/>
    <w:rsid w:val="00BF5098"/>
    <w:rsid w:val="00BF55ED"/>
    <w:rsid w:val="00C00C91"/>
    <w:rsid w:val="00C01E77"/>
    <w:rsid w:val="00C10B88"/>
    <w:rsid w:val="00C1545C"/>
    <w:rsid w:val="00C15B7D"/>
    <w:rsid w:val="00C16E68"/>
    <w:rsid w:val="00C24AB7"/>
    <w:rsid w:val="00C36CA6"/>
    <w:rsid w:val="00C41D06"/>
    <w:rsid w:val="00C465F8"/>
    <w:rsid w:val="00C47AFA"/>
    <w:rsid w:val="00C53620"/>
    <w:rsid w:val="00C61421"/>
    <w:rsid w:val="00C61499"/>
    <w:rsid w:val="00C64C08"/>
    <w:rsid w:val="00C64F42"/>
    <w:rsid w:val="00C669E7"/>
    <w:rsid w:val="00C6728B"/>
    <w:rsid w:val="00C84781"/>
    <w:rsid w:val="00C8610C"/>
    <w:rsid w:val="00C92116"/>
    <w:rsid w:val="00C92C19"/>
    <w:rsid w:val="00C92DF5"/>
    <w:rsid w:val="00C93A54"/>
    <w:rsid w:val="00C96143"/>
    <w:rsid w:val="00C96CA3"/>
    <w:rsid w:val="00CA0A6C"/>
    <w:rsid w:val="00CA0CE4"/>
    <w:rsid w:val="00CA0FC1"/>
    <w:rsid w:val="00CA1880"/>
    <w:rsid w:val="00CA590F"/>
    <w:rsid w:val="00CB1745"/>
    <w:rsid w:val="00CD223B"/>
    <w:rsid w:val="00CD3E32"/>
    <w:rsid w:val="00CD7C25"/>
    <w:rsid w:val="00CE0BC8"/>
    <w:rsid w:val="00CE2CE7"/>
    <w:rsid w:val="00CF15EF"/>
    <w:rsid w:val="00CF259F"/>
    <w:rsid w:val="00CF6206"/>
    <w:rsid w:val="00CF7328"/>
    <w:rsid w:val="00D0297D"/>
    <w:rsid w:val="00D059E8"/>
    <w:rsid w:val="00D068D1"/>
    <w:rsid w:val="00D1025D"/>
    <w:rsid w:val="00D11EB2"/>
    <w:rsid w:val="00D15031"/>
    <w:rsid w:val="00D16326"/>
    <w:rsid w:val="00D2565F"/>
    <w:rsid w:val="00D4121E"/>
    <w:rsid w:val="00D42567"/>
    <w:rsid w:val="00D45AEF"/>
    <w:rsid w:val="00D46182"/>
    <w:rsid w:val="00D4645A"/>
    <w:rsid w:val="00D46888"/>
    <w:rsid w:val="00D5267C"/>
    <w:rsid w:val="00D57386"/>
    <w:rsid w:val="00D667B1"/>
    <w:rsid w:val="00D707CD"/>
    <w:rsid w:val="00D86F4A"/>
    <w:rsid w:val="00DA219C"/>
    <w:rsid w:val="00DA5B26"/>
    <w:rsid w:val="00DB5F3F"/>
    <w:rsid w:val="00DB7725"/>
    <w:rsid w:val="00DC1094"/>
    <w:rsid w:val="00DC27FD"/>
    <w:rsid w:val="00DC67C5"/>
    <w:rsid w:val="00DC7DD7"/>
    <w:rsid w:val="00DD0A38"/>
    <w:rsid w:val="00DD1176"/>
    <w:rsid w:val="00DD6095"/>
    <w:rsid w:val="00DE1BDF"/>
    <w:rsid w:val="00DE2A82"/>
    <w:rsid w:val="00DE3439"/>
    <w:rsid w:val="00DE78BF"/>
    <w:rsid w:val="00E12A50"/>
    <w:rsid w:val="00E20F97"/>
    <w:rsid w:val="00E2131A"/>
    <w:rsid w:val="00E21CD4"/>
    <w:rsid w:val="00E23751"/>
    <w:rsid w:val="00E2406A"/>
    <w:rsid w:val="00E304D2"/>
    <w:rsid w:val="00E34BDE"/>
    <w:rsid w:val="00E51FDB"/>
    <w:rsid w:val="00E56F14"/>
    <w:rsid w:val="00E57A55"/>
    <w:rsid w:val="00E6252E"/>
    <w:rsid w:val="00E739BD"/>
    <w:rsid w:val="00E75E91"/>
    <w:rsid w:val="00E808DE"/>
    <w:rsid w:val="00E81113"/>
    <w:rsid w:val="00E8152E"/>
    <w:rsid w:val="00E85745"/>
    <w:rsid w:val="00E92284"/>
    <w:rsid w:val="00E93F4E"/>
    <w:rsid w:val="00E952D7"/>
    <w:rsid w:val="00E96632"/>
    <w:rsid w:val="00EA04D2"/>
    <w:rsid w:val="00EA27F8"/>
    <w:rsid w:val="00EA2808"/>
    <w:rsid w:val="00EA3681"/>
    <w:rsid w:val="00EA39F7"/>
    <w:rsid w:val="00EB269F"/>
    <w:rsid w:val="00EB3821"/>
    <w:rsid w:val="00EB755F"/>
    <w:rsid w:val="00EC6F5D"/>
    <w:rsid w:val="00EC757F"/>
    <w:rsid w:val="00ED039D"/>
    <w:rsid w:val="00EE344A"/>
    <w:rsid w:val="00EE49C4"/>
    <w:rsid w:val="00EE6CFE"/>
    <w:rsid w:val="00EF12D5"/>
    <w:rsid w:val="00EF572C"/>
    <w:rsid w:val="00F01EFE"/>
    <w:rsid w:val="00F04812"/>
    <w:rsid w:val="00F05623"/>
    <w:rsid w:val="00F1271A"/>
    <w:rsid w:val="00F12B32"/>
    <w:rsid w:val="00F16256"/>
    <w:rsid w:val="00F30959"/>
    <w:rsid w:val="00F32788"/>
    <w:rsid w:val="00F40C05"/>
    <w:rsid w:val="00F41819"/>
    <w:rsid w:val="00F4498F"/>
    <w:rsid w:val="00F55348"/>
    <w:rsid w:val="00F60909"/>
    <w:rsid w:val="00F62153"/>
    <w:rsid w:val="00F63717"/>
    <w:rsid w:val="00F74A51"/>
    <w:rsid w:val="00F76342"/>
    <w:rsid w:val="00F83166"/>
    <w:rsid w:val="00F90B38"/>
    <w:rsid w:val="00F9128F"/>
    <w:rsid w:val="00F94675"/>
    <w:rsid w:val="00F94CB9"/>
    <w:rsid w:val="00F977D9"/>
    <w:rsid w:val="00FA471C"/>
    <w:rsid w:val="00FA72C3"/>
    <w:rsid w:val="00FB64CC"/>
    <w:rsid w:val="00FC078C"/>
    <w:rsid w:val="00FC0B07"/>
    <w:rsid w:val="00FC0FA5"/>
    <w:rsid w:val="00FC4362"/>
    <w:rsid w:val="00FC4E74"/>
    <w:rsid w:val="00FD4C17"/>
    <w:rsid w:val="00FD568F"/>
    <w:rsid w:val="00FD6F48"/>
    <w:rsid w:val="00FE0125"/>
    <w:rsid w:val="00FE0754"/>
    <w:rsid w:val="00FE312A"/>
    <w:rsid w:val="00FE31DA"/>
    <w:rsid w:val="00FE4066"/>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B14"/>
    <w:rPr>
      <w:rFonts w:ascii="Book Antiqua" w:hAnsi="Book Antiqua"/>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40"/>
    <w:pPr>
      <w:spacing w:after="240"/>
    </w:pPr>
    <w:rPr>
      <w:sz w:val="24"/>
    </w:rPr>
  </w:style>
  <w:style w:type="character" w:styleId="FootnoteReference">
    <w:name w:val="footnote reference"/>
    <w:aliases w:val="o,fr,Style 3,o1,o2,o3,o4,o5,o6,o11,o21,o7,o + Times New Roman,Style 12,(NECG) Footnote Reference,Appel note de bas de p,Style 124,Style 58"/>
    <w:basedOn w:val="DefaultParagraphFont"/>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C7106"/>
    <w:rPr>
      <w:rFonts w:ascii="Book Antiqua" w:hAnsi="Book Antiqua"/>
      <w:sz w:val="24"/>
    </w:rPr>
  </w:style>
  <w:style w:type="paragraph" w:styleId="NormalWeb">
    <w:name w:val="Normal (Web)"/>
    <w:basedOn w:val="Normal"/>
    <w:semiHidden/>
    <w:unhideWhenUsed/>
    <w:rsid w:val="00F9128F"/>
    <w:rPr>
      <w:rFonts w:ascii="Times New Roman" w:hAnsi="Times New Roman"/>
      <w:sz w:val="24"/>
      <w:szCs w:val="24"/>
    </w:rPr>
  </w:style>
  <w:style w:type="paragraph" w:customStyle="1" w:styleId="Standard0">
    <w:name w:val="Standard"/>
    <w:basedOn w:val="Normal"/>
    <w:qFormat/>
    <w:rsid w:val="005F01FE"/>
    <w:pPr>
      <w:spacing w:line="360" w:lineRule="auto"/>
      <w:ind w:firstLine="720"/>
    </w:pPr>
    <w:rPr>
      <w:rFonts w:eastAsiaTheme="minorHAnsi" w:cstheme="minorBidi"/>
      <w:szCs w:val="22"/>
    </w:rPr>
  </w:style>
  <w:style w:type="numbering" w:customStyle="1" w:styleId="FoFCoLOP">
    <w:name w:val="FoF/CoL/OP"/>
    <w:uiPriority w:val="99"/>
    <w:rsid w:val="00476CCE"/>
    <w:pPr>
      <w:numPr>
        <w:numId w:val="11"/>
      </w:numPr>
    </w:pPr>
  </w:style>
  <w:style w:type="paragraph" w:customStyle="1" w:styleId="CoL">
    <w:name w:val="CoL"/>
    <w:basedOn w:val="Normal"/>
    <w:uiPriority w:val="7"/>
    <w:qFormat/>
    <w:rsid w:val="00476CCE"/>
    <w:pPr>
      <w:numPr>
        <w:numId w:val="12"/>
      </w:numPr>
      <w:spacing w:line="360" w:lineRule="auto"/>
      <w:ind w:firstLine="547"/>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23299515">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5280152">
      <w:bodyDiv w:val="1"/>
      <w:marLeft w:val="0"/>
      <w:marRight w:val="0"/>
      <w:marTop w:val="0"/>
      <w:marBottom w:val="0"/>
      <w:divBdr>
        <w:top w:val="none" w:sz="0" w:space="0" w:color="auto"/>
        <w:left w:val="none" w:sz="0" w:space="0" w:color="auto"/>
        <w:bottom w:val="none" w:sz="0" w:space="0" w:color="auto"/>
        <w:right w:val="none" w:sz="0" w:space="0" w:color="auto"/>
      </w:divBdr>
    </w:div>
    <w:div w:id="580725313">
      <w:bodyDiv w:val="1"/>
      <w:marLeft w:val="0"/>
      <w:marRight w:val="0"/>
      <w:marTop w:val="0"/>
      <w:marBottom w:val="0"/>
      <w:divBdr>
        <w:top w:val="none" w:sz="0" w:space="0" w:color="auto"/>
        <w:left w:val="none" w:sz="0" w:space="0" w:color="auto"/>
        <w:bottom w:val="none" w:sz="0" w:space="0" w:color="auto"/>
        <w:right w:val="none" w:sz="0" w:space="0" w:color="auto"/>
      </w:divBdr>
    </w:div>
    <w:div w:id="694312881">
      <w:bodyDiv w:val="1"/>
      <w:marLeft w:val="0"/>
      <w:marRight w:val="0"/>
      <w:marTop w:val="0"/>
      <w:marBottom w:val="0"/>
      <w:divBdr>
        <w:top w:val="none" w:sz="0" w:space="0" w:color="auto"/>
        <w:left w:val="none" w:sz="0" w:space="0" w:color="auto"/>
        <w:bottom w:val="none" w:sz="0" w:space="0" w:color="auto"/>
        <w:right w:val="none" w:sz="0" w:space="0" w:color="auto"/>
      </w:divBdr>
    </w:div>
    <w:div w:id="81221462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1627418">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503618103">
      <w:bodyDiv w:val="1"/>
      <w:marLeft w:val="0"/>
      <w:marRight w:val="0"/>
      <w:marTop w:val="0"/>
      <w:marBottom w:val="0"/>
      <w:divBdr>
        <w:top w:val="none" w:sz="0" w:space="0" w:color="auto"/>
        <w:left w:val="none" w:sz="0" w:space="0" w:color="auto"/>
        <w:bottom w:val="none" w:sz="0" w:space="0" w:color="auto"/>
        <w:right w:val="none" w:sz="0" w:space="0" w:color="auto"/>
      </w:divBdr>
    </w:div>
    <w:div w:id="1623612322">
      <w:bodyDiv w:val="1"/>
      <w:marLeft w:val="0"/>
      <w:marRight w:val="0"/>
      <w:marTop w:val="0"/>
      <w:marBottom w:val="0"/>
      <w:divBdr>
        <w:top w:val="none" w:sz="0" w:space="0" w:color="auto"/>
        <w:left w:val="none" w:sz="0" w:space="0" w:color="auto"/>
        <w:bottom w:val="none" w:sz="0" w:space="0" w:color="auto"/>
        <w:right w:val="none" w:sz="0" w:space="0" w:color="auto"/>
      </w:divBdr>
      <w:divsChild>
        <w:div w:id="1769152069">
          <w:marLeft w:val="0"/>
          <w:marRight w:val="0"/>
          <w:marTop w:val="0"/>
          <w:marBottom w:val="0"/>
          <w:divBdr>
            <w:top w:val="none" w:sz="0" w:space="0" w:color="auto"/>
            <w:left w:val="none" w:sz="0" w:space="0" w:color="auto"/>
            <w:bottom w:val="none" w:sz="0" w:space="0" w:color="auto"/>
            <w:right w:val="none" w:sz="0" w:space="0" w:color="auto"/>
          </w:divBdr>
          <w:divsChild>
            <w:div w:id="1530872025">
              <w:marLeft w:val="0"/>
              <w:marRight w:val="0"/>
              <w:marTop w:val="0"/>
              <w:marBottom w:val="0"/>
              <w:divBdr>
                <w:top w:val="none" w:sz="0" w:space="0" w:color="auto"/>
                <w:left w:val="none" w:sz="0" w:space="0" w:color="auto"/>
                <w:bottom w:val="none" w:sz="0" w:space="0" w:color="auto"/>
                <w:right w:val="none" w:sz="0" w:space="0" w:color="auto"/>
              </w:divBdr>
              <w:divsChild>
                <w:div w:id="45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644">
      <w:bodyDiv w:val="1"/>
      <w:marLeft w:val="0"/>
      <w:marRight w:val="0"/>
      <w:marTop w:val="0"/>
      <w:marBottom w:val="0"/>
      <w:divBdr>
        <w:top w:val="none" w:sz="0" w:space="0" w:color="auto"/>
        <w:left w:val="none" w:sz="0" w:space="0" w:color="auto"/>
        <w:bottom w:val="none" w:sz="0" w:space="0" w:color="auto"/>
        <w:right w:val="none" w:sz="0" w:space="0" w:color="auto"/>
      </w:divBdr>
    </w:div>
    <w:div w:id="1901553550">
      <w:bodyDiv w:val="1"/>
      <w:marLeft w:val="0"/>
      <w:marRight w:val="0"/>
      <w:marTop w:val="0"/>
      <w:marBottom w:val="0"/>
      <w:divBdr>
        <w:top w:val="none" w:sz="0" w:space="0" w:color="auto"/>
        <w:left w:val="none" w:sz="0" w:space="0" w:color="auto"/>
        <w:bottom w:val="none" w:sz="0" w:space="0" w:color="auto"/>
        <w:right w:val="none" w:sz="0" w:space="0" w:color="auto"/>
      </w:divBdr>
    </w:div>
    <w:div w:id="20295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3FAA-2E18-0244-A87A-AD734CECB2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1003</ap:Words>
  <ap:Characters>5722</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6712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2021-05-07T11:08:22Z</dcterms:created>
  <dcterms:modified xsi:type="dcterms:W3CDTF">2021-05-07T11:08:22Z</dcterms:modified>
</cp:coreProperties>
</file>