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05B9" w:rsidR="006B5C99" w:rsidP="009D4B65" w:rsidRDefault="002D6F47" w14:paraId="3DDAF908" w14:textId="13B44565">
      <w:pPr>
        <w:tabs>
          <w:tab w:val="left" w:pos="2700"/>
          <w:tab w:val="center" w:pos="4680"/>
          <w:tab w:val="right" w:pos="9360"/>
        </w:tabs>
        <w:spacing w:line="240" w:lineRule="auto"/>
        <w:ind w:firstLine="0"/>
        <w:rPr>
          <w:b/>
          <w:bCs/>
        </w:rPr>
      </w:pPr>
      <w:r>
        <w:t>COM/____/gp2</w:t>
      </w:r>
      <w:r w:rsidR="009D4B65">
        <w:tab/>
      </w:r>
      <w:r w:rsidRPr="009D4B65" w:rsidR="009D4B65">
        <w:rPr>
          <w:rFonts w:ascii="Arial" w:hAnsi="Arial" w:cs="Arial"/>
          <w:b/>
          <w:bCs/>
          <w:sz w:val="32"/>
          <w:szCs w:val="32"/>
        </w:rPr>
        <w:t>PROPOSED DECISION</w:t>
      </w:r>
      <w:r w:rsidR="008951CF">
        <w:tab/>
      </w:r>
      <w:r w:rsidRPr="001D05B9" w:rsidR="008951CF">
        <w:rPr>
          <w:b/>
          <w:bCs/>
        </w:rPr>
        <w:t>Agenda ID #</w:t>
      </w:r>
      <w:r w:rsidRPr="00042C3E" w:rsidR="00042C3E">
        <w:rPr>
          <w:b/>
          <w:bCs/>
        </w:rPr>
        <w:t>19558</w:t>
      </w:r>
    </w:p>
    <w:p w:rsidRPr="002D6F47" w:rsidR="006B5C99" w:rsidP="00ED39D4" w:rsidRDefault="002D6F47" w14:paraId="14908665" w14:textId="768023B4">
      <w:pPr>
        <w:tabs>
          <w:tab w:val="center" w:pos="4680"/>
          <w:tab w:val="right" w:pos="9360"/>
        </w:tabs>
        <w:spacing w:line="240" w:lineRule="auto"/>
        <w:ind w:firstLine="0"/>
        <w:jc w:val="right"/>
        <w:rPr>
          <w:b/>
          <w:bCs/>
        </w:rPr>
      </w:pPr>
      <w:r>
        <w:rPr>
          <w:b/>
          <w:bCs/>
        </w:rPr>
        <w:t>Quasi-Legislative</w:t>
      </w:r>
    </w:p>
    <w:p w:rsidR="00FC5EF4" w:rsidP="006B5C99" w:rsidRDefault="00FC5EF4" w14:paraId="3E6270A1" w14:textId="6DF12611">
      <w:pPr>
        <w:tabs>
          <w:tab w:val="center" w:pos="4680"/>
          <w:tab w:val="right" w:pos="9360"/>
        </w:tabs>
        <w:spacing w:line="240" w:lineRule="auto"/>
        <w:ind w:firstLine="0"/>
      </w:pPr>
    </w:p>
    <w:p w:rsidR="00ED39D4" w:rsidP="006B5C99" w:rsidRDefault="00ED39D4" w14:paraId="574E4685" w14:textId="5A1947B3">
      <w:pPr>
        <w:tabs>
          <w:tab w:val="center" w:pos="4680"/>
          <w:tab w:val="right" w:pos="9360"/>
        </w:tabs>
        <w:spacing w:line="240" w:lineRule="auto"/>
        <w:ind w:firstLine="0"/>
      </w:pPr>
      <w:r>
        <w:t>Decision ___________</w:t>
      </w:r>
    </w:p>
    <w:p w:rsidRPr="001D05B9" w:rsidR="00ED39D4" w:rsidP="006B5C99" w:rsidRDefault="00ED39D4" w14:paraId="16E095C4" w14:textId="77777777">
      <w:pPr>
        <w:tabs>
          <w:tab w:val="center" w:pos="4680"/>
          <w:tab w:val="right" w:pos="9360"/>
        </w:tabs>
        <w:spacing w:line="240" w:lineRule="auto"/>
        <w:ind w:firstLine="0"/>
      </w:pPr>
    </w:p>
    <w:p w:rsidRPr="001D05B9" w:rsidR="00DA7B5D" w:rsidP="00B8641B" w:rsidRDefault="00DA7B5D" w14:paraId="534568E7" w14:textId="41D9A6AE">
      <w:pPr>
        <w:tabs>
          <w:tab w:val="center" w:pos="4680"/>
          <w:tab w:val="right" w:pos="9360"/>
        </w:tabs>
        <w:spacing w:line="240" w:lineRule="auto"/>
        <w:ind w:firstLine="0"/>
        <w:jc w:val="center"/>
        <w:rPr>
          <w:rFonts w:ascii="Arial" w:hAnsi="Arial" w:cs="Arial"/>
          <w:sz w:val="24"/>
          <w:szCs w:val="24"/>
        </w:rPr>
      </w:pPr>
      <w:r w:rsidRPr="001D05B9">
        <w:rPr>
          <w:rFonts w:ascii="Arial" w:hAnsi="Arial" w:cs="Arial"/>
          <w:b/>
          <w:sz w:val="24"/>
          <w:szCs w:val="24"/>
        </w:rPr>
        <w:t>BEFORE THE PUBLIC UTILITIES COMMISSION OF THE STATE OF CALIFORNIA</w:t>
      </w:r>
    </w:p>
    <w:p w:rsidRPr="001D05B9" w:rsidR="00DA7B5D" w:rsidP="008F0116" w:rsidRDefault="00DA7B5D" w14:paraId="28D63D8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950"/>
        <w:gridCol w:w="4410"/>
      </w:tblGrid>
      <w:tr w:rsidR="00DA7B5D" w:rsidTr="00686586" w14:paraId="4620A44E" w14:textId="77777777">
        <w:trPr>
          <w:jc w:val="center"/>
        </w:trPr>
        <w:tc>
          <w:tcPr>
            <w:tcW w:w="4950" w:type="dxa"/>
            <w:tcBorders>
              <w:top w:val="nil"/>
              <w:left w:val="nil"/>
              <w:bottom w:val="single" w:color="auto" w:sz="4" w:space="0"/>
              <w:right w:val="single" w:color="auto" w:sz="4" w:space="0"/>
            </w:tcBorders>
          </w:tcPr>
          <w:p w:rsidRPr="001D05B9" w:rsidR="00DA7B5D" w:rsidP="00C10B5F" w:rsidRDefault="00F7276C" w14:paraId="3E028B07" w14:textId="6C510599">
            <w:pPr>
              <w:spacing w:line="240" w:lineRule="auto"/>
              <w:ind w:firstLine="0"/>
              <w:rPr>
                <w:rFonts w:cs="Arial"/>
              </w:rPr>
            </w:pPr>
            <w:r>
              <w:t xml:space="preserve">Order Instituting Rulemaking </w:t>
            </w:r>
            <w:r w:rsidR="002754C9">
              <w:t>to Modernize the Electric Grid for a High Distributed Energy Resources Future.</w:t>
            </w:r>
            <w:r>
              <w:br/>
            </w:r>
          </w:p>
        </w:tc>
        <w:tc>
          <w:tcPr>
            <w:tcW w:w="4410" w:type="dxa"/>
            <w:tcBorders>
              <w:top w:val="nil"/>
              <w:left w:val="single" w:color="auto" w:sz="4" w:space="0"/>
              <w:bottom w:val="nil"/>
              <w:right w:val="nil"/>
            </w:tcBorders>
            <w:vAlign w:val="center"/>
          </w:tcPr>
          <w:p w:rsidRPr="00DA7B5D" w:rsidR="00DA7B5D" w:rsidP="00412C83" w:rsidRDefault="00F0423B" w14:paraId="029C6D7A" w14:textId="40A1B77D">
            <w:pPr>
              <w:spacing w:line="240" w:lineRule="auto"/>
              <w:ind w:firstLine="0"/>
              <w:jc w:val="center"/>
              <w:rPr>
                <w:rFonts w:cs="Arial"/>
                <w:szCs w:val="26"/>
              </w:rPr>
            </w:pPr>
            <w:r w:rsidRPr="001D05B9">
              <w:rPr>
                <w:rFonts w:cs="Arial"/>
                <w:szCs w:val="26"/>
              </w:rPr>
              <w:t>R.</w:t>
            </w:r>
            <w:r w:rsidRPr="001D05B9" w:rsidR="008951CF">
              <w:rPr>
                <w:rFonts w:cs="Arial"/>
                <w:szCs w:val="26"/>
              </w:rPr>
              <w:t>_________</w:t>
            </w:r>
          </w:p>
        </w:tc>
      </w:tr>
    </w:tbl>
    <w:p w:rsidR="00DA7B5D" w:rsidP="008F0116" w:rsidRDefault="00DA7B5D" w14:paraId="1E67B36B" w14:textId="77777777">
      <w:pPr>
        <w:spacing w:line="240" w:lineRule="auto"/>
        <w:ind w:firstLine="0"/>
        <w:rPr>
          <w:rFonts w:ascii="Arial" w:hAnsi="Arial" w:cs="Arial"/>
          <w:sz w:val="24"/>
          <w:szCs w:val="24"/>
        </w:rPr>
      </w:pPr>
    </w:p>
    <w:p w:rsidR="009D4B65" w:rsidP="009D4B65" w:rsidRDefault="00F7276C" w14:paraId="1988DF9F" w14:textId="77777777">
      <w:pPr>
        <w:pStyle w:val="Main"/>
        <w:spacing w:after="240"/>
        <w:rPr>
          <w:caps w:val="0"/>
        </w:rPr>
        <w:sectPr w:rsidR="009D4B65" w:rsidSect="009660A9">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pPr>
      <w:bookmarkStart w:name="_Hlk71031891" w:id="0"/>
      <w:r>
        <w:t xml:space="preserve">ORDER INSTITUTING RULEMAKING </w:t>
      </w:r>
      <w:r w:rsidR="00CD7631">
        <w:t xml:space="preserve">to </w:t>
      </w:r>
      <w:r w:rsidR="00A618DE">
        <w:t>MODERNIZE</w:t>
      </w:r>
      <w:r w:rsidR="00306BF7">
        <w:t xml:space="preserve"> </w:t>
      </w:r>
      <w:r w:rsidR="60B29185">
        <w:t xml:space="preserve">the electric grid </w:t>
      </w:r>
      <w:r w:rsidR="00C35F22">
        <w:t>FOR</w:t>
      </w:r>
      <w:r w:rsidR="00306BF7">
        <w:t xml:space="preserve"> A HIGH </w:t>
      </w:r>
      <w:r w:rsidR="00CD7631">
        <w:t xml:space="preserve">distributed energy resources </w:t>
      </w:r>
      <w:r w:rsidR="00306BF7">
        <w:t>FUTURE</w:t>
      </w:r>
      <w:bookmarkStart w:name="_Hlk68601877" w:id="1"/>
      <w:r w:rsidR="002F09FA">
        <w:t xml:space="preserve">  </w:t>
      </w:r>
      <w:bookmarkEnd w:id="1"/>
      <w:r w:rsidRPr="00883B0E" w:rsidR="000A722E">
        <w:rPr>
          <w:caps w:val="0"/>
        </w:rPr>
        <w:t xml:space="preserve"> </w:t>
      </w:r>
    </w:p>
    <w:bookmarkEnd w:displacedByCustomXml="next" w:id="0"/>
    <w:sdt>
      <w:sdtPr>
        <w:rPr>
          <w:rFonts w:ascii="Book Antiqua" w:hAnsi="Book Antiqua" w:eastAsiaTheme="minorHAnsi" w:cstheme="minorBidi"/>
          <w:b w:val="0"/>
          <w:szCs w:val="22"/>
        </w:rPr>
        <w:id w:val="1171994482"/>
        <w:docPartObj>
          <w:docPartGallery w:val="Table of Contents"/>
          <w:docPartUnique/>
        </w:docPartObj>
      </w:sdtPr>
      <w:sdtEndPr/>
      <w:sdtContent>
        <w:p w:rsidRPr="004F168B" w:rsidR="001440A0" w:rsidRDefault="001440A0" w14:paraId="6431C074" w14:textId="39B7ED5A">
          <w:pPr>
            <w:pStyle w:val="TOCHeading"/>
            <w:rPr>
              <w:rFonts w:ascii="Book Antiqua" w:hAnsi="Book Antiqua"/>
            </w:rPr>
          </w:pPr>
          <w:r w:rsidRPr="004F168B">
            <w:rPr>
              <w:rFonts w:ascii="Book Antiqua" w:hAnsi="Book Antiqua"/>
            </w:rPr>
            <w:t>Table of Contents</w:t>
          </w:r>
        </w:p>
        <w:p w:rsidRPr="002D6F47" w:rsidR="002D6F47" w:rsidP="002D6F47" w:rsidRDefault="002D6F47" w14:paraId="601955FB" w14:textId="0FE634A0">
          <w:pPr>
            <w:ind w:right="-180" w:firstLine="0"/>
            <w:rPr>
              <w:b/>
              <w:bCs/>
            </w:rPr>
          </w:pPr>
          <w:r w:rsidRPr="002D6F47">
            <w:rPr>
              <w:b/>
              <w:bCs/>
            </w:rPr>
            <w:t>Title</w:t>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r w:rsidRPr="002D6F47">
            <w:rPr>
              <w:b/>
              <w:bCs/>
            </w:rPr>
            <w:tab/>
          </w:r>
          <w:proofErr w:type="gramStart"/>
          <w:r w:rsidRPr="002D6F47">
            <w:rPr>
              <w:b/>
              <w:bCs/>
            </w:rPr>
            <w:tab/>
            <w:t xml:space="preserve">  Page</w:t>
          </w:r>
          <w:proofErr w:type="gramEnd"/>
        </w:p>
        <w:p w:rsidR="00686586" w:rsidP="00686586" w:rsidRDefault="001440A0" w14:paraId="16E1F518" w14:textId="6AF8796C">
          <w:pPr>
            <w:pStyle w:val="TOC1"/>
            <w:tabs>
              <w:tab w:val="right" w:leader="dot" w:pos="9530"/>
            </w:tabs>
            <w:ind w:left="0" w:firstLine="0"/>
            <w:rPr>
              <w:rFonts w:asciiTheme="minorHAnsi" w:hAnsiTheme="minorHAnsi" w:cstheme="minorBidi"/>
              <w:noProof/>
              <w:sz w:val="22"/>
            </w:rPr>
          </w:pPr>
          <w:r>
            <w:fldChar w:fldCharType="begin"/>
          </w:r>
          <w:r>
            <w:instrText xml:space="preserve"> TOC \o "1-3" \h \z \u </w:instrText>
          </w:r>
          <w:r>
            <w:fldChar w:fldCharType="separate"/>
          </w:r>
          <w:hyperlink w:history="1" w:anchor="_Toc71038936">
            <w:r w:rsidRPr="00AB30F5" w:rsidR="00686586">
              <w:rPr>
                <w:rStyle w:val="Hyperlink"/>
                <w:noProof/>
              </w:rPr>
              <w:t>ORDER INSTITUTING RULEMAKING TO MODERNIZE THE ELECTRIC GRID</w:t>
            </w:r>
            <w:r w:rsidR="00686586">
              <w:rPr>
                <w:rStyle w:val="Hyperlink"/>
                <w:noProof/>
              </w:rPr>
              <w:t xml:space="preserve"> </w:t>
            </w:r>
            <w:r w:rsidRPr="00AB30F5" w:rsidR="00686586">
              <w:rPr>
                <w:rStyle w:val="Hyperlink"/>
                <w:noProof/>
              </w:rPr>
              <w:t>FOR A HIGH DISTRIBUTED ENERGY RESOURCES FUTURE</w:t>
            </w:r>
            <w:r w:rsidR="00686586">
              <w:rPr>
                <w:noProof/>
                <w:webHidden/>
              </w:rPr>
              <w:tab/>
            </w:r>
            <w:r w:rsidR="00686586">
              <w:rPr>
                <w:noProof/>
                <w:webHidden/>
              </w:rPr>
              <w:fldChar w:fldCharType="begin"/>
            </w:r>
            <w:r w:rsidR="00686586">
              <w:rPr>
                <w:noProof/>
                <w:webHidden/>
              </w:rPr>
              <w:instrText xml:space="preserve"> PAGEREF _Toc71038936 \h </w:instrText>
            </w:r>
            <w:r w:rsidR="00686586">
              <w:rPr>
                <w:noProof/>
                <w:webHidden/>
              </w:rPr>
            </w:r>
            <w:r w:rsidR="00686586">
              <w:rPr>
                <w:noProof/>
                <w:webHidden/>
              </w:rPr>
              <w:fldChar w:fldCharType="separate"/>
            </w:r>
            <w:r w:rsidR="00686586">
              <w:rPr>
                <w:noProof/>
                <w:webHidden/>
              </w:rPr>
              <w:t>2</w:t>
            </w:r>
            <w:r w:rsidR="00686586">
              <w:rPr>
                <w:noProof/>
                <w:webHidden/>
              </w:rPr>
              <w:fldChar w:fldCharType="end"/>
            </w:r>
          </w:hyperlink>
        </w:p>
        <w:p w:rsidR="00686586" w:rsidRDefault="00042C3E" w14:paraId="75844D7E" w14:textId="00741C8E">
          <w:pPr>
            <w:pStyle w:val="TOC1"/>
            <w:tabs>
              <w:tab w:val="right" w:leader="dot" w:pos="9530"/>
            </w:tabs>
            <w:rPr>
              <w:rFonts w:asciiTheme="minorHAnsi" w:hAnsiTheme="minorHAnsi" w:cstheme="minorBidi"/>
              <w:noProof/>
              <w:sz w:val="22"/>
            </w:rPr>
          </w:pPr>
          <w:hyperlink w:history="1" w:anchor="_Toc71038937">
            <w:r w:rsidRPr="00AB30F5" w:rsidR="00686586">
              <w:rPr>
                <w:rStyle w:val="Hyperlink"/>
                <w:noProof/>
              </w:rPr>
              <w:t>Summary</w:t>
            </w:r>
            <w:r w:rsidR="00686586">
              <w:rPr>
                <w:noProof/>
                <w:webHidden/>
              </w:rPr>
              <w:tab/>
            </w:r>
            <w:r w:rsidR="00686586">
              <w:rPr>
                <w:noProof/>
                <w:webHidden/>
              </w:rPr>
              <w:fldChar w:fldCharType="begin"/>
            </w:r>
            <w:r w:rsidR="00686586">
              <w:rPr>
                <w:noProof/>
                <w:webHidden/>
              </w:rPr>
              <w:instrText xml:space="preserve"> PAGEREF _Toc71038937 \h </w:instrText>
            </w:r>
            <w:r w:rsidR="00686586">
              <w:rPr>
                <w:noProof/>
                <w:webHidden/>
              </w:rPr>
            </w:r>
            <w:r w:rsidR="00686586">
              <w:rPr>
                <w:noProof/>
                <w:webHidden/>
              </w:rPr>
              <w:fldChar w:fldCharType="separate"/>
            </w:r>
            <w:r w:rsidR="00686586">
              <w:rPr>
                <w:noProof/>
                <w:webHidden/>
              </w:rPr>
              <w:t>2</w:t>
            </w:r>
            <w:r w:rsidR="00686586">
              <w:rPr>
                <w:noProof/>
                <w:webHidden/>
              </w:rPr>
              <w:fldChar w:fldCharType="end"/>
            </w:r>
          </w:hyperlink>
        </w:p>
        <w:p w:rsidR="00686586" w:rsidRDefault="00042C3E" w14:paraId="6F9DC851" w14:textId="684EADF0">
          <w:pPr>
            <w:pStyle w:val="TOC1"/>
            <w:tabs>
              <w:tab w:val="right" w:leader="dot" w:pos="9530"/>
            </w:tabs>
            <w:rPr>
              <w:rFonts w:asciiTheme="minorHAnsi" w:hAnsiTheme="minorHAnsi" w:cstheme="minorBidi"/>
              <w:noProof/>
              <w:sz w:val="22"/>
            </w:rPr>
          </w:pPr>
          <w:hyperlink w:history="1" w:anchor="_Toc71038938">
            <w:r w:rsidRPr="00AB30F5" w:rsidR="00686586">
              <w:rPr>
                <w:rStyle w:val="Hyperlink"/>
                <w:noProof/>
              </w:rPr>
              <w:t>1.</w:t>
            </w:r>
            <w:r w:rsidR="00686586">
              <w:rPr>
                <w:rFonts w:asciiTheme="minorHAnsi" w:hAnsiTheme="minorHAnsi" w:cstheme="minorBidi"/>
                <w:noProof/>
                <w:sz w:val="22"/>
              </w:rPr>
              <w:tab/>
            </w:r>
            <w:r w:rsidRPr="00AB30F5" w:rsidR="00686586">
              <w:rPr>
                <w:rStyle w:val="Hyperlink"/>
                <w:noProof/>
              </w:rPr>
              <w:t>Background</w:t>
            </w:r>
            <w:r w:rsidR="00686586">
              <w:rPr>
                <w:noProof/>
                <w:webHidden/>
              </w:rPr>
              <w:tab/>
            </w:r>
            <w:r w:rsidR="00686586">
              <w:rPr>
                <w:noProof/>
                <w:webHidden/>
              </w:rPr>
              <w:fldChar w:fldCharType="begin"/>
            </w:r>
            <w:r w:rsidR="00686586">
              <w:rPr>
                <w:noProof/>
                <w:webHidden/>
              </w:rPr>
              <w:instrText xml:space="preserve"> PAGEREF _Toc71038938 \h </w:instrText>
            </w:r>
            <w:r w:rsidR="00686586">
              <w:rPr>
                <w:noProof/>
                <w:webHidden/>
              </w:rPr>
            </w:r>
            <w:r w:rsidR="00686586">
              <w:rPr>
                <w:noProof/>
                <w:webHidden/>
              </w:rPr>
              <w:fldChar w:fldCharType="separate"/>
            </w:r>
            <w:r w:rsidR="00686586">
              <w:rPr>
                <w:noProof/>
                <w:webHidden/>
              </w:rPr>
              <w:t>2</w:t>
            </w:r>
            <w:r w:rsidR="00686586">
              <w:rPr>
                <w:noProof/>
                <w:webHidden/>
              </w:rPr>
              <w:fldChar w:fldCharType="end"/>
            </w:r>
          </w:hyperlink>
        </w:p>
        <w:p w:rsidR="00686586" w:rsidRDefault="00042C3E" w14:paraId="131ABAD9" w14:textId="7945C348">
          <w:pPr>
            <w:pStyle w:val="TOC2"/>
            <w:tabs>
              <w:tab w:val="right" w:leader="dot" w:pos="9530"/>
            </w:tabs>
            <w:rPr>
              <w:rFonts w:asciiTheme="minorHAnsi" w:hAnsiTheme="minorHAnsi" w:cstheme="minorBidi"/>
              <w:noProof/>
              <w:sz w:val="22"/>
            </w:rPr>
          </w:pPr>
          <w:hyperlink w:history="1" w:anchor="_Toc71038939">
            <w:r w:rsidRPr="00AB30F5" w:rsidR="00686586">
              <w:rPr>
                <w:rStyle w:val="Hyperlink"/>
                <w:noProof/>
              </w:rPr>
              <w:t>1.1.</w:t>
            </w:r>
            <w:r w:rsidR="00686586">
              <w:rPr>
                <w:rFonts w:asciiTheme="minorHAnsi" w:hAnsiTheme="minorHAnsi" w:cstheme="minorBidi"/>
                <w:noProof/>
                <w:sz w:val="22"/>
              </w:rPr>
              <w:tab/>
            </w:r>
            <w:r w:rsidRPr="00AB30F5" w:rsidR="00686586">
              <w:rPr>
                <w:rStyle w:val="Hyperlink"/>
                <w:noProof/>
              </w:rPr>
              <w:t>Legislative Background</w:t>
            </w:r>
            <w:r w:rsidR="00686586">
              <w:rPr>
                <w:noProof/>
                <w:webHidden/>
              </w:rPr>
              <w:tab/>
            </w:r>
            <w:r w:rsidR="00686586">
              <w:rPr>
                <w:noProof/>
                <w:webHidden/>
              </w:rPr>
              <w:fldChar w:fldCharType="begin"/>
            </w:r>
            <w:r w:rsidR="00686586">
              <w:rPr>
                <w:noProof/>
                <w:webHidden/>
              </w:rPr>
              <w:instrText xml:space="preserve"> PAGEREF _Toc71038939 \h </w:instrText>
            </w:r>
            <w:r w:rsidR="00686586">
              <w:rPr>
                <w:noProof/>
                <w:webHidden/>
              </w:rPr>
            </w:r>
            <w:r w:rsidR="00686586">
              <w:rPr>
                <w:noProof/>
                <w:webHidden/>
              </w:rPr>
              <w:fldChar w:fldCharType="separate"/>
            </w:r>
            <w:r w:rsidR="00686586">
              <w:rPr>
                <w:noProof/>
                <w:webHidden/>
              </w:rPr>
              <w:t>3</w:t>
            </w:r>
            <w:r w:rsidR="00686586">
              <w:rPr>
                <w:noProof/>
                <w:webHidden/>
              </w:rPr>
              <w:fldChar w:fldCharType="end"/>
            </w:r>
          </w:hyperlink>
        </w:p>
        <w:p w:rsidR="00686586" w:rsidRDefault="00042C3E" w14:paraId="037ECE35" w14:textId="6C614713">
          <w:pPr>
            <w:pStyle w:val="TOC2"/>
            <w:tabs>
              <w:tab w:val="right" w:leader="dot" w:pos="9530"/>
            </w:tabs>
            <w:rPr>
              <w:rFonts w:asciiTheme="minorHAnsi" w:hAnsiTheme="minorHAnsi" w:cstheme="minorBidi"/>
              <w:noProof/>
              <w:sz w:val="22"/>
            </w:rPr>
          </w:pPr>
          <w:hyperlink w:history="1" w:anchor="_Toc71038940">
            <w:r w:rsidRPr="00AB30F5" w:rsidR="00686586">
              <w:rPr>
                <w:rStyle w:val="Hyperlink"/>
                <w:noProof/>
              </w:rPr>
              <w:t>1.2.</w:t>
            </w:r>
            <w:r w:rsidR="00686586">
              <w:rPr>
                <w:rFonts w:asciiTheme="minorHAnsi" w:hAnsiTheme="minorHAnsi" w:cstheme="minorBidi"/>
                <w:noProof/>
                <w:sz w:val="22"/>
              </w:rPr>
              <w:tab/>
            </w:r>
            <w:r w:rsidRPr="00AB30F5" w:rsidR="00686586">
              <w:rPr>
                <w:rStyle w:val="Hyperlink"/>
                <w:noProof/>
              </w:rPr>
              <w:t>Procedural Background and Summary of Accomplishments</w:t>
            </w:r>
            <w:r w:rsidR="00686586">
              <w:rPr>
                <w:noProof/>
                <w:webHidden/>
              </w:rPr>
              <w:tab/>
            </w:r>
            <w:r w:rsidR="00686586">
              <w:rPr>
                <w:noProof/>
                <w:webHidden/>
              </w:rPr>
              <w:fldChar w:fldCharType="begin"/>
            </w:r>
            <w:r w:rsidR="00686586">
              <w:rPr>
                <w:noProof/>
                <w:webHidden/>
              </w:rPr>
              <w:instrText xml:space="preserve"> PAGEREF _Toc71038940 \h </w:instrText>
            </w:r>
            <w:r w:rsidR="00686586">
              <w:rPr>
                <w:noProof/>
                <w:webHidden/>
              </w:rPr>
            </w:r>
            <w:r w:rsidR="00686586">
              <w:rPr>
                <w:noProof/>
                <w:webHidden/>
              </w:rPr>
              <w:fldChar w:fldCharType="separate"/>
            </w:r>
            <w:r w:rsidR="00686586">
              <w:rPr>
                <w:noProof/>
                <w:webHidden/>
              </w:rPr>
              <w:t>4</w:t>
            </w:r>
            <w:r w:rsidR="00686586">
              <w:rPr>
                <w:noProof/>
                <w:webHidden/>
              </w:rPr>
              <w:fldChar w:fldCharType="end"/>
            </w:r>
          </w:hyperlink>
        </w:p>
        <w:p w:rsidR="00686586" w:rsidRDefault="00042C3E" w14:paraId="32B983A6" w14:textId="3B5D6CB0">
          <w:pPr>
            <w:pStyle w:val="TOC1"/>
            <w:tabs>
              <w:tab w:val="right" w:leader="dot" w:pos="9530"/>
            </w:tabs>
            <w:rPr>
              <w:rFonts w:asciiTheme="minorHAnsi" w:hAnsiTheme="minorHAnsi" w:cstheme="minorBidi"/>
              <w:noProof/>
              <w:sz w:val="22"/>
            </w:rPr>
          </w:pPr>
          <w:hyperlink w:history="1" w:anchor="_Toc71038941">
            <w:r w:rsidRPr="00AB30F5" w:rsidR="00686586">
              <w:rPr>
                <w:rStyle w:val="Hyperlink"/>
                <w:noProof/>
              </w:rPr>
              <w:t>2.</w:t>
            </w:r>
            <w:r w:rsidR="00686586">
              <w:rPr>
                <w:rFonts w:asciiTheme="minorHAnsi" w:hAnsiTheme="minorHAnsi" w:cstheme="minorBidi"/>
                <w:noProof/>
                <w:sz w:val="22"/>
              </w:rPr>
              <w:tab/>
            </w:r>
            <w:r w:rsidRPr="00AB30F5" w:rsidR="00686586">
              <w:rPr>
                <w:rStyle w:val="Hyperlink"/>
                <w:noProof/>
              </w:rPr>
              <w:t>DER Growth Expectations</w:t>
            </w:r>
            <w:r w:rsidR="00686586">
              <w:rPr>
                <w:noProof/>
                <w:webHidden/>
              </w:rPr>
              <w:tab/>
            </w:r>
            <w:r w:rsidR="00686586">
              <w:rPr>
                <w:noProof/>
                <w:webHidden/>
              </w:rPr>
              <w:fldChar w:fldCharType="begin"/>
            </w:r>
            <w:r w:rsidR="00686586">
              <w:rPr>
                <w:noProof/>
                <w:webHidden/>
              </w:rPr>
              <w:instrText xml:space="preserve"> PAGEREF _Toc71038941 \h </w:instrText>
            </w:r>
            <w:r w:rsidR="00686586">
              <w:rPr>
                <w:noProof/>
                <w:webHidden/>
              </w:rPr>
            </w:r>
            <w:r w:rsidR="00686586">
              <w:rPr>
                <w:noProof/>
                <w:webHidden/>
              </w:rPr>
              <w:fldChar w:fldCharType="separate"/>
            </w:r>
            <w:r w:rsidR="00686586">
              <w:rPr>
                <w:noProof/>
                <w:webHidden/>
              </w:rPr>
              <w:t>7</w:t>
            </w:r>
            <w:r w:rsidR="00686586">
              <w:rPr>
                <w:noProof/>
                <w:webHidden/>
              </w:rPr>
              <w:fldChar w:fldCharType="end"/>
            </w:r>
          </w:hyperlink>
        </w:p>
        <w:p w:rsidR="00686586" w:rsidRDefault="00042C3E" w14:paraId="11FC3A38" w14:textId="48628230">
          <w:pPr>
            <w:pStyle w:val="TOC1"/>
            <w:tabs>
              <w:tab w:val="right" w:leader="dot" w:pos="9530"/>
            </w:tabs>
            <w:rPr>
              <w:rFonts w:asciiTheme="minorHAnsi" w:hAnsiTheme="minorHAnsi" w:cstheme="minorBidi"/>
              <w:noProof/>
              <w:sz w:val="22"/>
            </w:rPr>
          </w:pPr>
          <w:hyperlink w:history="1" w:anchor="_Toc71038942">
            <w:r w:rsidRPr="00AB30F5" w:rsidR="00686586">
              <w:rPr>
                <w:rStyle w:val="Hyperlink"/>
                <w:noProof/>
              </w:rPr>
              <w:t>3.</w:t>
            </w:r>
            <w:r w:rsidR="00686586">
              <w:rPr>
                <w:rFonts w:asciiTheme="minorHAnsi" w:hAnsiTheme="minorHAnsi" w:cstheme="minorBidi"/>
                <w:noProof/>
                <w:sz w:val="22"/>
              </w:rPr>
              <w:tab/>
            </w:r>
            <w:r w:rsidRPr="00AB30F5" w:rsidR="00686586">
              <w:rPr>
                <w:rStyle w:val="Hyperlink"/>
                <w:noProof/>
              </w:rPr>
              <w:t>Rates and Environmental and Social Justice</w:t>
            </w:r>
            <w:r w:rsidR="00686586">
              <w:rPr>
                <w:noProof/>
                <w:webHidden/>
              </w:rPr>
              <w:tab/>
            </w:r>
            <w:r w:rsidR="00686586">
              <w:rPr>
                <w:noProof/>
                <w:webHidden/>
              </w:rPr>
              <w:fldChar w:fldCharType="begin"/>
            </w:r>
            <w:r w:rsidR="00686586">
              <w:rPr>
                <w:noProof/>
                <w:webHidden/>
              </w:rPr>
              <w:instrText xml:space="preserve"> PAGEREF _Toc71038942 \h </w:instrText>
            </w:r>
            <w:r w:rsidR="00686586">
              <w:rPr>
                <w:noProof/>
                <w:webHidden/>
              </w:rPr>
            </w:r>
            <w:r w:rsidR="00686586">
              <w:rPr>
                <w:noProof/>
                <w:webHidden/>
              </w:rPr>
              <w:fldChar w:fldCharType="separate"/>
            </w:r>
            <w:r w:rsidR="00686586">
              <w:rPr>
                <w:noProof/>
                <w:webHidden/>
              </w:rPr>
              <w:t>10</w:t>
            </w:r>
            <w:r w:rsidR="00686586">
              <w:rPr>
                <w:noProof/>
                <w:webHidden/>
              </w:rPr>
              <w:fldChar w:fldCharType="end"/>
            </w:r>
          </w:hyperlink>
        </w:p>
        <w:p w:rsidR="00686586" w:rsidRDefault="00042C3E" w14:paraId="145231B1" w14:textId="5E2BC3F1">
          <w:pPr>
            <w:pStyle w:val="TOC1"/>
            <w:tabs>
              <w:tab w:val="right" w:leader="dot" w:pos="9530"/>
            </w:tabs>
            <w:rPr>
              <w:rFonts w:asciiTheme="minorHAnsi" w:hAnsiTheme="minorHAnsi" w:cstheme="minorBidi"/>
              <w:noProof/>
              <w:sz w:val="22"/>
            </w:rPr>
          </w:pPr>
          <w:hyperlink w:history="1" w:anchor="_Toc71038943">
            <w:r w:rsidRPr="00AB30F5" w:rsidR="00686586">
              <w:rPr>
                <w:rStyle w:val="Hyperlink"/>
                <w:noProof/>
              </w:rPr>
              <w:t>4.</w:t>
            </w:r>
            <w:r w:rsidR="00686586">
              <w:rPr>
                <w:rFonts w:asciiTheme="minorHAnsi" w:hAnsiTheme="minorHAnsi" w:cstheme="minorBidi"/>
                <w:noProof/>
                <w:sz w:val="22"/>
              </w:rPr>
              <w:tab/>
            </w:r>
            <w:r w:rsidRPr="00AB30F5" w:rsidR="00686586">
              <w:rPr>
                <w:rStyle w:val="Hyperlink"/>
                <w:noProof/>
              </w:rPr>
              <w:t>Distribution System Operator Roles and Responsibilities</w:t>
            </w:r>
            <w:r w:rsidR="00686586">
              <w:rPr>
                <w:noProof/>
                <w:webHidden/>
              </w:rPr>
              <w:tab/>
            </w:r>
            <w:r w:rsidR="00686586">
              <w:rPr>
                <w:noProof/>
                <w:webHidden/>
              </w:rPr>
              <w:fldChar w:fldCharType="begin"/>
            </w:r>
            <w:r w:rsidR="00686586">
              <w:rPr>
                <w:noProof/>
                <w:webHidden/>
              </w:rPr>
              <w:instrText xml:space="preserve"> PAGEREF _Toc71038943 \h </w:instrText>
            </w:r>
            <w:r w:rsidR="00686586">
              <w:rPr>
                <w:noProof/>
                <w:webHidden/>
              </w:rPr>
            </w:r>
            <w:r w:rsidR="00686586">
              <w:rPr>
                <w:noProof/>
                <w:webHidden/>
              </w:rPr>
              <w:fldChar w:fldCharType="separate"/>
            </w:r>
            <w:r w:rsidR="00686586">
              <w:rPr>
                <w:noProof/>
                <w:webHidden/>
              </w:rPr>
              <w:t>11</w:t>
            </w:r>
            <w:r w:rsidR="00686586">
              <w:rPr>
                <w:noProof/>
                <w:webHidden/>
              </w:rPr>
              <w:fldChar w:fldCharType="end"/>
            </w:r>
          </w:hyperlink>
        </w:p>
        <w:p w:rsidR="00686586" w:rsidRDefault="00042C3E" w14:paraId="30490162" w14:textId="02574298">
          <w:pPr>
            <w:pStyle w:val="TOC1"/>
            <w:tabs>
              <w:tab w:val="right" w:leader="dot" w:pos="9530"/>
            </w:tabs>
            <w:rPr>
              <w:rFonts w:asciiTheme="minorHAnsi" w:hAnsiTheme="minorHAnsi" w:cstheme="minorBidi"/>
              <w:noProof/>
              <w:sz w:val="22"/>
            </w:rPr>
          </w:pPr>
          <w:hyperlink w:history="1" w:anchor="_Toc71038944">
            <w:r w:rsidRPr="00AB30F5" w:rsidR="00686586">
              <w:rPr>
                <w:rStyle w:val="Hyperlink"/>
                <w:noProof/>
              </w:rPr>
              <w:t>5.</w:t>
            </w:r>
            <w:r w:rsidR="00686586">
              <w:rPr>
                <w:rFonts w:asciiTheme="minorHAnsi" w:hAnsiTheme="minorHAnsi" w:cstheme="minorBidi"/>
                <w:noProof/>
                <w:sz w:val="22"/>
              </w:rPr>
              <w:tab/>
            </w:r>
            <w:r w:rsidRPr="00AB30F5" w:rsidR="00686586">
              <w:rPr>
                <w:rStyle w:val="Hyperlink"/>
                <w:noProof/>
              </w:rPr>
              <w:t>Preliminary Scoping Memo</w:t>
            </w:r>
            <w:r w:rsidR="00686586">
              <w:rPr>
                <w:noProof/>
                <w:webHidden/>
              </w:rPr>
              <w:tab/>
            </w:r>
            <w:r w:rsidR="00686586">
              <w:rPr>
                <w:noProof/>
                <w:webHidden/>
              </w:rPr>
              <w:fldChar w:fldCharType="begin"/>
            </w:r>
            <w:r w:rsidR="00686586">
              <w:rPr>
                <w:noProof/>
                <w:webHidden/>
              </w:rPr>
              <w:instrText xml:space="preserve"> PAGEREF _Toc71038944 \h </w:instrText>
            </w:r>
            <w:r w:rsidR="00686586">
              <w:rPr>
                <w:noProof/>
                <w:webHidden/>
              </w:rPr>
            </w:r>
            <w:r w:rsidR="00686586">
              <w:rPr>
                <w:noProof/>
                <w:webHidden/>
              </w:rPr>
              <w:fldChar w:fldCharType="separate"/>
            </w:r>
            <w:r w:rsidR="00686586">
              <w:rPr>
                <w:noProof/>
                <w:webHidden/>
              </w:rPr>
              <w:t>12</w:t>
            </w:r>
            <w:r w:rsidR="00686586">
              <w:rPr>
                <w:noProof/>
                <w:webHidden/>
              </w:rPr>
              <w:fldChar w:fldCharType="end"/>
            </w:r>
          </w:hyperlink>
        </w:p>
        <w:p w:rsidR="00686586" w:rsidRDefault="00042C3E" w14:paraId="7BC6DB46" w14:textId="70FE7340">
          <w:pPr>
            <w:pStyle w:val="TOC2"/>
            <w:tabs>
              <w:tab w:val="right" w:leader="dot" w:pos="9530"/>
            </w:tabs>
            <w:rPr>
              <w:rFonts w:asciiTheme="minorHAnsi" w:hAnsiTheme="minorHAnsi" w:cstheme="minorBidi"/>
              <w:noProof/>
              <w:sz w:val="22"/>
            </w:rPr>
          </w:pPr>
          <w:hyperlink w:history="1" w:anchor="_Toc71038945">
            <w:r w:rsidRPr="00AB30F5" w:rsidR="00686586">
              <w:rPr>
                <w:rStyle w:val="Hyperlink"/>
                <w:noProof/>
              </w:rPr>
              <w:t>5.1.</w:t>
            </w:r>
            <w:r w:rsidR="00686586">
              <w:rPr>
                <w:rFonts w:asciiTheme="minorHAnsi" w:hAnsiTheme="minorHAnsi" w:cstheme="minorBidi"/>
                <w:noProof/>
                <w:sz w:val="22"/>
              </w:rPr>
              <w:tab/>
            </w:r>
            <w:r w:rsidRPr="00AB30F5" w:rsidR="00686586">
              <w:rPr>
                <w:rStyle w:val="Hyperlink"/>
                <w:noProof/>
              </w:rPr>
              <w:t>Issues</w:t>
            </w:r>
            <w:r w:rsidR="00686586">
              <w:rPr>
                <w:noProof/>
                <w:webHidden/>
              </w:rPr>
              <w:tab/>
            </w:r>
            <w:r w:rsidR="00686586">
              <w:rPr>
                <w:noProof/>
                <w:webHidden/>
              </w:rPr>
              <w:fldChar w:fldCharType="begin"/>
            </w:r>
            <w:r w:rsidR="00686586">
              <w:rPr>
                <w:noProof/>
                <w:webHidden/>
              </w:rPr>
              <w:instrText xml:space="preserve"> PAGEREF _Toc71038945 \h </w:instrText>
            </w:r>
            <w:r w:rsidR="00686586">
              <w:rPr>
                <w:noProof/>
                <w:webHidden/>
              </w:rPr>
            </w:r>
            <w:r w:rsidR="00686586">
              <w:rPr>
                <w:noProof/>
                <w:webHidden/>
              </w:rPr>
              <w:fldChar w:fldCharType="separate"/>
            </w:r>
            <w:r w:rsidR="00686586">
              <w:rPr>
                <w:noProof/>
                <w:webHidden/>
              </w:rPr>
              <w:t>12</w:t>
            </w:r>
            <w:r w:rsidR="00686586">
              <w:rPr>
                <w:noProof/>
                <w:webHidden/>
              </w:rPr>
              <w:fldChar w:fldCharType="end"/>
            </w:r>
          </w:hyperlink>
        </w:p>
        <w:p w:rsidR="00686586" w:rsidRDefault="00042C3E" w14:paraId="16D701FF" w14:textId="6FEB3AB0">
          <w:pPr>
            <w:pStyle w:val="TOC2"/>
            <w:tabs>
              <w:tab w:val="right" w:leader="dot" w:pos="9530"/>
            </w:tabs>
            <w:rPr>
              <w:rFonts w:asciiTheme="minorHAnsi" w:hAnsiTheme="minorHAnsi" w:cstheme="minorBidi"/>
              <w:noProof/>
              <w:sz w:val="22"/>
            </w:rPr>
          </w:pPr>
          <w:hyperlink w:history="1" w:anchor="_Toc71038946">
            <w:r w:rsidRPr="00AB30F5" w:rsidR="00686586">
              <w:rPr>
                <w:rStyle w:val="Hyperlink"/>
                <w:noProof/>
              </w:rPr>
              <w:t>5.2.</w:t>
            </w:r>
            <w:r w:rsidR="00686586">
              <w:rPr>
                <w:rFonts w:asciiTheme="minorHAnsi" w:hAnsiTheme="minorHAnsi" w:cstheme="minorBidi"/>
                <w:noProof/>
                <w:sz w:val="22"/>
              </w:rPr>
              <w:tab/>
            </w:r>
            <w:r w:rsidRPr="00AB30F5" w:rsidR="00686586">
              <w:rPr>
                <w:rStyle w:val="Hyperlink"/>
                <w:noProof/>
              </w:rPr>
              <w:t>Preliminary Scope</w:t>
            </w:r>
            <w:r w:rsidR="00686586">
              <w:rPr>
                <w:noProof/>
                <w:webHidden/>
              </w:rPr>
              <w:tab/>
            </w:r>
            <w:r w:rsidR="00686586">
              <w:rPr>
                <w:noProof/>
                <w:webHidden/>
              </w:rPr>
              <w:fldChar w:fldCharType="begin"/>
            </w:r>
            <w:r w:rsidR="00686586">
              <w:rPr>
                <w:noProof/>
                <w:webHidden/>
              </w:rPr>
              <w:instrText xml:space="preserve"> PAGEREF _Toc71038946 \h </w:instrText>
            </w:r>
            <w:r w:rsidR="00686586">
              <w:rPr>
                <w:noProof/>
                <w:webHidden/>
              </w:rPr>
            </w:r>
            <w:r w:rsidR="00686586">
              <w:rPr>
                <w:noProof/>
                <w:webHidden/>
              </w:rPr>
              <w:fldChar w:fldCharType="separate"/>
            </w:r>
            <w:r w:rsidR="00686586">
              <w:rPr>
                <w:noProof/>
                <w:webHidden/>
              </w:rPr>
              <w:t>14</w:t>
            </w:r>
            <w:r w:rsidR="00686586">
              <w:rPr>
                <w:noProof/>
                <w:webHidden/>
              </w:rPr>
              <w:fldChar w:fldCharType="end"/>
            </w:r>
          </w:hyperlink>
        </w:p>
        <w:p w:rsidR="00686586" w:rsidRDefault="00042C3E" w14:paraId="517446F6" w14:textId="0A693EE5">
          <w:pPr>
            <w:pStyle w:val="TOC2"/>
            <w:tabs>
              <w:tab w:val="right" w:leader="dot" w:pos="9530"/>
            </w:tabs>
            <w:rPr>
              <w:rFonts w:asciiTheme="minorHAnsi" w:hAnsiTheme="minorHAnsi" w:cstheme="minorBidi"/>
              <w:noProof/>
              <w:sz w:val="22"/>
            </w:rPr>
          </w:pPr>
          <w:hyperlink w:history="1" w:anchor="_Toc71038947">
            <w:r w:rsidRPr="00AB30F5" w:rsidR="00686586">
              <w:rPr>
                <w:rStyle w:val="Hyperlink"/>
                <w:noProof/>
              </w:rPr>
              <w:t>5.3.</w:t>
            </w:r>
            <w:r w:rsidR="00686586">
              <w:rPr>
                <w:rFonts w:asciiTheme="minorHAnsi" w:hAnsiTheme="minorHAnsi" w:cstheme="minorBidi"/>
                <w:noProof/>
                <w:sz w:val="22"/>
              </w:rPr>
              <w:tab/>
            </w:r>
            <w:r w:rsidRPr="00AB30F5" w:rsidR="00686586">
              <w:rPr>
                <w:rStyle w:val="Hyperlink"/>
                <w:noProof/>
              </w:rPr>
              <w:t>Anticipated Technical Support Needs</w:t>
            </w:r>
            <w:r w:rsidR="00686586">
              <w:rPr>
                <w:noProof/>
                <w:webHidden/>
              </w:rPr>
              <w:tab/>
            </w:r>
            <w:r w:rsidR="00686586">
              <w:rPr>
                <w:noProof/>
                <w:webHidden/>
              </w:rPr>
              <w:fldChar w:fldCharType="begin"/>
            </w:r>
            <w:r w:rsidR="00686586">
              <w:rPr>
                <w:noProof/>
                <w:webHidden/>
              </w:rPr>
              <w:instrText xml:space="preserve"> PAGEREF _Toc71038947 \h </w:instrText>
            </w:r>
            <w:r w:rsidR="00686586">
              <w:rPr>
                <w:noProof/>
                <w:webHidden/>
              </w:rPr>
            </w:r>
            <w:r w:rsidR="00686586">
              <w:rPr>
                <w:noProof/>
                <w:webHidden/>
              </w:rPr>
              <w:fldChar w:fldCharType="separate"/>
            </w:r>
            <w:r w:rsidR="00686586">
              <w:rPr>
                <w:noProof/>
                <w:webHidden/>
              </w:rPr>
              <w:t>24</w:t>
            </w:r>
            <w:r w:rsidR="00686586">
              <w:rPr>
                <w:noProof/>
                <w:webHidden/>
              </w:rPr>
              <w:fldChar w:fldCharType="end"/>
            </w:r>
          </w:hyperlink>
        </w:p>
        <w:p w:rsidR="00686586" w:rsidRDefault="00042C3E" w14:paraId="74D33576" w14:textId="42FF32CC">
          <w:pPr>
            <w:pStyle w:val="TOC2"/>
            <w:tabs>
              <w:tab w:val="right" w:leader="dot" w:pos="9530"/>
            </w:tabs>
            <w:rPr>
              <w:rFonts w:asciiTheme="minorHAnsi" w:hAnsiTheme="minorHAnsi" w:cstheme="minorBidi"/>
              <w:noProof/>
              <w:sz w:val="22"/>
            </w:rPr>
          </w:pPr>
          <w:hyperlink w:history="1" w:anchor="_Toc71038948">
            <w:r w:rsidRPr="00AB30F5" w:rsidR="00686586">
              <w:rPr>
                <w:rStyle w:val="Hyperlink"/>
                <w:noProof/>
              </w:rPr>
              <w:t>5.4.</w:t>
            </w:r>
            <w:r w:rsidR="00686586">
              <w:rPr>
                <w:rFonts w:asciiTheme="minorHAnsi" w:hAnsiTheme="minorHAnsi" w:cstheme="minorBidi"/>
                <w:noProof/>
                <w:sz w:val="22"/>
              </w:rPr>
              <w:tab/>
            </w:r>
            <w:r w:rsidRPr="00AB30F5" w:rsidR="00686586">
              <w:rPr>
                <w:rStyle w:val="Hyperlink"/>
                <w:noProof/>
              </w:rPr>
              <w:t>Coordination with California Energy Commission Data Gathering and Analytics Activities</w:t>
            </w:r>
            <w:r w:rsidR="00686586">
              <w:rPr>
                <w:noProof/>
                <w:webHidden/>
              </w:rPr>
              <w:tab/>
            </w:r>
            <w:r w:rsidR="00686586">
              <w:rPr>
                <w:noProof/>
                <w:webHidden/>
              </w:rPr>
              <w:fldChar w:fldCharType="begin"/>
            </w:r>
            <w:r w:rsidR="00686586">
              <w:rPr>
                <w:noProof/>
                <w:webHidden/>
              </w:rPr>
              <w:instrText xml:space="preserve"> PAGEREF _Toc71038948 \h </w:instrText>
            </w:r>
            <w:r w:rsidR="00686586">
              <w:rPr>
                <w:noProof/>
                <w:webHidden/>
              </w:rPr>
            </w:r>
            <w:r w:rsidR="00686586">
              <w:rPr>
                <w:noProof/>
                <w:webHidden/>
              </w:rPr>
              <w:fldChar w:fldCharType="separate"/>
            </w:r>
            <w:r w:rsidR="00686586">
              <w:rPr>
                <w:noProof/>
                <w:webHidden/>
              </w:rPr>
              <w:t>25</w:t>
            </w:r>
            <w:r w:rsidR="00686586">
              <w:rPr>
                <w:noProof/>
                <w:webHidden/>
              </w:rPr>
              <w:fldChar w:fldCharType="end"/>
            </w:r>
          </w:hyperlink>
        </w:p>
        <w:p w:rsidR="00686586" w:rsidRDefault="00042C3E" w14:paraId="65B6F7DC" w14:textId="7AC05A70">
          <w:pPr>
            <w:pStyle w:val="TOC1"/>
            <w:tabs>
              <w:tab w:val="right" w:leader="dot" w:pos="9530"/>
            </w:tabs>
            <w:rPr>
              <w:rFonts w:asciiTheme="minorHAnsi" w:hAnsiTheme="minorHAnsi" w:cstheme="minorBidi"/>
              <w:noProof/>
              <w:sz w:val="22"/>
            </w:rPr>
          </w:pPr>
          <w:hyperlink w:history="1" w:anchor="_Toc71038949">
            <w:r w:rsidRPr="00AB30F5" w:rsidR="00686586">
              <w:rPr>
                <w:rStyle w:val="Hyperlink"/>
                <w:noProof/>
              </w:rPr>
              <w:t>6.</w:t>
            </w:r>
            <w:r w:rsidR="00686586">
              <w:rPr>
                <w:rFonts w:asciiTheme="minorHAnsi" w:hAnsiTheme="minorHAnsi" w:cstheme="minorBidi"/>
                <w:noProof/>
                <w:sz w:val="22"/>
              </w:rPr>
              <w:tab/>
            </w:r>
            <w:r w:rsidRPr="00AB30F5" w:rsidR="00686586">
              <w:rPr>
                <w:rStyle w:val="Hyperlink"/>
                <w:noProof/>
              </w:rPr>
              <w:t xml:space="preserve">Categorization; </w:t>
            </w:r>
            <w:r w:rsidRPr="00AB30F5" w:rsidR="00686586">
              <w:rPr>
                <w:rStyle w:val="Hyperlink"/>
                <w:i/>
                <w:iCs/>
                <w:noProof/>
              </w:rPr>
              <w:t>Ex Parte</w:t>
            </w:r>
            <w:r w:rsidRPr="00AB30F5" w:rsidR="00686586">
              <w:rPr>
                <w:rStyle w:val="Hyperlink"/>
                <w:noProof/>
              </w:rPr>
              <w:t xml:space="preserve"> Communications;  Need for Hearing</w:t>
            </w:r>
            <w:r w:rsidR="00686586">
              <w:rPr>
                <w:noProof/>
                <w:webHidden/>
              </w:rPr>
              <w:tab/>
            </w:r>
            <w:r w:rsidR="00686586">
              <w:rPr>
                <w:noProof/>
                <w:webHidden/>
              </w:rPr>
              <w:fldChar w:fldCharType="begin"/>
            </w:r>
            <w:r w:rsidR="00686586">
              <w:rPr>
                <w:noProof/>
                <w:webHidden/>
              </w:rPr>
              <w:instrText xml:space="preserve"> PAGEREF _Toc71038949 \h </w:instrText>
            </w:r>
            <w:r w:rsidR="00686586">
              <w:rPr>
                <w:noProof/>
                <w:webHidden/>
              </w:rPr>
            </w:r>
            <w:r w:rsidR="00686586">
              <w:rPr>
                <w:noProof/>
                <w:webHidden/>
              </w:rPr>
              <w:fldChar w:fldCharType="separate"/>
            </w:r>
            <w:r w:rsidR="00686586">
              <w:rPr>
                <w:noProof/>
                <w:webHidden/>
              </w:rPr>
              <w:t>27</w:t>
            </w:r>
            <w:r w:rsidR="00686586">
              <w:rPr>
                <w:noProof/>
                <w:webHidden/>
              </w:rPr>
              <w:fldChar w:fldCharType="end"/>
            </w:r>
          </w:hyperlink>
        </w:p>
        <w:p w:rsidR="00686586" w:rsidRDefault="00042C3E" w14:paraId="374FA6D6" w14:textId="50CE3396">
          <w:pPr>
            <w:pStyle w:val="TOC1"/>
            <w:tabs>
              <w:tab w:val="right" w:leader="dot" w:pos="9530"/>
            </w:tabs>
            <w:rPr>
              <w:rFonts w:asciiTheme="minorHAnsi" w:hAnsiTheme="minorHAnsi" w:cstheme="minorBidi"/>
              <w:noProof/>
              <w:sz w:val="22"/>
            </w:rPr>
          </w:pPr>
          <w:hyperlink w:history="1" w:anchor="_Toc71038950">
            <w:r w:rsidRPr="00AB30F5" w:rsidR="00686586">
              <w:rPr>
                <w:rStyle w:val="Hyperlink"/>
                <w:noProof/>
              </w:rPr>
              <w:t>7.</w:t>
            </w:r>
            <w:r w:rsidR="00686586">
              <w:rPr>
                <w:rFonts w:asciiTheme="minorHAnsi" w:hAnsiTheme="minorHAnsi" w:cstheme="minorBidi"/>
                <w:noProof/>
                <w:sz w:val="22"/>
              </w:rPr>
              <w:tab/>
            </w:r>
            <w:r w:rsidRPr="00AB30F5" w:rsidR="00686586">
              <w:rPr>
                <w:rStyle w:val="Hyperlink"/>
                <w:noProof/>
              </w:rPr>
              <w:t>Preliminary Schedule</w:t>
            </w:r>
            <w:r w:rsidR="00686586">
              <w:rPr>
                <w:noProof/>
                <w:webHidden/>
              </w:rPr>
              <w:tab/>
            </w:r>
            <w:r w:rsidR="00686586">
              <w:rPr>
                <w:noProof/>
                <w:webHidden/>
              </w:rPr>
              <w:fldChar w:fldCharType="begin"/>
            </w:r>
            <w:r w:rsidR="00686586">
              <w:rPr>
                <w:noProof/>
                <w:webHidden/>
              </w:rPr>
              <w:instrText xml:space="preserve"> PAGEREF _Toc71038950 \h </w:instrText>
            </w:r>
            <w:r w:rsidR="00686586">
              <w:rPr>
                <w:noProof/>
                <w:webHidden/>
              </w:rPr>
            </w:r>
            <w:r w:rsidR="00686586">
              <w:rPr>
                <w:noProof/>
                <w:webHidden/>
              </w:rPr>
              <w:fldChar w:fldCharType="separate"/>
            </w:r>
            <w:r w:rsidR="00686586">
              <w:rPr>
                <w:noProof/>
                <w:webHidden/>
              </w:rPr>
              <w:t>27</w:t>
            </w:r>
            <w:r w:rsidR="00686586">
              <w:rPr>
                <w:noProof/>
                <w:webHidden/>
              </w:rPr>
              <w:fldChar w:fldCharType="end"/>
            </w:r>
          </w:hyperlink>
        </w:p>
        <w:p w:rsidR="00686586" w:rsidRDefault="00042C3E" w14:paraId="05C03983" w14:textId="466BDFDC">
          <w:pPr>
            <w:pStyle w:val="TOC1"/>
            <w:tabs>
              <w:tab w:val="right" w:leader="dot" w:pos="9530"/>
            </w:tabs>
            <w:rPr>
              <w:rFonts w:asciiTheme="minorHAnsi" w:hAnsiTheme="minorHAnsi" w:cstheme="minorBidi"/>
              <w:noProof/>
              <w:sz w:val="22"/>
            </w:rPr>
          </w:pPr>
          <w:hyperlink w:history="1" w:anchor="_Toc71038951">
            <w:r w:rsidRPr="00AB30F5" w:rsidR="00686586">
              <w:rPr>
                <w:rStyle w:val="Hyperlink"/>
                <w:noProof/>
              </w:rPr>
              <w:t>8.</w:t>
            </w:r>
            <w:r w:rsidR="00686586">
              <w:rPr>
                <w:rFonts w:asciiTheme="minorHAnsi" w:hAnsiTheme="minorHAnsi" w:cstheme="minorBidi"/>
                <w:noProof/>
                <w:sz w:val="22"/>
              </w:rPr>
              <w:tab/>
            </w:r>
            <w:r w:rsidRPr="00AB30F5" w:rsidR="00686586">
              <w:rPr>
                <w:rStyle w:val="Hyperlink"/>
                <w:noProof/>
              </w:rPr>
              <w:t>Invitation to Comment on Preliminary Scoping Memo and Schedule</w:t>
            </w:r>
            <w:r w:rsidR="00686586">
              <w:rPr>
                <w:noProof/>
                <w:webHidden/>
              </w:rPr>
              <w:tab/>
            </w:r>
            <w:r w:rsidR="00686586">
              <w:rPr>
                <w:noProof/>
                <w:webHidden/>
              </w:rPr>
              <w:fldChar w:fldCharType="begin"/>
            </w:r>
            <w:r w:rsidR="00686586">
              <w:rPr>
                <w:noProof/>
                <w:webHidden/>
              </w:rPr>
              <w:instrText xml:space="preserve"> PAGEREF _Toc71038951 \h </w:instrText>
            </w:r>
            <w:r w:rsidR="00686586">
              <w:rPr>
                <w:noProof/>
                <w:webHidden/>
              </w:rPr>
            </w:r>
            <w:r w:rsidR="00686586">
              <w:rPr>
                <w:noProof/>
                <w:webHidden/>
              </w:rPr>
              <w:fldChar w:fldCharType="separate"/>
            </w:r>
            <w:r w:rsidR="00686586">
              <w:rPr>
                <w:noProof/>
                <w:webHidden/>
              </w:rPr>
              <w:t>30</w:t>
            </w:r>
            <w:r w:rsidR="00686586">
              <w:rPr>
                <w:noProof/>
                <w:webHidden/>
              </w:rPr>
              <w:fldChar w:fldCharType="end"/>
            </w:r>
          </w:hyperlink>
        </w:p>
        <w:p w:rsidR="00686586" w:rsidRDefault="00042C3E" w14:paraId="3A6AFAEE" w14:textId="639B1D29">
          <w:pPr>
            <w:pStyle w:val="TOC1"/>
            <w:tabs>
              <w:tab w:val="right" w:leader="dot" w:pos="9530"/>
            </w:tabs>
            <w:rPr>
              <w:rFonts w:asciiTheme="minorHAnsi" w:hAnsiTheme="minorHAnsi" w:cstheme="minorBidi"/>
              <w:noProof/>
              <w:sz w:val="22"/>
            </w:rPr>
          </w:pPr>
          <w:hyperlink w:history="1" w:anchor="_Toc71038952">
            <w:r w:rsidRPr="00AB30F5" w:rsidR="00686586">
              <w:rPr>
                <w:rStyle w:val="Hyperlink"/>
                <w:noProof/>
              </w:rPr>
              <w:t>9.</w:t>
            </w:r>
            <w:r w:rsidR="00686586">
              <w:rPr>
                <w:rFonts w:asciiTheme="minorHAnsi" w:hAnsiTheme="minorHAnsi" w:cstheme="minorBidi"/>
                <w:noProof/>
                <w:sz w:val="22"/>
              </w:rPr>
              <w:tab/>
            </w:r>
            <w:r w:rsidRPr="00AB30F5" w:rsidR="00686586">
              <w:rPr>
                <w:rStyle w:val="Hyperlink"/>
                <w:noProof/>
              </w:rPr>
              <w:t>Respondents</w:t>
            </w:r>
            <w:r w:rsidR="00686586">
              <w:rPr>
                <w:noProof/>
                <w:webHidden/>
              </w:rPr>
              <w:tab/>
            </w:r>
            <w:r w:rsidR="00686586">
              <w:rPr>
                <w:noProof/>
                <w:webHidden/>
              </w:rPr>
              <w:fldChar w:fldCharType="begin"/>
            </w:r>
            <w:r w:rsidR="00686586">
              <w:rPr>
                <w:noProof/>
                <w:webHidden/>
              </w:rPr>
              <w:instrText xml:space="preserve"> PAGEREF _Toc71038952 \h </w:instrText>
            </w:r>
            <w:r w:rsidR="00686586">
              <w:rPr>
                <w:noProof/>
                <w:webHidden/>
              </w:rPr>
            </w:r>
            <w:r w:rsidR="00686586">
              <w:rPr>
                <w:noProof/>
                <w:webHidden/>
              </w:rPr>
              <w:fldChar w:fldCharType="separate"/>
            </w:r>
            <w:r w:rsidR="00686586">
              <w:rPr>
                <w:noProof/>
                <w:webHidden/>
              </w:rPr>
              <w:t>31</w:t>
            </w:r>
            <w:r w:rsidR="00686586">
              <w:rPr>
                <w:noProof/>
                <w:webHidden/>
              </w:rPr>
              <w:fldChar w:fldCharType="end"/>
            </w:r>
          </w:hyperlink>
        </w:p>
        <w:p w:rsidR="00686586" w:rsidRDefault="00042C3E" w14:paraId="352959F9" w14:textId="0BBF4F15">
          <w:pPr>
            <w:pStyle w:val="TOC1"/>
            <w:tabs>
              <w:tab w:val="right" w:leader="dot" w:pos="9530"/>
            </w:tabs>
            <w:rPr>
              <w:rFonts w:asciiTheme="minorHAnsi" w:hAnsiTheme="minorHAnsi" w:cstheme="minorBidi"/>
              <w:noProof/>
              <w:sz w:val="22"/>
            </w:rPr>
          </w:pPr>
          <w:hyperlink w:history="1" w:anchor="_Toc71038953">
            <w:r w:rsidRPr="00AB30F5" w:rsidR="00686586">
              <w:rPr>
                <w:rStyle w:val="Hyperlink"/>
                <w:noProof/>
              </w:rPr>
              <w:t>10.</w:t>
            </w:r>
            <w:r w:rsidR="00686586">
              <w:rPr>
                <w:rFonts w:asciiTheme="minorHAnsi" w:hAnsiTheme="minorHAnsi" w:cstheme="minorBidi"/>
                <w:noProof/>
                <w:sz w:val="22"/>
              </w:rPr>
              <w:tab/>
            </w:r>
            <w:r w:rsidRPr="00AB30F5" w:rsidR="00686586">
              <w:rPr>
                <w:rStyle w:val="Hyperlink"/>
                <w:noProof/>
              </w:rPr>
              <w:t>Coordination with Related Proceedings and Service of OIR</w:t>
            </w:r>
            <w:r w:rsidR="00686586">
              <w:rPr>
                <w:noProof/>
                <w:webHidden/>
              </w:rPr>
              <w:tab/>
            </w:r>
            <w:r w:rsidR="00686586">
              <w:rPr>
                <w:noProof/>
                <w:webHidden/>
              </w:rPr>
              <w:fldChar w:fldCharType="begin"/>
            </w:r>
            <w:r w:rsidR="00686586">
              <w:rPr>
                <w:noProof/>
                <w:webHidden/>
              </w:rPr>
              <w:instrText xml:space="preserve"> PAGEREF _Toc71038953 \h </w:instrText>
            </w:r>
            <w:r w:rsidR="00686586">
              <w:rPr>
                <w:noProof/>
                <w:webHidden/>
              </w:rPr>
            </w:r>
            <w:r w:rsidR="00686586">
              <w:rPr>
                <w:noProof/>
                <w:webHidden/>
              </w:rPr>
              <w:fldChar w:fldCharType="separate"/>
            </w:r>
            <w:r w:rsidR="00686586">
              <w:rPr>
                <w:noProof/>
                <w:webHidden/>
              </w:rPr>
              <w:t>32</w:t>
            </w:r>
            <w:r w:rsidR="00686586">
              <w:rPr>
                <w:noProof/>
                <w:webHidden/>
              </w:rPr>
              <w:fldChar w:fldCharType="end"/>
            </w:r>
          </w:hyperlink>
        </w:p>
        <w:p w:rsidR="00686586" w:rsidRDefault="00042C3E" w14:paraId="0E6D7350" w14:textId="282AF46E">
          <w:pPr>
            <w:pStyle w:val="TOC1"/>
            <w:tabs>
              <w:tab w:val="right" w:leader="dot" w:pos="9530"/>
            </w:tabs>
            <w:rPr>
              <w:rFonts w:asciiTheme="minorHAnsi" w:hAnsiTheme="minorHAnsi" w:cstheme="minorBidi"/>
              <w:noProof/>
              <w:sz w:val="22"/>
            </w:rPr>
          </w:pPr>
          <w:hyperlink w:history="1" w:anchor="_Toc71038954">
            <w:r w:rsidRPr="00AB30F5" w:rsidR="00686586">
              <w:rPr>
                <w:rStyle w:val="Hyperlink"/>
                <w:noProof/>
              </w:rPr>
              <w:t>11.</w:t>
            </w:r>
            <w:r w:rsidR="00686586">
              <w:rPr>
                <w:rFonts w:asciiTheme="minorHAnsi" w:hAnsiTheme="minorHAnsi" w:cstheme="minorBidi"/>
                <w:noProof/>
                <w:sz w:val="22"/>
              </w:rPr>
              <w:tab/>
            </w:r>
            <w:r w:rsidRPr="00AB30F5" w:rsidR="00686586">
              <w:rPr>
                <w:rStyle w:val="Hyperlink"/>
                <w:noProof/>
              </w:rPr>
              <w:t>Filing and Service of Comments and Other Documents</w:t>
            </w:r>
            <w:r w:rsidR="00686586">
              <w:rPr>
                <w:noProof/>
                <w:webHidden/>
              </w:rPr>
              <w:tab/>
            </w:r>
            <w:r w:rsidR="00686586">
              <w:rPr>
                <w:noProof/>
                <w:webHidden/>
              </w:rPr>
              <w:fldChar w:fldCharType="begin"/>
            </w:r>
            <w:r w:rsidR="00686586">
              <w:rPr>
                <w:noProof/>
                <w:webHidden/>
              </w:rPr>
              <w:instrText xml:space="preserve"> PAGEREF _Toc71038954 \h </w:instrText>
            </w:r>
            <w:r w:rsidR="00686586">
              <w:rPr>
                <w:noProof/>
                <w:webHidden/>
              </w:rPr>
            </w:r>
            <w:r w:rsidR="00686586">
              <w:rPr>
                <w:noProof/>
                <w:webHidden/>
              </w:rPr>
              <w:fldChar w:fldCharType="separate"/>
            </w:r>
            <w:r w:rsidR="00686586">
              <w:rPr>
                <w:noProof/>
                <w:webHidden/>
              </w:rPr>
              <w:t>34</w:t>
            </w:r>
            <w:r w:rsidR="00686586">
              <w:rPr>
                <w:noProof/>
                <w:webHidden/>
              </w:rPr>
              <w:fldChar w:fldCharType="end"/>
            </w:r>
          </w:hyperlink>
        </w:p>
        <w:p w:rsidR="00686586" w:rsidRDefault="00042C3E" w14:paraId="17ED6CFA" w14:textId="1B6865B4">
          <w:pPr>
            <w:pStyle w:val="TOC1"/>
            <w:tabs>
              <w:tab w:val="right" w:leader="dot" w:pos="9530"/>
            </w:tabs>
            <w:rPr>
              <w:rFonts w:asciiTheme="minorHAnsi" w:hAnsiTheme="minorHAnsi" w:cstheme="minorBidi"/>
              <w:noProof/>
              <w:sz w:val="22"/>
            </w:rPr>
          </w:pPr>
          <w:hyperlink w:history="1" w:anchor="_Toc71038955">
            <w:r w:rsidRPr="00AB30F5" w:rsidR="00686586">
              <w:rPr>
                <w:rStyle w:val="Hyperlink"/>
                <w:noProof/>
              </w:rPr>
              <w:t>12.</w:t>
            </w:r>
            <w:r w:rsidR="00686586">
              <w:rPr>
                <w:rFonts w:asciiTheme="minorHAnsi" w:hAnsiTheme="minorHAnsi" w:cstheme="minorBidi"/>
                <w:noProof/>
                <w:sz w:val="22"/>
              </w:rPr>
              <w:tab/>
            </w:r>
            <w:r w:rsidRPr="00AB30F5" w:rsidR="00686586">
              <w:rPr>
                <w:rStyle w:val="Hyperlink"/>
                <w:noProof/>
              </w:rPr>
              <w:t>Addition to Official Service List</w:t>
            </w:r>
            <w:r w:rsidR="00686586">
              <w:rPr>
                <w:noProof/>
                <w:webHidden/>
              </w:rPr>
              <w:tab/>
            </w:r>
            <w:r w:rsidR="00686586">
              <w:rPr>
                <w:noProof/>
                <w:webHidden/>
              </w:rPr>
              <w:fldChar w:fldCharType="begin"/>
            </w:r>
            <w:r w:rsidR="00686586">
              <w:rPr>
                <w:noProof/>
                <w:webHidden/>
              </w:rPr>
              <w:instrText xml:space="preserve"> PAGEREF _Toc71038955 \h </w:instrText>
            </w:r>
            <w:r w:rsidR="00686586">
              <w:rPr>
                <w:noProof/>
                <w:webHidden/>
              </w:rPr>
            </w:r>
            <w:r w:rsidR="00686586">
              <w:rPr>
                <w:noProof/>
                <w:webHidden/>
              </w:rPr>
              <w:fldChar w:fldCharType="separate"/>
            </w:r>
            <w:r w:rsidR="00686586">
              <w:rPr>
                <w:noProof/>
                <w:webHidden/>
              </w:rPr>
              <w:t>35</w:t>
            </w:r>
            <w:r w:rsidR="00686586">
              <w:rPr>
                <w:noProof/>
                <w:webHidden/>
              </w:rPr>
              <w:fldChar w:fldCharType="end"/>
            </w:r>
          </w:hyperlink>
        </w:p>
        <w:p w:rsidR="00686586" w:rsidRDefault="00042C3E" w14:paraId="0A7A6D0B" w14:textId="20816359">
          <w:pPr>
            <w:pStyle w:val="TOC1"/>
            <w:tabs>
              <w:tab w:val="right" w:leader="dot" w:pos="9530"/>
            </w:tabs>
            <w:rPr>
              <w:rFonts w:asciiTheme="minorHAnsi" w:hAnsiTheme="minorHAnsi" w:cstheme="minorBidi"/>
              <w:noProof/>
              <w:sz w:val="22"/>
            </w:rPr>
          </w:pPr>
          <w:hyperlink w:history="1" w:anchor="_Toc71038956">
            <w:r w:rsidRPr="00AB30F5" w:rsidR="00686586">
              <w:rPr>
                <w:rStyle w:val="Hyperlink"/>
                <w:noProof/>
              </w:rPr>
              <w:t>13.</w:t>
            </w:r>
            <w:r w:rsidR="00686586">
              <w:rPr>
                <w:rFonts w:asciiTheme="minorHAnsi" w:hAnsiTheme="minorHAnsi" w:cstheme="minorBidi"/>
                <w:noProof/>
                <w:sz w:val="22"/>
              </w:rPr>
              <w:tab/>
            </w:r>
            <w:r w:rsidRPr="00AB30F5" w:rsidR="00686586">
              <w:rPr>
                <w:rStyle w:val="Hyperlink"/>
                <w:noProof/>
              </w:rPr>
              <w:t>Subscription Service</w:t>
            </w:r>
            <w:r w:rsidR="00686586">
              <w:rPr>
                <w:noProof/>
                <w:webHidden/>
              </w:rPr>
              <w:tab/>
            </w:r>
            <w:r w:rsidR="00686586">
              <w:rPr>
                <w:noProof/>
                <w:webHidden/>
              </w:rPr>
              <w:fldChar w:fldCharType="begin"/>
            </w:r>
            <w:r w:rsidR="00686586">
              <w:rPr>
                <w:noProof/>
                <w:webHidden/>
              </w:rPr>
              <w:instrText xml:space="preserve"> PAGEREF _Toc71038956 \h </w:instrText>
            </w:r>
            <w:r w:rsidR="00686586">
              <w:rPr>
                <w:noProof/>
                <w:webHidden/>
              </w:rPr>
            </w:r>
            <w:r w:rsidR="00686586">
              <w:rPr>
                <w:noProof/>
                <w:webHidden/>
              </w:rPr>
              <w:fldChar w:fldCharType="separate"/>
            </w:r>
            <w:r w:rsidR="00686586">
              <w:rPr>
                <w:noProof/>
                <w:webHidden/>
              </w:rPr>
              <w:t>36</w:t>
            </w:r>
            <w:r w:rsidR="00686586">
              <w:rPr>
                <w:noProof/>
                <w:webHidden/>
              </w:rPr>
              <w:fldChar w:fldCharType="end"/>
            </w:r>
          </w:hyperlink>
        </w:p>
        <w:p w:rsidR="00686586" w:rsidRDefault="00042C3E" w14:paraId="15B5F7A5" w14:textId="312A0D15">
          <w:pPr>
            <w:pStyle w:val="TOC1"/>
            <w:tabs>
              <w:tab w:val="right" w:leader="dot" w:pos="9530"/>
            </w:tabs>
            <w:rPr>
              <w:rFonts w:asciiTheme="minorHAnsi" w:hAnsiTheme="minorHAnsi" w:cstheme="minorBidi"/>
              <w:noProof/>
              <w:sz w:val="22"/>
            </w:rPr>
          </w:pPr>
          <w:hyperlink w:history="1" w:anchor="_Toc71038957">
            <w:r w:rsidRPr="00AB30F5" w:rsidR="00686586">
              <w:rPr>
                <w:rStyle w:val="Hyperlink"/>
                <w:noProof/>
              </w:rPr>
              <w:t>14.</w:t>
            </w:r>
            <w:r w:rsidR="00686586">
              <w:rPr>
                <w:rFonts w:asciiTheme="minorHAnsi" w:hAnsiTheme="minorHAnsi" w:cstheme="minorBidi"/>
                <w:noProof/>
                <w:sz w:val="22"/>
              </w:rPr>
              <w:tab/>
            </w:r>
            <w:r w:rsidRPr="00AB30F5" w:rsidR="00686586">
              <w:rPr>
                <w:rStyle w:val="Hyperlink"/>
                <w:noProof/>
              </w:rPr>
              <w:t>Intervenor Compensation</w:t>
            </w:r>
            <w:r w:rsidR="00686586">
              <w:rPr>
                <w:noProof/>
                <w:webHidden/>
              </w:rPr>
              <w:tab/>
            </w:r>
            <w:r w:rsidR="00686586">
              <w:rPr>
                <w:noProof/>
                <w:webHidden/>
              </w:rPr>
              <w:fldChar w:fldCharType="begin"/>
            </w:r>
            <w:r w:rsidR="00686586">
              <w:rPr>
                <w:noProof/>
                <w:webHidden/>
              </w:rPr>
              <w:instrText xml:space="preserve"> PAGEREF _Toc71038957 \h </w:instrText>
            </w:r>
            <w:r w:rsidR="00686586">
              <w:rPr>
                <w:noProof/>
                <w:webHidden/>
              </w:rPr>
            </w:r>
            <w:r w:rsidR="00686586">
              <w:rPr>
                <w:noProof/>
                <w:webHidden/>
              </w:rPr>
              <w:fldChar w:fldCharType="separate"/>
            </w:r>
            <w:r w:rsidR="00686586">
              <w:rPr>
                <w:noProof/>
                <w:webHidden/>
              </w:rPr>
              <w:t>36</w:t>
            </w:r>
            <w:r w:rsidR="00686586">
              <w:rPr>
                <w:noProof/>
                <w:webHidden/>
              </w:rPr>
              <w:fldChar w:fldCharType="end"/>
            </w:r>
          </w:hyperlink>
        </w:p>
        <w:p w:rsidR="00686586" w:rsidRDefault="00042C3E" w14:paraId="00EA34B6" w14:textId="1EA21480">
          <w:pPr>
            <w:pStyle w:val="TOC1"/>
            <w:tabs>
              <w:tab w:val="right" w:leader="dot" w:pos="9530"/>
            </w:tabs>
            <w:rPr>
              <w:rFonts w:asciiTheme="minorHAnsi" w:hAnsiTheme="minorHAnsi" w:cstheme="minorBidi"/>
              <w:noProof/>
              <w:sz w:val="22"/>
            </w:rPr>
          </w:pPr>
          <w:hyperlink w:history="1" w:anchor="_Toc71038958">
            <w:r w:rsidRPr="00AB30F5" w:rsidR="00686586">
              <w:rPr>
                <w:rStyle w:val="Hyperlink"/>
                <w:noProof/>
              </w:rPr>
              <w:t>15.</w:t>
            </w:r>
            <w:r w:rsidR="00686586">
              <w:rPr>
                <w:rFonts w:asciiTheme="minorHAnsi" w:hAnsiTheme="minorHAnsi" w:cstheme="minorBidi"/>
                <w:noProof/>
                <w:sz w:val="22"/>
              </w:rPr>
              <w:tab/>
            </w:r>
            <w:r w:rsidRPr="00AB30F5" w:rsidR="00686586">
              <w:rPr>
                <w:rStyle w:val="Hyperlink"/>
                <w:noProof/>
              </w:rPr>
              <w:t>Public Advisor</w:t>
            </w:r>
            <w:r w:rsidR="00686586">
              <w:rPr>
                <w:noProof/>
                <w:webHidden/>
              </w:rPr>
              <w:tab/>
            </w:r>
            <w:r w:rsidR="00686586">
              <w:rPr>
                <w:noProof/>
                <w:webHidden/>
              </w:rPr>
              <w:fldChar w:fldCharType="begin"/>
            </w:r>
            <w:r w:rsidR="00686586">
              <w:rPr>
                <w:noProof/>
                <w:webHidden/>
              </w:rPr>
              <w:instrText xml:space="preserve"> PAGEREF _Toc71038958 \h </w:instrText>
            </w:r>
            <w:r w:rsidR="00686586">
              <w:rPr>
                <w:noProof/>
                <w:webHidden/>
              </w:rPr>
            </w:r>
            <w:r w:rsidR="00686586">
              <w:rPr>
                <w:noProof/>
                <w:webHidden/>
              </w:rPr>
              <w:fldChar w:fldCharType="separate"/>
            </w:r>
            <w:r w:rsidR="00686586">
              <w:rPr>
                <w:noProof/>
                <w:webHidden/>
              </w:rPr>
              <w:t>36</w:t>
            </w:r>
            <w:r w:rsidR="00686586">
              <w:rPr>
                <w:noProof/>
                <w:webHidden/>
              </w:rPr>
              <w:fldChar w:fldCharType="end"/>
            </w:r>
          </w:hyperlink>
        </w:p>
        <w:p w:rsidR="00686586" w:rsidRDefault="00042C3E" w14:paraId="33F4CD56" w14:textId="4B75908C">
          <w:pPr>
            <w:pStyle w:val="TOC1"/>
            <w:tabs>
              <w:tab w:val="right" w:leader="dot" w:pos="9530"/>
            </w:tabs>
            <w:rPr>
              <w:rFonts w:asciiTheme="minorHAnsi" w:hAnsiTheme="minorHAnsi" w:cstheme="minorBidi"/>
              <w:noProof/>
              <w:sz w:val="22"/>
            </w:rPr>
          </w:pPr>
          <w:hyperlink w:history="1" w:anchor="_Toc71038959">
            <w:r w:rsidRPr="00AB30F5" w:rsidR="00686586">
              <w:rPr>
                <w:rStyle w:val="Hyperlink"/>
                <w:noProof/>
              </w:rPr>
              <w:t>ORDER</w:t>
            </w:r>
            <w:r w:rsidR="00686586">
              <w:rPr>
                <w:noProof/>
                <w:webHidden/>
              </w:rPr>
              <w:tab/>
            </w:r>
            <w:r w:rsidR="00686586">
              <w:rPr>
                <w:noProof/>
                <w:webHidden/>
              </w:rPr>
              <w:fldChar w:fldCharType="begin"/>
            </w:r>
            <w:r w:rsidR="00686586">
              <w:rPr>
                <w:noProof/>
                <w:webHidden/>
              </w:rPr>
              <w:instrText xml:space="preserve"> PAGEREF _Toc71038959 \h </w:instrText>
            </w:r>
            <w:r w:rsidR="00686586">
              <w:rPr>
                <w:noProof/>
                <w:webHidden/>
              </w:rPr>
            </w:r>
            <w:r w:rsidR="00686586">
              <w:rPr>
                <w:noProof/>
                <w:webHidden/>
              </w:rPr>
              <w:fldChar w:fldCharType="separate"/>
            </w:r>
            <w:r w:rsidR="00686586">
              <w:rPr>
                <w:noProof/>
                <w:webHidden/>
              </w:rPr>
              <w:t>36</w:t>
            </w:r>
            <w:r w:rsidR="00686586">
              <w:rPr>
                <w:noProof/>
                <w:webHidden/>
              </w:rPr>
              <w:fldChar w:fldCharType="end"/>
            </w:r>
          </w:hyperlink>
        </w:p>
        <w:p w:rsidR="001440A0" w:rsidP="00843747" w:rsidRDefault="001440A0" w14:paraId="63B1184D" w14:textId="51761DF4">
          <w:pPr>
            <w:spacing w:line="240" w:lineRule="auto"/>
            <w:ind w:firstLine="0"/>
          </w:pPr>
          <w:r>
            <w:rPr>
              <w:b/>
              <w:bCs/>
              <w:noProof/>
            </w:rPr>
            <w:fldChar w:fldCharType="end"/>
          </w:r>
        </w:p>
      </w:sdtContent>
    </w:sdt>
    <w:p w:rsidRPr="00D759CE" w:rsidR="00843747" w:rsidP="00843747" w:rsidRDefault="00843747" w14:paraId="28259E75" w14:textId="77777777">
      <w:pPr>
        <w:spacing w:line="240" w:lineRule="auto"/>
        <w:ind w:firstLine="0"/>
      </w:pPr>
      <w:r w:rsidRPr="00D759CE">
        <w:t>Appendix A</w:t>
      </w:r>
      <w:r>
        <w:t>: Acronyms</w:t>
      </w:r>
    </w:p>
    <w:p w:rsidRPr="00D759CE" w:rsidR="00843747" w:rsidP="00843747" w:rsidRDefault="00843747" w14:paraId="463CAC78" w14:textId="77777777">
      <w:pPr>
        <w:spacing w:line="240" w:lineRule="auto"/>
        <w:ind w:firstLine="0"/>
      </w:pPr>
      <w:r w:rsidRPr="00D759CE">
        <w:t>Appendix B</w:t>
      </w:r>
      <w:r>
        <w:t xml:space="preserve">: </w:t>
      </w:r>
      <w:r w:rsidRPr="00CC3C33">
        <w:t>An Overview of Distribution System Operator Models</w:t>
      </w:r>
    </w:p>
    <w:p w:rsidRPr="00D759CE" w:rsidR="00843747" w:rsidP="00843747" w:rsidRDefault="00843747" w14:paraId="20B159C1" w14:textId="77777777">
      <w:pPr>
        <w:spacing w:line="240" w:lineRule="auto"/>
        <w:ind w:firstLine="0"/>
      </w:pPr>
      <w:r w:rsidRPr="00D759CE">
        <w:t>Appendix C</w:t>
      </w:r>
      <w:r>
        <w:t xml:space="preserve">: </w:t>
      </w:r>
      <w:r w:rsidRPr="00AC6157">
        <w:t>List of New and Outstanding Issues</w:t>
      </w:r>
    </w:p>
    <w:p w:rsidR="00843747" w:rsidP="00843747" w:rsidRDefault="00843747" w14:paraId="4ECCF2A4" w14:textId="77777777">
      <w:pPr>
        <w:spacing w:line="240" w:lineRule="auto"/>
        <w:ind w:firstLine="0"/>
      </w:pPr>
      <w:r>
        <w:t xml:space="preserve">Appendix D: </w:t>
      </w:r>
      <w:r w:rsidRPr="00CC3C33">
        <w:t>DRP Retrospective Notes</w:t>
      </w:r>
    </w:p>
    <w:p w:rsidRPr="00843747" w:rsidR="00843747" w:rsidP="00843747" w:rsidRDefault="00843747" w14:paraId="4AB26ACC" w14:textId="1445C234">
      <w:pPr>
        <w:pStyle w:val="Standard"/>
        <w:sectPr w:rsidRPr="00843747" w:rsidR="00843747" w:rsidSect="00AE078E">
          <w:headerReference w:type="first" r:id="rId15"/>
          <w:footerReference w:type="first" r:id="rId16"/>
          <w:pgSz w:w="12240" w:h="15840"/>
          <w:pgMar w:top="1728" w:right="1260" w:bottom="1440" w:left="1440" w:header="720" w:footer="720" w:gutter="0"/>
          <w:pgNumType w:fmt="lowerRoman" w:start="1"/>
          <w:cols w:space="720"/>
          <w:titlePg/>
          <w:docGrid w:linePitch="360"/>
        </w:sectPr>
      </w:pPr>
    </w:p>
    <w:p w:rsidR="00843747" w:rsidP="00843747" w:rsidRDefault="00843747" w14:paraId="40CB1D39" w14:textId="111AF590">
      <w:pPr>
        <w:pStyle w:val="Dummy"/>
        <w:jc w:val="center"/>
      </w:pPr>
      <w:bookmarkStart w:name="_Toc71038936" w:id="2"/>
      <w:r w:rsidRPr="00843747">
        <w:lastRenderedPageBreak/>
        <w:t>ORDER INSTITUTING RULEMAKING TO MODERNIZE THE ELECTRIC GRID FOR A HIGH DISTRIBUTED ENERGY RESOURCES FUTURE</w:t>
      </w:r>
      <w:bookmarkEnd w:id="2"/>
    </w:p>
    <w:p w:rsidRPr="00843747" w:rsidR="00843747" w:rsidP="00843747" w:rsidRDefault="00843747" w14:paraId="524B4E1B" w14:textId="77777777"/>
    <w:p w:rsidR="00F0423B" w:rsidP="00843747" w:rsidRDefault="6047A693" w14:paraId="36CDDEEF" w14:textId="015F51A0">
      <w:pPr>
        <w:pStyle w:val="Dummy"/>
      </w:pPr>
      <w:bookmarkStart w:name="_Toc71038937" w:id="3"/>
      <w:r>
        <w:t>Summary</w:t>
      </w:r>
      <w:bookmarkEnd w:id="3"/>
    </w:p>
    <w:p w:rsidR="001A27E5" w:rsidP="00EB1D0E" w:rsidRDefault="001A27E5" w14:paraId="3765E11E" w14:textId="5B3D3FA5">
      <w:pPr>
        <w:pStyle w:val="Standard"/>
      </w:pPr>
      <w:r w:rsidRPr="00F7276C">
        <w:t>Th</w:t>
      </w:r>
      <w:r w:rsidR="00910DE6">
        <w:t xml:space="preserve">e purpose of this </w:t>
      </w:r>
      <w:r>
        <w:t xml:space="preserve">Order Instituting Rulemaking </w:t>
      </w:r>
      <w:r w:rsidRPr="00F7276C">
        <w:t xml:space="preserve">is </w:t>
      </w:r>
      <w:r w:rsidR="00286BB9">
        <w:t>to prepare the electri</w:t>
      </w:r>
      <w:r w:rsidR="006A400A">
        <w:t xml:space="preserve">c grid for </w:t>
      </w:r>
      <w:r w:rsidR="00B64606">
        <w:t>a high</w:t>
      </w:r>
      <w:r w:rsidR="00987EA4">
        <w:t xml:space="preserve"> number</w:t>
      </w:r>
      <w:r w:rsidR="006A400A">
        <w:t xml:space="preserve"> </w:t>
      </w:r>
      <w:r w:rsidR="00B64606">
        <w:t>of</w:t>
      </w:r>
      <w:r w:rsidR="006A400A">
        <w:t xml:space="preserve"> </w:t>
      </w:r>
      <w:r w:rsidR="005C7E06">
        <w:t>d</w:t>
      </w:r>
      <w:r w:rsidR="003F2D80">
        <w:t xml:space="preserve">istributed </w:t>
      </w:r>
      <w:r w:rsidR="005C7E06">
        <w:t>e</w:t>
      </w:r>
      <w:r w:rsidR="003F2D80">
        <w:t xml:space="preserve">nergy </w:t>
      </w:r>
      <w:r w:rsidR="005C7E06">
        <w:t>r</w:t>
      </w:r>
      <w:r w:rsidR="003F2D80">
        <w:t>esource</w:t>
      </w:r>
      <w:r w:rsidR="4818DB16">
        <w:t>s</w:t>
      </w:r>
      <w:r w:rsidR="00CF6F33">
        <w:t xml:space="preserve">, including </w:t>
      </w:r>
      <w:r w:rsidR="00631AD4">
        <w:t xml:space="preserve">those </w:t>
      </w:r>
      <w:r w:rsidR="00D96326">
        <w:t xml:space="preserve">specific to </w:t>
      </w:r>
      <w:r w:rsidR="00CD55DB">
        <w:t xml:space="preserve">transportation </w:t>
      </w:r>
      <w:r w:rsidR="00D96326">
        <w:t>electrification</w:t>
      </w:r>
      <w:r w:rsidR="00B120D6">
        <w:t xml:space="preserve"> and as defined in </w:t>
      </w:r>
      <w:r w:rsidR="008F541C">
        <w:t xml:space="preserve">Assembly Bill 327 and </w:t>
      </w:r>
      <w:r w:rsidR="00555725">
        <w:t>Public Utilities Code Section 769</w:t>
      </w:r>
      <w:r w:rsidRPr="00531B50" w:rsidR="00531B50">
        <w:t>.</w:t>
      </w:r>
      <w:r w:rsidR="00E058D5">
        <w:rPr>
          <w:rStyle w:val="FootnoteReference"/>
        </w:rPr>
        <w:footnoteReference w:id="2"/>
      </w:r>
      <w:r w:rsidRPr="00353B79" w:rsidR="00353B79">
        <w:rPr>
          <w:vertAlign w:val="superscript"/>
        </w:rPr>
        <w:t>,</w:t>
      </w:r>
      <w:r w:rsidR="00353B79">
        <w:rPr>
          <w:rStyle w:val="FootnoteReference"/>
        </w:rPr>
        <w:footnoteReference w:id="3"/>
      </w:r>
      <w:r w:rsidR="008A3C96">
        <w:t xml:space="preserve"> </w:t>
      </w:r>
      <w:r w:rsidR="00843747">
        <w:t xml:space="preserve"> </w:t>
      </w:r>
      <w:r w:rsidR="00EB1D0E">
        <w:t>T</w:t>
      </w:r>
      <w:r w:rsidR="00266D06">
        <w:t xml:space="preserve">his </w:t>
      </w:r>
      <w:r w:rsidR="00CF766F">
        <w:t xml:space="preserve">Order Instituting Rulemaking </w:t>
      </w:r>
      <w:r w:rsidR="00266D06">
        <w:t xml:space="preserve">will </w:t>
      </w:r>
      <w:r w:rsidR="00EB1D0E">
        <w:t xml:space="preserve">also </w:t>
      </w:r>
      <w:r w:rsidR="00266D06">
        <w:t xml:space="preserve">address </w:t>
      </w:r>
      <w:r>
        <w:t>unresolved and ongoing issues from the Distribution Resources Plans proceeding (Rulemaking 14-08-013)</w:t>
      </w:r>
      <w:r w:rsidR="00DE596F">
        <w:rPr>
          <w:rStyle w:val="FootnoteReference"/>
        </w:rPr>
        <w:footnoteReference w:id="4"/>
      </w:r>
      <w:r>
        <w:t xml:space="preserve"> and Integrated Distributed Energy Resources proceeding (</w:t>
      </w:r>
      <w:r w:rsidR="005C7E06">
        <w:t xml:space="preserve">Rulemaking </w:t>
      </w:r>
      <w:r>
        <w:t>14-10-003).</w:t>
      </w:r>
      <w:r>
        <w:rPr>
          <w:rStyle w:val="FootnoteReference"/>
        </w:rPr>
        <w:footnoteReference w:id="5"/>
      </w:r>
    </w:p>
    <w:p w:rsidR="00576FFC" w:rsidP="00843747" w:rsidRDefault="00576FFC" w14:paraId="4804F9F2" w14:textId="346E5570">
      <w:pPr>
        <w:pStyle w:val="Heading1"/>
      </w:pPr>
      <w:bookmarkStart w:name="_Toc71038938" w:id="4"/>
      <w:r w:rsidRPr="00843747">
        <w:t>Background</w:t>
      </w:r>
      <w:bookmarkEnd w:id="4"/>
    </w:p>
    <w:p w:rsidRPr="00F4516E" w:rsidR="001A27E5" w:rsidP="009A7F42" w:rsidRDefault="001A27E5" w14:paraId="339EDD50" w14:textId="4FB9B399">
      <w:pPr>
        <w:tabs>
          <w:tab w:val="center" w:pos="5040"/>
        </w:tabs>
      </w:pPr>
      <w:r>
        <w:t xml:space="preserve">The </w:t>
      </w:r>
      <w:r w:rsidRPr="00AC528D" w:rsidR="00AC528D">
        <w:t>California Public Utilities Commission (</w:t>
      </w:r>
      <w:r w:rsidR="00CF766F">
        <w:t>Commission</w:t>
      </w:r>
      <w:r w:rsidRPr="00AC528D" w:rsidR="00AC528D">
        <w:t xml:space="preserve">) opened two </w:t>
      </w:r>
      <w:r w:rsidR="647E5C50">
        <w:t>proceeding</w:t>
      </w:r>
      <w:r w:rsidR="18942813">
        <w:t>s</w:t>
      </w:r>
      <w:r w:rsidRPr="00AC528D" w:rsidR="00AC528D">
        <w:t xml:space="preserve"> in 2014, the </w:t>
      </w:r>
      <w:r w:rsidRPr="00D9789E" w:rsidR="00922829">
        <w:t>Distribution Resources Plans</w:t>
      </w:r>
      <w:r w:rsidR="00922829">
        <w:t xml:space="preserve"> (</w:t>
      </w:r>
      <w:r>
        <w:t>DR</w:t>
      </w:r>
      <w:r w:rsidR="00922829">
        <w:t>P)</w:t>
      </w:r>
      <w:r>
        <w:t xml:space="preserve"> and </w:t>
      </w:r>
      <w:r w:rsidRPr="00D9789E" w:rsidR="009A7F42">
        <w:t>Integrated Distributed Energy Resources</w:t>
      </w:r>
      <w:r w:rsidR="009A7F42">
        <w:t xml:space="preserve"> (</w:t>
      </w:r>
      <w:r>
        <w:t>IDER</w:t>
      </w:r>
      <w:r w:rsidR="009A7F42">
        <w:t xml:space="preserve">) </w:t>
      </w:r>
      <w:r>
        <w:t>proceedings</w:t>
      </w:r>
      <w:r w:rsidR="005F7D00">
        <w:t xml:space="preserve">, </w:t>
      </w:r>
      <w:r>
        <w:t>in response to A</w:t>
      </w:r>
      <w:r w:rsidR="009A7F42">
        <w:t xml:space="preserve">ssembly </w:t>
      </w:r>
      <w:r>
        <w:t>B</w:t>
      </w:r>
      <w:r w:rsidR="009A7F42">
        <w:t xml:space="preserve">ill </w:t>
      </w:r>
      <w:r w:rsidR="009A7F42">
        <w:lastRenderedPageBreak/>
        <w:t>(AB)</w:t>
      </w:r>
      <w:r>
        <w:t xml:space="preserve"> 327 and to fulfill </w:t>
      </w:r>
      <w:r w:rsidR="00E41715">
        <w:t xml:space="preserve">the requirements of </w:t>
      </w:r>
      <w:r w:rsidR="00897EA1">
        <w:t>S</w:t>
      </w:r>
      <w:r>
        <w:t>ections 454.5(b)(9)(c), 701.1(a), 769</w:t>
      </w:r>
      <w:r w:rsidR="00303792">
        <w:t>, and</w:t>
      </w:r>
      <w:r>
        <w:t xml:space="preserve"> 8360(c-i). </w:t>
      </w:r>
      <w:r w:rsidR="00843747">
        <w:t xml:space="preserve"> </w:t>
      </w:r>
      <w:r>
        <w:t>The</w:t>
      </w:r>
      <w:r w:rsidR="002862CF">
        <w:t>se</w:t>
      </w:r>
      <w:r>
        <w:t xml:space="preserve"> two proceedings are expected to close in </w:t>
      </w:r>
      <w:r w:rsidR="6F83A353">
        <w:t>2021</w:t>
      </w:r>
      <w:r>
        <w:t xml:space="preserve">. Legislative and procedural background summaries are provided </w:t>
      </w:r>
      <w:r w:rsidR="006E3705">
        <w:t>below</w:t>
      </w:r>
      <w:r>
        <w:t>.</w:t>
      </w:r>
    </w:p>
    <w:p w:rsidRPr="00F4516E" w:rsidR="00F7276C" w:rsidP="00843747" w:rsidRDefault="00F7276C" w14:paraId="4743744B" w14:textId="3E2229BF">
      <w:pPr>
        <w:pStyle w:val="Heading2"/>
      </w:pPr>
      <w:bookmarkStart w:name="_Toc71038939" w:id="5"/>
      <w:r w:rsidRPr="00843747">
        <w:t>Legislative</w:t>
      </w:r>
      <w:r w:rsidRPr="00F4516E">
        <w:t xml:space="preserve"> Background</w:t>
      </w:r>
      <w:bookmarkEnd w:id="5"/>
    </w:p>
    <w:p w:rsidR="001A27E5" w:rsidP="001A27E5" w:rsidRDefault="001A27E5" w14:paraId="36154C50" w14:textId="148BC914">
      <w:pPr>
        <w:pStyle w:val="Standard"/>
      </w:pPr>
      <w:r w:rsidRPr="00F4516E">
        <w:t>AB 327 (Perea, 2013)</w:t>
      </w:r>
      <w:r>
        <w:t xml:space="preserve"> </w:t>
      </w:r>
      <w:r w:rsidRPr="00F4516E">
        <w:t xml:space="preserve">was signed into law by Governor </w:t>
      </w:r>
      <w:r w:rsidR="001F1577">
        <w:t xml:space="preserve">Edmund Gerald </w:t>
      </w:r>
      <w:r w:rsidRPr="00F4516E">
        <w:t>Brown on October 7, 2013</w:t>
      </w:r>
      <w:r>
        <w:t>.</w:t>
      </w:r>
      <w:r w:rsidRPr="00E41834">
        <w:t xml:space="preserve"> </w:t>
      </w:r>
      <w:r w:rsidR="00843747">
        <w:t xml:space="preserve"> </w:t>
      </w:r>
      <w:r>
        <w:t>AB 327 was a multi-part bill affecting a number of the provision</w:t>
      </w:r>
      <w:r w:rsidR="00F43326">
        <w:t>s</w:t>
      </w:r>
      <w:r>
        <w:t xml:space="preserve"> of regulated utility service and the energy market, including Net Energy Metering, the Renewables Portfolio Standard, natural gas and electricity rates, and electricity resources.</w:t>
      </w:r>
      <w:r w:rsidR="00843747">
        <w:t xml:space="preserve"> </w:t>
      </w:r>
      <w:r w:rsidR="00552EB1">
        <w:t xml:space="preserve"> </w:t>
      </w:r>
      <w:r w:rsidR="008F5513">
        <w:t>P</w:t>
      </w:r>
      <w:r>
        <w:t>ursuant to AB 327</w:t>
      </w:r>
      <w:r w:rsidR="008F5513">
        <w:t xml:space="preserve">, Section 769 </w:t>
      </w:r>
      <w:r w:rsidR="00133A13">
        <w:t xml:space="preserve">required the </w:t>
      </w:r>
      <w:r w:rsidR="00C04F77">
        <w:t>Commission</w:t>
      </w:r>
      <w:r w:rsidR="00133A13">
        <w:t xml:space="preserve"> to open </w:t>
      </w:r>
      <w:r>
        <w:t>the DRP proceeding.</w:t>
      </w:r>
      <w:r>
        <w:rPr>
          <w:rStyle w:val="FootnoteReference"/>
        </w:rPr>
        <w:footnoteReference w:id="6"/>
      </w:r>
      <w:r>
        <w:t xml:space="preserve"> </w:t>
      </w:r>
      <w:r w:rsidR="00843747">
        <w:t xml:space="preserve"> </w:t>
      </w:r>
      <w:r w:rsidR="00283A90">
        <w:t>Section 769 set forth dire</w:t>
      </w:r>
      <w:r w:rsidR="00B070A4">
        <w:t>ctive</w:t>
      </w:r>
      <w:r w:rsidR="00D75785">
        <w:t xml:space="preserve">s </w:t>
      </w:r>
      <w:r w:rsidR="00B070A4">
        <w:t xml:space="preserve">regarding </w:t>
      </w:r>
      <w:r>
        <w:t xml:space="preserve">the integration of DERs into investor-owned utility (IOU) electric distribution planning and </w:t>
      </w:r>
      <w:r w:rsidR="00EE5CE1">
        <w:t xml:space="preserve">a mandate for </w:t>
      </w:r>
      <w:r>
        <w:t xml:space="preserve">the </w:t>
      </w:r>
      <w:r w:rsidR="00C04F77">
        <w:t>Commission</w:t>
      </w:r>
      <w:r w:rsidR="00B253E9">
        <w:t xml:space="preserve"> </w:t>
      </w:r>
      <w:r>
        <w:t xml:space="preserve">to review, modify, and approve IOU </w:t>
      </w:r>
      <w:r w:rsidR="5C9B55EC">
        <w:t>distribution resources plans</w:t>
      </w:r>
      <w:r>
        <w:t xml:space="preserve">.  </w:t>
      </w:r>
    </w:p>
    <w:p w:rsidR="001A27E5" w:rsidP="001A27E5" w:rsidRDefault="001A27E5" w14:paraId="6A1D6BA2" w14:textId="0F9CEF24">
      <w:pPr>
        <w:pStyle w:val="Standard"/>
      </w:pPr>
      <w:r>
        <w:t xml:space="preserve">The IDER </w:t>
      </w:r>
      <w:r w:rsidR="00B36B3F">
        <w:t xml:space="preserve">proceeding </w:t>
      </w:r>
      <w:r>
        <w:t>was opened</w:t>
      </w:r>
      <w:r w:rsidR="003A6100">
        <w:t xml:space="preserve"> in response to AB 327</w:t>
      </w:r>
      <w:r w:rsidR="000B79A6">
        <w:t>, specifically,</w:t>
      </w:r>
      <w:r w:rsidR="003A6100">
        <w:t xml:space="preserve"> </w:t>
      </w:r>
      <w:r w:rsidR="000659BF">
        <w:t>S</w:t>
      </w:r>
      <w:r w:rsidRPr="000A3C39">
        <w:t xml:space="preserve">ections 454.5(b)(9)(c), 701.1(a), </w:t>
      </w:r>
      <w:r w:rsidR="00407CD6">
        <w:t xml:space="preserve">and </w:t>
      </w:r>
      <w:r w:rsidRPr="000A3C39">
        <w:t>769, 8360(c-i)</w:t>
      </w:r>
      <w:r w:rsidR="000B442C">
        <w:t>,</w:t>
      </w:r>
      <w:r>
        <w:t xml:space="preserve"> to prioritize the procurement of all available cost-effective, reliable, and feasible demand reduction and energy efficiency resources before procuring traditional generation resources.</w:t>
      </w:r>
      <w:r>
        <w:rPr>
          <w:rStyle w:val="FootnoteReference"/>
        </w:rPr>
        <w:footnoteReference w:id="7"/>
      </w:r>
      <w:r>
        <w:t xml:space="preserve"> </w:t>
      </w:r>
      <w:r w:rsidR="00054FEC">
        <w:t>Subsequently</w:t>
      </w:r>
      <w:r>
        <w:t xml:space="preserve">, the IDER proceeding scope expanded pursuant to </w:t>
      </w:r>
      <w:r w:rsidRPr="00B23467">
        <w:t>Decision (D.)</w:t>
      </w:r>
      <w:r w:rsidR="00843747">
        <w:t> </w:t>
      </w:r>
      <w:r w:rsidRPr="00B23467">
        <w:t>15-09-022</w:t>
      </w:r>
      <w:r w:rsidR="00D46889">
        <w:t xml:space="preserve"> and</w:t>
      </w:r>
      <w:r>
        <w:t xml:space="preserve"> </w:t>
      </w:r>
      <w:r w:rsidR="000659BF">
        <w:t>S</w:t>
      </w:r>
      <w:r w:rsidRPr="00634A49">
        <w:t>ection</w:t>
      </w:r>
      <w:r>
        <w:t>s</w:t>
      </w:r>
      <w:r w:rsidRPr="00634A49">
        <w:t xml:space="preserve"> 769(b)(2) and 769(b)(3)</w:t>
      </w:r>
      <w:r w:rsidR="00240739">
        <w:t xml:space="preserve"> to address</w:t>
      </w:r>
      <w:r>
        <w:t xml:space="preserve"> tariffs, contracts, or other mechanisms for procuring cost-effective DERs and coordinating with various </w:t>
      </w:r>
      <w:r w:rsidR="00C04F77">
        <w:t>Commission</w:t>
      </w:r>
      <w:r w:rsidR="00145E49">
        <w:t xml:space="preserve"> </w:t>
      </w:r>
      <w:r>
        <w:t>approved programs, incentives, and tariffs to maximize locational benefits and minimize incremental costs of DERs.</w:t>
      </w:r>
    </w:p>
    <w:p w:rsidRPr="00F4516E" w:rsidR="00F7276C" w:rsidP="00843747" w:rsidRDefault="24CEF007" w14:paraId="1D36DC61" w14:textId="54ADB4EB">
      <w:pPr>
        <w:pStyle w:val="Heading2"/>
      </w:pPr>
      <w:bookmarkStart w:name="_Toc71038940" w:id="6"/>
      <w:r w:rsidRPr="00843747">
        <w:lastRenderedPageBreak/>
        <w:t>Procedural</w:t>
      </w:r>
      <w:r>
        <w:t xml:space="preserve"> Background</w:t>
      </w:r>
      <w:r w:rsidR="74D19B9D">
        <w:t xml:space="preserve"> and Summary of </w:t>
      </w:r>
      <w:r w:rsidR="0087CA37">
        <w:t>Accomplishments</w:t>
      </w:r>
      <w:bookmarkEnd w:id="6"/>
    </w:p>
    <w:p w:rsidR="002C10BC" w:rsidP="002C10BC" w:rsidRDefault="002C10BC" w14:paraId="3AA85713" w14:textId="091C4068">
      <w:pPr>
        <w:pStyle w:val="Standard"/>
      </w:pPr>
      <w:r>
        <w:t>In general, the DRP</w:t>
      </w:r>
      <w:r w:rsidR="00816040">
        <w:t xml:space="preserve"> proceeding</w:t>
      </w:r>
      <w:r>
        <w:t xml:space="preserve"> focused on distribution planning and the development of tools to facilitate DER integration, and the IDER </w:t>
      </w:r>
      <w:r w:rsidR="00A06194">
        <w:t xml:space="preserve">proceeding </w:t>
      </w:r>
      <w:r>
        <w:t>focused on DER sourcing mechanisms.</w:t>
      </w:r>
      <w:r w:rsidR="00D21216">
        <w:rPr>
          <w:rStyle w:val="FootnoteReference"/>
        </w:rPr>
        <w:footnoteReference w:id="8"/>
      </w:r>
      <w:r w:rsidR="0093443B">
        <w:t xml:space="preserve"> </w:t>
      </w:r>
      <w:r w:rsidR="00AE078E">
        <w:t xml:space="preserve"> </w:t>
      </w:r>
      <w:r w:rsidRPr="0093443B" w:rsidR="0093443B">
        <w:t>DER sourcing mechanisms refers to Section 769(b)(2), which requires utilities to “propose or identify standard tariffs, contracts, or other mechanisms for the deployment of cost-effective distributed resources that satisfy distribution planning objectives.”</w:t>
      </w:r>
    </w:p>
    <w:p w:rsidR="00B61E45" w:rsidP="00DC505B" w:rsidRDefault="00DC505B" w14:paraId="1F32075F" w14:textId="0053A689">
      <w:pPr>
        <w:pStyle w:val="Standard"/>
      </w:pPr>
      <w:r>
        <w:t>The DRP proceeding established three goals:</w:t>
      </w:r>
      <w:r w:rsidR="00AE078E">
        <w:t xml:space="preserve"> </w:t>
      </w:r>
      <w:r>
        <w:t xml:space="preserve"> (1) modernize the electric distribution system to accommodate two-way flows of energy and energy services throughout the IOUs’ networks; </w:t>
      </w:r>
      <w:r w:rsidR="00AE078E">
        <w:t xml:space="preserve"> </w:t>
      </w:r>
      <w:r>
        <w:t>(2) enable customer choice of new technologies and services that reduce emissions and improve reliability in a cost</w:t>
      </w:r>
      <w:r w:rsidR="00AE078E">
        <w:noBreakHyphen/>
      </w:r>
      <w:r>
        <w:t xml:space="preserve">efficient manner; </w:t>
      </w:r>
      <w:r w:rsidR="00AE078E">
        <w:t xml:space="preserve"> </w:t>
      </w:r>
      <w:r>
        <w:t>and (3) animate opportunities for DERs to realize benefits through the provision of grid services.</w:t>
      </w:r>
      <w:r>
        <w:rPr>
          <w:rStyle w:val="FootnoteReference"/>
        </w:rPr>
        <w:footnoteReference w:id="9"/>
      </w:r>
      <w:r>
        <w:t xml:space="preserve"> </w:t>
      </w:r>
    </w:p>
    <w:p w:rsidR="00DC505B" w:rsidP="003D2720" w:rsidRDefault="00DC505B" w14:paraId="5DB5F666" w14:textId="60C758B6">
      <w:pPr>
        <w:pStyle w:val="Standard"/>
        <w:rPr>
          <w:rStyle w:val="FootnoteReference"/>
        </w:rPr>
      </w:pPr>
      <w:r>
        <w:t xml:space="preserve">The IDER proceeding </w:t>
      </w:r>
      <w:r w:rsidR="00A46C0A">
        <w:t xml:space="preserve">adopted a Competitive Solicitation Framework that is </w:t>
      </w:r>
      <w:r w:rsidR="001C068A">
        <w:t>used</w:t>
      </w:r>
      <w:r w:rsidR="005E56DA">
        <w:t xml:space="preserve"> by the </w:t>
      </w:r>
      <w:r w:rsidR="00B87F5D">
        <w:t xml:space="preserve">DRP’s </w:t>
      </w:r>
      <w:r w:rsidRPr="001C068A" w:rsidR="001C068A">
        <w:t xml:space="preserve">Distribution Investment Deferral Framework </w:t>
      </w:r>
      <w:r w:rsidR="001C068A">
        <w:t>(DIDF)</w:t>
      </w:r>
      <w:r w:rsidR="00B87F5D">
        <w:t xml:space="preserve"> to procure DERs to defer </w:t>
      </w:r>
      <w:r w:rsidR="00440C1F">
        <w:t xml:space="preserve">traditional </w:t>
      </w:r>
      <w:r w:rsidR="008C3D2F">
        <w:t>investments</w:t>
      </w:r>
      <w:r w:rsidR="008B0EB5">
        <w:t xml:space="preserve"> planned by the IOUs</w:t>
      </w:r>
      <w:r w:rsidR="00440C1F">
        <w:t xml:space="preserve"> to address grid needs</w:t>
      </w:r>
      <w:r w:rsidR="008C3D2F">
        <w:t>.</w:t>
      </w:r>
      <w:r w:rsidR="0077017C">
        <w:t xml:space="preserve"> </w:t>
      </w:r>
      <w:r w:rsidR="00AE078E">
        <w:t xml:space="preserve"> </w:t>
      </w:r>
      <w:r w:rsidR="003D2720">
        <w:t>F</w:t>
      </w:r>
      <w:r>
        <w:t xml:space="preserve">our distribution grid services </w:t>
      </w:r>
      <w:r w:rsidR="003B4B8F">
        <w:t xml:space="preserve">were identified that could </w:t>
      </w:r>
      <w:r>
        <w:t>be provided by DERs instead of traditional infrastructure: capacity, voltage support, reliability, and resiliency.</w:t>
      </w:r>
      <w:r w:rsidRPr="4972414C">
        <w:rPr>
          <w:vertAlign w:val="superscript"/>
        </w:rPr>
        <w:footnoteReference w:id="10"/>
      </w:r>
      <w:r w:rsidR="00AE078E">
        <w:t xml:space="preserve">  </w:t>
      </w:r>
      <w:r w:rsidR="009340CD">
        <w:t xml:space="preserve">As part of the DRP, </w:t>
      </w:r>
      <w:r w:rsidR="000D46FB">
        <w:t xml:space="preserve">IOU Distribution Planning </w:t>
      </w:r>
      <w:r w:rsidR="000D46FB">
        <w:lastRenderedPageBreak/>
        <w:t>Processes</w:t>
      </w:r>
      <w:r w:rsidR="000F7CD8">
        <w:t xml:space="preserve"> (DPPs)</w:t>
      </w:r>
      <w:r w:rsidR="000D46FB">
        <w:t xml:space="preserve"> were </w:t>
      </w:r>
      <w:r w:rsidR="00DB39F1">
        <w:t xml:space="preserve">adjusted </w:t>
      </w:r>
      <w:r w:rsidR="00732A1F">
        <w:t xml:space="preserve">such that they could be </w:t>
      </w:r>
      <w:r w:rsidR="000D46FB">
        <w:t xml:space="preserve">aligned with the </w:t>
      </w:r>
      <w:r w:rsidR="006D757B">
        <w:t xml:space="preserve">new </w:t>
      </w:r>
      <w:r w:rsidR="000D46FB">
        <w:t>DIDF</w:t>
      </w:r>
      <w:r w:rsidR="006D757B">
        <w:t xml:space="preserve"> process</w:t>
      </w:r>
      <w:r w:rsidR="00732A1F">
        <w:t>.</w:t>
      </w:r>
    </w:p>
    <w:p w:rsidRPr="001E323E" w:rsidR="00DC505B" w:rsidP="00DC505B" w:rsidRDefault="00DC505B" w14:paraId="28BA961A" w14:textId="13E9FBD7">
      <w:pPr>
        <w:pStyle w:val="Standard"/>
      </w:pPr>
      <w:r>
        <w:t xml:space="preserve">The DRP proceeding established four key principles: </w:t>
      </w:r>
      <w:r w:rsidR="00191A11">
        <w:t xml:space="preserve"> </w:t>
      </w:r>
      <w:r>
        <w:t xml:space="preserve">(1) start with a comprehensive, scenario-driven, multi-stakeholder planning process that standardizes methodologies </w:t>
      </w:r>
      <w:r w:rsidR="00F77F64">
        <w:t xml:space="preserve">and data </w:t>
      </w:r>
      <w:r w:rsidR="00996834">
        <w:t xml:space="preserve">requirements </w:t>
      </w:r>
      <w:r>
        <w:t xml:space="preserve">to </w:t>
      </w:r>
      <w:r w:rsidR="00197016">
        <w:t>identify</w:t>
      </w:r>
      <w:r>
        <w:t xml:space="preserve"> locational benefits and costs; </w:t>
      </w:r>
      <w:r w:rsidR="00191A11">
        <w:t xml:space="preserve"> </w:t>
      </w:r>
      <w:r>
        <w:t>(2) move the distribution system towards an open, flexible, and node</w:t>
      </w:r>
      <w:r w:rsidR="00191A11">
        <w:noBreakHyphen/>
      </w:r>
      <w:r>
        <w:t>friendly network (rather than centralized and linear) that enables seamless DER integration;</w:t>
      </w:r>
      <w:r w:rsidR="00191A11">
        <w:t xml:space="preserve"> </w:t>
      </w:r>
      <w:r>
        <w:t xml:space="preserve"> (3) California’s electric </w:t>
      </w:r>
      <w:r w:rsidRPr="00BA4E3E">
        <w:t>distribution system operator</w:t>
      </w:r>
      <w:r>
        <w:t>s</w:t>
      </w:r>
      <w:r w:rsidRPr="00BA4E3E">
        <w:t xml:space="preserve"> (DSO</w:t>
      </w:r>
      <w:r>
        <w:t>s</w:t>
      </w:r>
      <w:r w:rsidRPr="00BA4E3E">
        <w:t xml:space="preserve">) </w:t>
      </w:r>
      <w:r>
        <w:t>should act as a technology-neutral marketplace to coordinate situational awareness and facilitate information exchange while avoiding conflicts of interest;</w:t>
      </w:r>
      <w:r w:rsidR="00191A11">
        <w:t xml:space="preserve"> </w:t>
      </w:r>
      <w:r>
        <w:t xml:space="preserve"> (4) expedite DER participation in wholesale markets and resource adequacy (RA), unbundle </w:t>
      </w:r>
      <w:r w:rsidRPr="001E323E">
        <w:t>distribution grid operations, create a transparent process to monetize DER services, and reduce unnecessary barriers for DER integration.</w:t>
      </w:r>
      <w:r w:rsidRPr="001E323E">
        <w:rPr>
          <w:rStyle w:val="FootnoteReference"/>
        </w:rPr>
        <w:footnoteReference w:id="11"/>
      </w:r>
    </w:p>
    <w:p w:rsidR="00A648BE" w:rsidP="00A648BE" w:rsidRDefault="00265769" w14:paraId="04A70945" w14:textId="126F17AA">
      <w:pPr>
        <w:pStyle w:val="Standard"/>
      </w:pPr>
      <w:r>
        <w:t xml:space="preserve">On May 3, 2017, </w:t>
      </w:r>
      <w:r w:rsidR="002C10BC">
        <w:t xml:space="preserve">the </w:t>
      </w:r>
      <w:r w:rsidR="00C04F77">
        <w:t xml:space="preserve">Commission </w:t>
      </w:r>
      <w:r w:rsidR="002C10BC">
        <w:t xml:space="preserve">issued the document, </w:t>
      </w:r>
      <w:r w:rsidRPr="28FDCEEB" w:rsidR="002C10BC">
        <w:rPr>
          <w:i/>
          <w:iCs/>
        </w:rPr>
        <w:t>California’s Distributed Energy Resources Action Plan: Aligning Vision and Action</w:t>
      </w:r>
      <w:r w:rsidR="002C10BC">
        <w:t xml:space="preserve"> (</w:t>
      </w:r>
      <w:r w:rsidR="007626BF">
        <w:t>DER Action Plan</w:t>
      </w:r>
      <w:r>
        <w:t>)</w:t>
      </w:r>
      <w:r w:rsidR="002C10BC">
        <w:t xml:space="preserve">. </w:t>
      </w:r>
      <w:r w:rsidR="00191A11">
        <w:t xml:space="preserve"> </w:t>
      </w:r>
      <w:r w:rsidR="002C10BC">
        <w:t xml:space="preserve">It established vision and action elements </w:t>
      </w:r>
      <w:r w:rsidR="00097BE8">
        <w:t>that were</w:t>
      </w:r>
      <w:r w:rsidR="002C10BC">
        <w:t xml:space="preserve"> scoped into the DRP and IDER proceedings. </w:t>
      </w:r>
    </w:p>
    <w:p w:rsidR="00B1554D" w:rsidP="00A648BE" w:rsidRDefault="00EC3771" w14:paraId="20665E9A" w14:textId="77D20F95">
      <w:pPr>
        <w:pStyle w:val="Standard"/>
      </w:pPr>
      <w:r>
        <w:t>Since 2014</w:t>
      </w:r>
      <w:r w:rsidR="00A648BE">
        <w:t>,</w:t>
      </w:r>
      <w:r>
        <w:t xml:space="preserve"> the </w:t>
      </w:r>
      <w:r w:rsidR="00370DBA">
        <w:t>DRP and IDER proceeding</w:t>
      </w:r>
      <w:r>
        <w:t>s</w:t>
      </w:r>
      <w:r w:rsidR="00A648BE">
        <w:t>:</w:t>
      </w:r>
      <w:r w:rsidR="00370DBA">
        <w:t xml:space="preserve"> </w:t>
      </w:r>
    </w:p>
    <w:p w:rsidR="00B1554D" w:rsidP="00191A11" w:rsidRDefault="00B1554D" w14:paraId="7D7542F2" w14:textId="50ACBA98">
      <w:pPr>
        <w:pStyle w:val="ListBullet"/>
      </w:pPr>
      <w:r>
        <w:t xml:space="preserve">Made </w:t>
      </w:r>
      <w:r w:rsidR="00AA3115">
        <w:t xml:space="preserve">aspects of the electric IOU </w:t>
      </w:r>
      <w:r w:rsidR="00A21447">
        <w:t>DPPs</w:t>
      </w:r>
      <w:r w:rsidR="007A0873">
        <w:t xml:space="preserve"> transparent</w:t>
      </w:r>
      <w:r w:rsidR="21CE6AD1">
        <w:t xml:space="preserve"> through </w:t>
      </w:r>
      <w:r w:rsidR="009A3603">
        <w:t>public filings</w:t>
      </w:r>
      <w:r w:rsidR="00043E12">
        <w:t xml:space="preserve"> required by the DIDF</w:t>
      </w:r>
      <w:r w:rsidR="00541279">
        <w:t>;</w:t>
      </w:r>
      <w:r w:rsidR="00AA3115">
        <w:rPr>
          <w:rStyle w:val="FootnoteReference"/>
        </w:rPr>
        <w:footnoteReference w:id="12"/>
      </w:r>
      <w:r w:rsidR="00AA3115">
        <w:t xml:space="preserve"> </w:t>
      </w:r>
    </w:p>
    <w:p w:rsidR="00B1554D" w:rsidP="00191A11" w:rsidRDefault="00B1554D" w14:paraId="5A0C8390" w14:textId="451DAE3F">
      <w:pPr>
        <w:pStyle w:val="ListBullet"/>
      </w:pPr>
      <w:r>
        <w:t>A</w:t>
      </w:r>
      <w:r w:rsidR="00AB0642">
        <w:t>lign</w:t>
      </w:r>
      <w:r>
        <w:t>ed</w:t>
      </w:r>
      <w:r w:rsidR="00AB0642">
        <w:t xml:space="preserve"> IOU DPP</w:t>
      </w:r>
      <w:r w:rsidR="00A07655">
        <w:t xml:space="preserve"> timeframes </w:t>
      </w:r>
      <w:r w:rsidR="00AB0642">
        <w:t>with the DIDF</w:t>
      </w:r>
      <w:r w:rsidR="00541279">
        <w:t>;</w:t>
      </w:r>
      <w:r w:rsidR="00AB0642">
        <w:t xml:space="preserve"> </w:t>
      </w:r>
    </w:p>
    <w:p w:rsidR="00B1554D" w:rsidP="00191A11" w:rsidRDefault="00B1554D" w14:paraId="6D65C47B" w14:textId="4326388B">
      <w:pPr>
        <w:pStyle w:val="ListBullet"/>
      </w:pPr>
      <w:r>
        <w:lastRenderedPageBreak/>
        <w:t>I</w:t>
      </w:r>
      <w:r w:rsidR="00AA3115">
        <w:t>mplement</w:t>
      </w:r>
      <w:r>
        <w:t>ed</w:t>
      </w:r>
      <w:r w:rsidR="00AA3115">
        <w:t xml:space="preserve"> a </w:t>
      </w:r>
      <w:r w:rsidR="2D8DC926">
        <w:t xml:space="preserve">Request for Offers solicitation process to procure </w:t>
      </w:r>
      <w:r w:rsidR="2007DF26">
        <w:t>DER</w:t>
      </w:r>
      <w:r w:rsidR="3D55F799">
        <w:t>s</w:t>
      </w:r>
      <w:r w:rsidR="00AA3115">
        <w:t xml:space="preserve"> </w:t>
      </w:r>
      <w:r w:rsidR="46415F45">
        <w:t>that can</w:t>
      </w:r>
      <w:r w:rsidR="00AA3115">
        <w:t xml:space="preserve"> defer grid investments</w:t>
      </w:r>
      <w:r w:rsidR="00541279">
        <w:t>;</w:t>
      </w:r>
      <w:r w:rsidR="00AA3115">
        <w:rPr>
          <w:rStyle w:val="FootnoteReference"/>
        </w:rPr>
        <w:footnoteReference w:id="13"/>
      </w:r>
      <w:r w:rsidR="00AA3115">
        <w:t xml:space="preserve"> </w:t>
      </w:r>
    </w:p>
    <w:p w:rsidR="00B1554D" w:rsidP="00191A11" w:rsidRDefault="00B1554D" w14:paraId="61F336EF" w14:textId="2B78E5F7">
      <w:pPr>
        <w:pStyle w:val="ListBullet"/>
      </w:pPr>
      <w:r>
        <w:t>Made</w:t>
      </w:r>
      <w:r w:rsidR="00277D85">
        <w:t xml:space="preserve"> </w:t>
      </w:r>
      <w:r w:rsidR="00A5663F">
        <w:t xml:space="preserve">significant </w:t>
      </w:r>
      <w:r w:rsidR="00277D85">
        <w:t xml:space="preserve">progress on </w:t>
      </w:r>
      <w:r w:rsidR="00AA3115">
        <w:t xml:space="preserve">an alternate DER procurement process using </w:t>
      </w:r>
      <w:r w:rsidR="00F77588">
        <w:t>tariffs</w:t>
      </w:r>
      <w:r w:rsidR="00541279">
        <w:t>;</w:t>
      </w:r>
      <w:bookmarkStart w:name="_Hlk67498579" w:id="7"/>
      <w:r w:rsidR="00F77588">
        <w:rPr>
          <w:rStyle w:val="FootnoteReference"/>
        </w:rPr>
        <w:footnoteReference w:id="14"/>
      </w:r>
      <w:bookmarkEnd w:id="7"/>
      <w:r w:rsidR="00F77588">
        <w:t xml:space="preserve"> </w:t>
      </w:r>
    </w:p>
    <w:p w:rsidR="00B1554D" w:rsidP="00191A11" w:rsidRDefault="00B1554D" w14:paraId="7A3EC13F" w14:textId="1FAD333F">
      <w:pPr>
        <w:pStyle w:val="ListBullet"/>
      </w:pPr>
      <w:r>
        <w:t>Developed</w:t>
      </w:r>
      <w:r w:rsidR="00AA3115">
        <w:t xml:space="preserve"> </w:t>
      </w:r>
      <w:r w:rsidR="0FB27963">
        <w:t>ICA and locational net-benefit anal</w:t>
      </w:r>
      <w:r w:rsidR="1B7741E7">
        <w:t xml:space="preserve">ysis (LNBA) </w:t>
      </w:r>
      <w:r w:rsidR="00AA3115">
        <w:t xml:space="preserve">tools </w:t>
      </w:r>
      <w:r w:rsidR="00FB1B95">
        <w:t xml:space="preserve">with sufficient data </w:t>
      </w:r>
      <w:r w:rsidR="00DB37BE">
        <w:t>provided on the DRP Data Portals</w:t>
      </w:r>
      <w:r w:rsidR="00DB37BE">
        <w:rPr>
          <w:rStyle w:val="FootnoteReference"/>
        </w:rPr>
        <w:footnoteReference w:id="15"/>
      </w:r>
      <w:r w:rsidR="00DB37BE">
        <w:t xml:space="preserve"> </w:t>
      </w:r>
      <w:r w:rsidR="00AA3115">
        <w:t xml:space="preserve">to facilitate </w:t>
      </w:r>
      <w:r w:rsidR="00BC59FD">
        <w:t xml:space="preserve">third-party </w:t>
      </w:r>
      <w:r w:rsidR="00AA3115">
        <w:t xml:space="preserve">DER </w:t>
      </w:r>
      <w:r w:rsidR="0EBEF7B6">
        <w:t>siting and</w:t>
      </w:r>
      <w:r w:rsidR="00AA3115">
        <w:t xml:space="preserve"> planning</w:t>
      </w:r>
      <w:r w:rsidR="00541279">
        <w:t>;</w:t>
      </w:r>
      <w:r w:rsidR="00AA3115">
        <w:rPr>
          <w:rStyle w:val="FootnoteReference"/>
        </w:rPr>
        <w:footnoteReference w:id="16"/>
      </w:r>
      <w:r w:rsidR="00AA3115">
        <w:t xml:space="preserve"> </w:t>
      </w:r>
    </w:p>
    <w:p w:rsidR="00B1554D" w:rsidP="00191A11" w:rsidRDefault="00B1554D" w14:paraId="178605AC" w14:textId="586B949C">
      <w:pPr>
        <w:pStyle w:val="ListBullet"/>
      </w:pPr>
      <w:r>
        <w:t>Addressed</w:t>
      </w:r>
      <w:r w:rsidR="00AA3115">
        <w:t xml:space="preserve"> confidentiality concerns such that the IOU distribution planning filings could be made public with minimal exceptions and DER siting tools could be hosted on public DRP Data Portals</w:t>
      </w:r>
      <w:r w:rsidR="00541279">
        <w:t>;</w:t>
      </w:r>
      <w:r w:rsidR="00AA3115">
        <w:t xml:space="preserve"> </w:t>
      </w:r>
    </w:p>
    <w:p w:rsidR="00B1554D" w:rsidP="00191A11" w:rsidRDefault="00B1554D" w14:paraId="4341104A" w14:textId="66312E4C">
      <w:pPr>
        <w:pStyle w:val="ListBullet"/>
      </w:pPr>
      <w:r>
        <w:t>Adopted an</w:t>
      </w:r>
      <w:r w:rsidR="00AA3115">
        <w:t xml:space="preserve"> ICA methodology </w:t>
      </w:r>
      <w:r>
        <w:t xml:space="preserve">that </w:t>
      </w:r>
      <w:r w:rsidR="00AA3115">
        <w:t>is in use for streamlining Rule 21 interconnection</w:t>
      </w:r>
      <w:r w:rsidR="00A93F34">
        <w:t xml:space="preserve">; </w:t>
      </w:r>
      <w:r w:rsidR="00E675B3">
        <w:t>and</w:t>
      </w:r>
    </w:p>
    <w:p w:rsidR="00AA3115" w:rsidP="00191A11" w:rsidRDefault="00E675B3" w14:paraId="4BFA8567" w14:textId="07C5F95C">
      <w:pPr>
        <w:pStyle w:val="ListBullet"/>
      </w:pPr>
      <w:r>
        <w:t xml:space="preserve">Ensured </w:t>
      </w:r>
      <w:r w:rsidR="00A93F34">
        <w:t xml:space="preserve">IOU </w:t>
      </w:r>
      <w:r w:rsidRPr="00087034" w:rsidR="00A93F34">
        <w:t xml:space="preserve">General Rate Case </w:t>
      </w:r>
      <w:r w:rsidR="00A93F34">
        <w:t xml:space="preserve">(GRC) filings </w:t>
      </w:r>
      <w:r>
        <w:t xml:space="preserve">address </w:t>
      </w:r>
      <w:r w:rsidR="00AA3115">
        <w:t>the technologies and grid upgrades necessary to integrate DERs in accordance with a Grid Modernization Framework.</w:t>
      </w:r>
      <w:r w:rsidR="00AA3115">
        <w:rPr>
          <w:rStyle w:val="FootnoteReference"/>
        </w:rPr>
        <w:footnoteReference w:id="17"/>
      </w:r>
    </w:p>
    <w:p w:rsidR="00EC3771" w:rsidP="00EC3771" w:rsidRDefault="00EC3771" w14:paraId="72B1A059" w14:textId="65CFDA78">
      <w:pPr>
        <w:pStyle w:val="Standard"/>
      </w:pPr>
      <w:r>
        <w:t xml:space="preserve">The </w:t>
      </w:r>
      <w:r w:rsidR="00B1554D">
        <w:t>2017</w:t>
      </w:r>
      <w:r w:rsidR="007D4E97">
        <w:t xml:space="preserve"> DER</w:t>
      </w:r>
      <w:r w:rsidR="00B1554D">
        <w:t xml:space="preserve"> </w:t>
      </w:r>
      <w:r>
        <w:t xml:space="preserve">Action Plan </w:t>
      </w:r>
      <w:r w:rsidR="009E1233">
        <w:t>included additional elements</w:t>
      </w:r>
      <w:r w:rsidR="00C03689">
        <w:t xml:space="preserve"> </w:t>
      </w:r>
      <w:r w:rsidR="009E1233">
        <w:t xml:space="preserve">that </w:t>
      </w:r>
      <w:r w:rsidR="00507FD3">
        <w:t xml:space="preserve">have not been </w:t>
      </w:r>
      <w:r w:rsidR="00265769">
        <w:t xml:space="preserve">fully </w:t>
      </w:r>
      <w:r w:rsidR="009C4488">
        <w:t>resolved</w:t>
      </w:r>
      <w:r w:rsidR="00265769">
        <w:t xml:space="preserve"> and may be included in the scope of the </w:t>
      </w:r>
      <w:r w:rsidRPr="00531969" w:rsidR="00531969">
        <w:t>Order Instituting Rulemaking</w:t>
      </w:r>
      <w:r w:rsidR="00531969">
        <w:t xml:space="preserve"> (</w:t>
      </w:r>
      <w:r w:rsidR="00265769">
        <w:t>OIR</w:t>
      </w:r>
      <w:r w:rsidR="00531969">
        <w:t>)</w:t>
      </w:r>
      <w:r w:rsidR="00265769">
        <w:t>, such as</w:t>
      </w:r>
      <w:r>
        <w:t>:</w:t>
      </w:r>
    </w:p>
    <w:p w:rsidR="00EC3771" w:rsidP="00AE078E" w:rsidRDefault="00EC3771" w14:paraId="23615C9C" w14:textId="616F8104">
      <w:pPr>
        <w:pStyle w:val="ListBullet"/>
      </w:pPr>
      <w:r>
        <w:lastRenderedPageBreak/>
        <w:t>ICA and LNBA tools and DRP data portal development;</w:t>
      </w:r>
    </w:p>
    <w:p w:rsidR="00EC3771" w:rsidP="00AE078E" w:rsidRDefault="00EC3771" w14:paraId="692AA443" w14:textId="77777777">
      <w:pPr>
        <w:pStyle w:val="ListBullet"/>
      </w:pPr>
      <w:r>
        <w:t>DER growth forecasting;</w:t>
      </w:r>
    </w:p>
    <w:p w:rsidR="00EC3771" w:rsidP="00AE078E" w:rsidRDefault="00EC3771" w14:paraId="23EC8525" w14:textId="77777777">
      <w:pPr>
        <w:pStyle w:val="ListBullet"/>
      </w:pPr>
      <w:r>
        <w:t>Distribution grid planning, especially with respect to DER hosting capacity;</w:t>
      </w:r>
    </w:p>
    <w:p w:rsidR="00EC3771" w:rsidP="00AE078E" w:rsidRDefault="00EC3771" w14:paraId="43BC9802" w14:textId="491EB104">
      <w:pPr>
        <w:pStyle w:val="ListBullet"/>
      </w:pPr>
      <w:r>
        <w:t>DIDF and DER sourcing mechanisms for the deferral of traditional infrastructure (e.g., requests for offers and tariffs);</w:t>
      </w:r>
    </w:p>
    <w:p w:rsidR="00EC3771" w:rsidP="00AE078E" w:rsidRDefault="00EC3771" w14:paraId="35206E14" w14:textId="77777777">
      <w:pPr>
        <w:pStyle w:val="ListBullet"/>
      </w:pPr>
      <w:r>
        <w:t>Ongoing innovation and demonstration activities;</w:t>
      </w:r>
    </w:p>
    <w:p w:rsidR="00EC3771" w:rsidP="00AE078E" w:rsidRDefault="00EC3771" w14:paraId="382BB794" w14:textId="704A60AD">
      <w:pPr>
        <w:pStyle w:val="ListBullet"/>
      </w:pPr>
      <w:r>
        <w:t xml:space="preserve">Grid modernization framework to accommodate </w:t>
      </w:r>
      <w:r w:rsidR="00AD2287">
        <w:t xml:space="preserve">increasing </w:t>
      </w:r>
      <w:r w:rsidR="00C132D8">
        <w:t xml:space="preserve">numbers of </w:t>
      </w:r>
      <w:r>
        <w:t>DER</w:t>
      </w:r>
      <w:r w:rsidR="00C132D8">
        <w:t>s</w:t>
      </w:r>
      <w:r>
        <w:t>;</w:t>
      </w:r>
    </w:p>
    <w:p w:rsidR="00EC3771" w:rsidP="00AE078E" w:rsidRDefault="00EC3771" w14:paraId="002E7918" w14:textId="77777777">
      <w:pPr>
        <w:pStyle w:val="ListBullet"/>
      </w:pPr>
      <w:r>
        <w:t>Advanced smart inverter functionality for dispatch to provide grid services;</w:t>
      </w:r>
    </w:p>
    <w:p w:rsidR="00EC3771" w:rsidP="00AE078E" w:rsidRDefault="00EC3771" w14:paraId="11E83668" w14:textId="77777777">
      <w:pPr>
        <w:pStyle w:val="ListBullet"/>
        <w:rPr>
          <w:rFonts w:asciiTheme="minorHAnsi" w:hAnsiTheme="minorHAnsi" w:eastAsiaTheme="minorEastAsia"/>
          <w:szCs w:val="26"/>
        </w:rPr>
      </w:pPr>
      <w:proofErr w:type="gramStart"/>
      <w:r>
        <w:t>IOU’s</w:t>
      </w:r>
      <w:proofErr w:type="gramEnd"/>
      <w:r>
        <w:t xml:space="preserve"> incorporate into distribution planning the consideration of DER solutions as well as </w:t>
      </w:r>
      <w:r w:rsidRPr="00B12BEE">
        <w:t>traditional solutions</w:t>
      </w:r>
      <w:r>
        <w:t>;</w:t>
      </w:r>
    </w:p>
    <w:p w:rsidR="00EC3771" w:rsidP="00AE078E" w:rsidRDefault="00EC3771" w14:paraId="147BFF77" w14:textId="77777777">
      <w:pPr>
        <w:pStyle w:val="ListBullet"/>
      </w:pPr>
      <w:r>
        <w:t>IOU incentives to support DER integration; and</w:t>
      </w:r>
    </w:p>
    <w:p w:rsidR="00EC3771" w:rsidP="00AE078E" w:rsidRDefault="00EC3771" w14:paraId="7404253E" w14:textId="77777777">
      <w:pPr>
        <w:pStyle w:val="ListBullet"/>
      </w:pPr>
      <w:r>
        <w:t>Utility and affiliate ownership of DERs.</w:t>
      </w:r>
    </w:p>
    <w:p w:rsidR="00C84133" w:rsidP="00370B66" w:rsidRDefault="00F12F8C" w14:paraId="72F49B17" w14:textId="5C900FF0">
      <w:pPr>
        <w:pStyle w:val="Standard"/>
      </w:pPr>
      <w:r>
        <w:t xml:space="preserve">Unresolved </w:t>
      </w:r>
      <w:r w:rsidR="00C55C1A">
        <w:t xml:space="preserve">and ongoing </w:t>
      </w:r>
      <w:r w:rsidR="00370B66">
        <w:t>DRP and IDER proceeding</w:t>
      </w:r>
      <w:r>
        <w:t xml:space="preserve"> issues </w:t>
      </w:r>
      <w:r w:rsidR="00C84133">
        <w:t xml:space="preserve">are </w:t>
      </w:r>
      <w:r w:rsidR="2A9E8510">
        <w:t>discussed</w:t>
      </w:r>
      <w:r w:rsidR="00C84133">
        <w:t xml:space="preserve"> in Section </w:t>
      </w:r>
      <w:r w:rsidR="000D4CD9">
        <w:t>5</w:t>
      </w:r>
      <w:r w:rsidR="00C84133">
        <w:t>.1, below.</w:t>
      </w:r>
    </w:p>
    <w:p w:rsidR="00CF72BC" w:rsidP="00F0423B" w:rsidRDefault="00CF72BC" w14:paraId="0DDA32C1" w14:textId="1B151D30">
      <w:pPr>
        <w:pStyle w:val="Heading1"/>
      </w:pPr>
      <w:bookmarkStart w:name="_Toc71038941" w:id="8"/>
      <w:r>
        <w:t xml:space="preserve">DER </w:t>
      </w:r>
      <w:r w:rsidR="00BB6FBF">
        <w:t xml:space="preserve">Growth </w:t>
      </w:r>
      <w:r w:rsidR="00A76CC5">
        <w:t>Expectations</w:t>
      </w:r>
      <w:bookmarkEnd w:id="8"/>
    </w:p>
    <w:p w:rsidR="005C0A21" w:rsidP="00240F9D" w:rsidRDefault="004B734C" w14:paraId="0AD5F6A3" w14:textId="43B893EF">
      <w:pPr>
        <w:pStyle w:val="Standard"/>
      </w:pPr>
      <w:r>
        <w:t xml:space="preserve">In the United States, </w:t>
      </w:r>
      <w:r w:rsidRPr="00D04936">
        <w:t>DERs, including batter</w:t>
      </w:r>
      <w:r w:rsidRPr="00D04936" w:rsidR="33AAD099">
        <w:t>y</w:t>
      </w:r>
      <w:r w:rsidRPr="00D04936">
        <w:t xml:space="preserve"> storage, </w:t>
      </w:r>
      <w:r w:rsidR="00F45971">
        <w:t xml:space="preserve">customer-sited </w:t>
      </w:r>
      <w:r w:rsidRPr="00D04936">
        <w:t xml:space="preserve">solar, demand-side management, </w:t>
      </w:r>
      <w:r w:rsidR="00D53CF0">
        <w:t xml:space="preserve">and </w:t>
      </w:r>
      <w:r w:rsidR="00906614">
        <w:t xml:space="preserve">electric vehicle (EV) </w:t>
      </w:r>
      <w:r w:rsidRPr="00D04936">
        <w:t>infrastructure</w:t>
      </w:r>
      <w:r w:rsidR="00B336F4">
        <w:t xml:space="preserve"> </w:t>
      </w:r>
      <w:r w:rsidRPr="00D04936">
        <w:t xml:space="preserve">are on track to reach 387 GW </w:t>
      </w:r>
      <w:r w:rsidR="0092490A">
        <w:t xml:space="preserve">of </w:t>
      </w:r>
      <w:r w:rsidR="00617A11">
        <w:t xml:space="preserve">cumulative </w:t>
      </w:r>
      <w:r w:rsidR="00AD63FC">
        <w:t xml:space="preserve">installed </w:t>
      </w:r>
      <w:r w:rsidR="0092490A">
        <w:t xml:space="preserve">capacity </w:t>
      </w:r>
      <w:r w:rsidRPr="00D04936">
        <w:t>by 2025.</w:t>
      </w:r>
      <w:r w:rsidR="007A4A4D">
        <w:rPr>
          <w:rStyle w:val="FootnoteReference"/>
        </w:rPr>
        <w:footnoteReference w:id="18"/>
      </w:r>
      <w:r w:rsidRPr="00D04936">
        <w:t xml:space="preserve"> </w:t>
      </w:r>
      <w:r w:rsidRPr="00D04936" w:rsidR="00177E5C">
        <w:t xml:space="preserve">By comparison, </w:t>
      </w:r>
      <w:r w:rsidR="00B336F4">
        <w:t xml:space="preserve">the current </w:t>
      </w:r>
      <w:r w:rsidRPr="00D04936" w:rsidR="00177E5C">
        <w:t xml:space="preserve">combined coal and nuclear power capacity in the United States is substantially less at about 330 GW. </w:t>
      </w:r>
      <w:r w:rsidR="00F45971">
        <w:t>Customer-sited s</w:t>
      </w:r>
      <w:r w:rsidRPr="00D04936" w:rsidR="000A0C9D">
        <w:t>olar</w:t>
      </w:r>
      <w:r w:rsidR="000A0C9D">
        <w:t>, residential load-</w:t>
      </w:r>
      <w:r w:rsidRPr="00D04936" w:rsidR="000A0C9D">
        <w:t>management</w:t>
      </w:r>
      <w:r w:rsidR="00C621A2">
        <w:t xml:space="preserve"> potential</w:t>
      </w:r>
      <w:r w:rsidR="004567AC">
        <w:t xml:space="preserve">, </w:t>
      </w:r>
      <w:r w:rsidR="00DE5A62">
        <w:t xml:space="preserve">battery storage, </w:t>
      </w:r>
      <w:r w:rsidR="004567AC">
        <w:t xml:space="preserve">and </w:t>
      </w:r>
      <w:r w:rsidRPr="00D04936" w:rsidR="004567AC">
        <w:t>E</w:t>
      </w:r>
      <w:r w:rsidR="004567AC">
        <w:t>V</w:t>
      </w:r>
      <w:r w:rsidRPr="00D04936" w:rsidR="004567AC">
        <w:t xml:space="preserve"> infrastructure</w:t>
      </w:r>
      <w:r w:rsidR="004567AC">
        <w:t xml:space="preserve"> </w:t>
      </w:r>
      <w:r w:rsidR="00F101A8">
        <w:t>is expected to</w:t>
      </w:r>
      <w:r w:rsidRPr="00D04936" w:rsidR="00F101A8">
        <w:t xml:space="preserve"> </w:t>
      </w:r>
      <w:r w:rsidRPr="00D04936">
        <w:t xml:space="preserve">account for more than 90 percent </w:t>
      </w:r>
      <w:r>
        <w:t xml:space="preserve">of </w:t>
      </w:r>
      <w:r w:rsidRPr="00D04936">
        <w:t>DER</w:t>
      </w:r>
      <w:r w:rsidR="0042715C">
        <w:t xml:space="preserve"> capacity </w:t>
      </w:r>
      <w:r w:rsidRPr="00D04936">
        <w:t xml:space="preserve">installed </w:t>
      </w:r>
      <w:r w:rsidR="00FC15EA">
        <w:t>through</w:t>
      </w:r>
      <w:r w:rsidRPr="00D04936">
        <w:t xml:space="preserve"> 2025</w:t>
      </w:r>
      <w:r w:rsidR="00927E49">
        <w:t>.</w:t>
      </w:r>
      <w:r w:rsidR="001B57C5">
        <w:t xml:space="preserve"> </w:t>
      </w:r>
      <w:r w:rsidR="00AE078E">
        <w:t xml:space="preserve"> </w:t>
      </w:r>
      <w:r w:rsidR="001061BF">
        <w:lastRenderedPageBreak/>
        <w:t>N</w:t>
      </w:r>
      <w:r w:rsidRPr="007743F5" w:rsidR="007743F5">
        <w:t>on</w:t>
      </w:r>
      <w:r w:rsidR="00AE078E">
        <w:noBreakHyphen/>
      </w:r>
      <w:r w:rsidRPr="007743F5" w:rsidR="007743F5">
        <w:t xml:space="preserve">residential load </w:t>
      </w:r>
      <w:r w:rsidR="00EF2D80">
        <w:t>management</w:t>
      </w:r>
      <w:r w:rsidR="001061BF">
        <w:t xml:space="preserve"> </w:t>
      </w:r>
      <w:r w:rsidR="00257D13">
        <w:t xml:space="preserve">potential </w:t>
      </w:r>
      <w:r w:rsidR="00240F9D">
        <w:t xml:space="preserve">is expected </w:t>
      </w:r>
      <w:r w:rsidR="001061BF">
        <w:t xml:space="preserve">to </w:t>
      </w:r>
      <w:r w:rsidR="00240F9D">
        <w:t xml:space="preserve">decline </w:t>
      </w:r>
      <w:r w:rsidR="008423B9">
        <w:t>through 2025</w:t>
      </w:r>
      <w:r w:rsidR="00A066B5">
        <w:t xml:space="preserve"> </w:t>
      </w:r>
      <w:r w:rsidR="00240F9D">
        <w:t xml:space="preserve">due to </w:t>
      </w:r>
      <w:r w:rsidR="008A4348">
        <w:t>reduction</w:t>
      </w:r>
      <w:r w:rsidR="00B81157">
        <w:t>s</w:t>
      </w:r>
      <w:r w:rsidR="008A4348">
        <w:t xml:space="preserve"> in </w:t>
      </w:r>
      <w:r w:rsidR="005B01C7">
        <w:t xml:space="preserve">brick-and-mortar </w:t>
      </w:r>
      <w:r w:rsidR="00240F9D">
        <w:t>retail, energy efficiency</w:t>
      </w:r>
      <w:r w:rsidR="001061BF">
        <w:t xml:space="preserve"> </w:t>
      </w:r>
      <w:r w:rsidR="001540B5">
        <w:t>ad</w:t>
      </w:r>
      <w:r w:rsidR="00920E6B">
        <w:t>vancement</w:t>
      </w:r>
      <w:r w:rsidR="00240F9D">
        <w:t xml:space="preserve">, and </w:t>
      </w:r>
      <w:r w:rsidR="00920E6B">
        <w:t xml:space="preserve">fewer </w:t>
      </w:r>
      <w:r w:rsidR="00240F9D">
        <w:t xml:space="preserve">commercial and industrial </w:t>
      </w:r>
      <w:r w:rsidR="00257F5E">
        <w:t>facility developments</w:t>
      </w:r>
      <w:r w:rsidRPr="007743F5" w:rsidR="007743F5">
        <w:t>.</w:t>
      </w:r>
      <w:r w:rsidR="00AE078E">
        <w:t xml:space="preserve"> </w:t>
      </w:r>
      <w:r w:rsidR="009548FE">
        <w:t xml:space="preserve"> </w:t>
      </w:r>
      <w:r w:rsidR="00C30485">
        <w:t>W</w:t>
      </w:r>
      <w:r w:rsidR="009548FE">
        <w:t xml:space="preserve">hile residential DER installations of all types are expected to </w:t>
      </w:r>
      <w:r w:rsidR="0001559C">
        <w:t xml:space="preserve">account for </w:t>
      </w:r>
      <w:r w:rsidR="0029753A">
        <w:t xml:space="preserve">the largest share of DER </w:t>
      </w:r>
      <w:r w:rsidR="00C30485">
        <w:t>installations through 2025,</w:t>
      </w:r>
      <w:r w:rsidR="00EB22F7">
        <w:t xml:space="preserve"> non-residential </w:t>
      </w:r>
      <w:r w:rsidR="00365F83">
        <w:t>“</w:t>
      </w:r>
      <w:r w:rsidR="00065DE5">
        <w:t>net</w:t>
      </w:r>
      <w:r w:rsidR="00365F83">
        <w:t>”</w:t>
      </w:r>
      <w:r w:rsidR="00065DE5">
        <w:t xml:space="preserve"> installations </w:t>
      </w:r>
      <w:r w:rsidR="00D9041E">
        <w:t xml:space="preserve">of all DER types </w:t>
      </w:r>
      <w:r w:rsidR="00065DE5">
        <w:t xml:space="preserve">(including </w:t>
      </w:r>
      <w:r w:rsidR="00365F83">
        <w:t xml:space="preserve">the </w:t>
      </w:r>
      <w:r w:rsidR="004F5ADB">
        <w:t xml:space="preserve">load management </w:t>
      </w:r>
      <w:r w:rsidR="00065DE5">
        <w:t xml:space="preserve">reductions) </w:t>
      </w:r>
      <w:r w:rsidR="009817A1">
        <w:t>are forecast to more than double in the same period</w:t>
      </w:r>
      <w:r w:rsidR="00D369E4">
        <w:t>.</w:t>
      </w:r>
      <w:r w:rsidR="00AE078E">
        <w:t xml:space="preserve"> </w:t>
      </w:r>
      <w:r w:rsidR="005E5CA2">
        <w:t xml:space="preserve"> The</w:t>
      </w:r>
      <w:r w:rsidR="00CA4625">
        <w:t xml:space="preserve"> 2020</w:t>
      </w:r>
      <w:r w:rsidR="005E5CA2">
        <w:t xml:space="preserve"> pandemic is not expected to </w:t>
      </w:r>
      <w:r w:rsidR="00CA4625">
        <w:t xml:space="preserve">have a lasting impact on </w:t>
      </w:r>
      <w:r w:rsidR="005E5CA2">
        <w:t>DER investment</w:t>
      </w:r>
      <w:r w:rsidR="005E07B8">
        <w:t xml:space="preserve">, although full recovery </w:t>
      </w:r>
      <w:r w:rsidR="00807765">
        <w:t>of</w:t>
      </w:r>
      <w:r w:rsidR="005E07B8">
        <w:t xml:space="preserve"> DER investment </w:t>
      </w:r>
      <w:r w:rsidR="00F96152">
        <w:t>may not occur for several years</w:t>
      </w:r>
      <w:r w:rsidR="00CA4625">
        <w:t>.</w:t>
      </w:r>
      <w:r w:rsidR="00040A82">
        <w:rPr>
          <w:rStyle w:val="FootnoteReference"/>
        </w:rPr>
        <w:footnoteReference w:id="19"/>
      </w:r>
      <w:r w:rsidRPr="00040A82" w:rsidR="00040A82">
        <w:rPr>
          <w:vertAlign w:val="superscript"/>
        </w:rPr>
        <w:t>,</w:t>
      </w:r>
      <w:r w:rsidR="00040A82">
        <w:rPr>
          <w:rStyle w:val="FootnoteReference"/>
        </w:rPr>
        <w:footnoteReference w:id="20"/>
      </w:r>
      <w:r w:rsidR="00D13694">
        <w:rPr>
          <w:vertAlign w:val="superscript"/>
        </w:rPr>
        <w:t xml:space="preserve"> </w:t>
      </w:r>
    </w:p>
    <w:p w:rsidR="004B734C" w:rsidP="00CF72BC" w:rsidRDefault="004B734C" w14:paraId="1BFD8D6E" w14:textId="5932108B">
      <w:pPr>
        <w:pStyle w:val="Standard"/>
      </w:pPr>
      <w:r w:rsidRPr="00D04936">
        <w:t xml:space="preserve">In California, </w:t>
      </w:r>
      <w:r w:rsidR="00F63B99">
        <w:t xml:space="preserve">DER growth will </w:t>
      </w:r>
      <w:r w:rsidR="001E4EE7">
        <w:t xml:space="preserve">continue to </w:t>
      </w:r>
      <w:r w:rsidR="00C87FBE">
        <w:t xml:space="preserve">increase, especially due to </w:t>
      </w:r>
      <w:r w:rsidRPr="00D04936">
        <w:t xml:space="preserve">policies and programs driving </w:t>
      </w:r>
      <w:r w:rsidR="004E4B2F">
        <w:t>t</w:t>
      </w:r>
      <w:r w:rsidRPr="004E4B2F" w:rsidR="004E4B2F">
        <w:t>ransportation electrification</w:t>
      </w:r>
      <w:r w:rsidR="004E4B2F">
        <w:t xml:space="preserve"> (</w:t>
      </w:r>
      <w:r w:rsidR="009906CE">
        <w:t>TE</w:t>
      </w:r>
      <w:r w:rsidR="004E4B2F">
        <w:t>)</w:t>
      </w:r>
      <w:r w:rsidR="00463B9C">
        <w:t xml:space="preserve"> and </w:t>
      </w:r>
      <w:r w:rsidR="005F7A49">
        <w:t>associated DERs (</w:t>
      </w:r>
      <w:r w:rsidR="00A61AF9">
        <w:t xml:space="preserve">i.e., </w:t>
      </w:r>
      <w:r w:rsidR="005F7A49">
        <w:t xml:space="preserve">EVs and EV </w:t>
      </w:r>
      <w:r w:rsidR="00891E6C">
        <w:t>supply equipment</w:t>
      </w:r>
      <w:r w:rsidR="003B0C3B">
        <w:t xml:space="preserve"> [EVSE]</w:t>
      </w:r>
      <w:r w:rsidR="005F7A49">
        <w:t>)</w:t>
      </w:r>
      <w:r w:rsidR="00506AE9">
        <w:t>.</w:t>
      </w:r>
      <w:r w:rsidR="0093104F">
        <w:rPr>
          <w:rStyle w:val="FootnoteReference"/>
        </w:rPr>
        <w:footnoteReference w:id="21"/>
      </w:r>
      <w:r w:rsidR="00AE078E">
        <w:t xml:space="preserve"> </w:t>
      </w:r>
      <w:r w:rsidRPr="00EB2AF8" w:rsidR="00EB2AF8">
        <w:t xml:space="preserve"> </w:t>
      </w:r>
      <w:r w:rsidR="00EB2AF8">
        <w:t xml:space="preserve">The </w:t>
      </w:r>
      <w:r w:rsidR="00A73534">
        <w:t xml:space="preserve">CEC’s </w:t>
      </w:r>
      <w:r w:rsidR="00EB2AF8">
        <w:t>2020 I</w:t>
      </w:r>
      <w:r w:rsidR="00A73534">
        <w:t xml:space="preserve">ntegrated </w:t>
      </w:r>
      <w:r w:rsidR="00EB2AF8">
        <w:t>E</w:t>
      </w:r>
      <w:r w:rsidR="00A73534">
        <w:t xml:space="preserve">nergy </w:t>
      </w:r>
      <w:r w:rsidR="00EB2AF8">
        <w:t>P</w:t>
      </w:r>
      <w:r w:rsidR="00A73534">
        <w:t xml:space="preserve">olicy </w:t>
      </w:r>
      <w:r w:rsidR="00EB2AF8">
        <w:t>R</w:t>
      </w:r>
      <w:r w:rsidR="00A73534">
        <w:t>eport</w:t>
      </w:r>
      <w:r w:rsidR="00EB2AF8">
        <w:t xml:space="preserve"> forecasts extensive </w:t>
      </w:r>
      <w:r w:rsidR="001F3A10">
        <w:t xml:space="preserve">increases in </w:t>
      </w:r>
      <w:r w:rsidR="001A07F2">
        <w:t>b</w:t>
      </w:r>
      <w:r w:rsidRPr="001A07F2" w:rsidR="001A07F2">
        <w:t xml:space="preserve">ehind-the-meter </w:t>
      </w:r>
      <w:r w:rsidR="001A07F2">
        <w:t xml:space="preserve">(BTM) </w:t>
      </w:r>
      <w:r w:rsidR="00EB2AF8">
        <w:t>solar</w:t>
      </w:r>
      <w:r w:rsidR="00E258B6">
        <w:t xml:space="preserve"> generation</w:t>
      </w:r>
      <w:r w:rsidR="001F3A10">
        <w:t xml:space="preserve"> (260 percent)</w:t>
      </w:r>
      <w:r w:rsidR="00EB2AF8">
        <w:t xml:space="preserve">, </w:t>
      </w:r>
      <w:r w:rsidR="001A07F2">
        <w:t xml:space="preserve">BTM </w:t>
      </w:r>
      <w:r w:rsidR="00E258B6">
        <w:t xml:space="preserve">energy </w:t>
      </w:r>
      <w:r w:rsidR="00EB2AF8">
        <w:t>storage</w:t>
      </w:r>
      <w:r w:rsidR="00E258B6">
        <w:t xml:space="preserve"> capacity</w:t>
      </w:r>
      <w:r w:rsidR="001F3A10">
        <w:t xml:space="preserve"> (770 percent)</w:t>
      </w:r>
      <w:r w:rsidR="00EB2AF8">
        <w:t xml:space="preserve">, </w:t>
      </w:r>
      <w:r w:rsidR="00B554AE">
        <w:t xml:space="preserve">and </w:t>
      </w:r>
      <w:r w:rsidR="00EB2AF8">
        <w:t xml:space="preserve">EV </w:t>
      </w:r>
      <w:r w:rsidR="00E258B6">
        <w:t xml:space="preserve">demand </w:t>
      </w:r>
      <w:r w:rsidR="001F3A10">
        <w:t xml:space="preserve">(370 percent) </w:t>
      </w:r>
      <w:r w:rsidR="0007418E">
        <w:t>from 2019 to</w:t>
      </w:r>
      <w:r w:rsidR="00EB2AF8">
        <w:t xml:space="preserve"> 2030.</w:t>
      </w:r>
      <w:r w:rsidR="00C736C0">
        <w:rPr>
          <w:rStyle w:val="FootnoteReference"/>
        </w:rPr>
        <w:footnoteReference w:id="22"/>
      </w:r>
      <w:r w:rsidR="00C736C0">
        <w:t xml:space="preserve"> </w:t>
      </w:r>
      <w:r w:rsidR="00B554AE">
        <w:t xml:space="preserve">Among the </w:t>
      </w:r>
      <w:r w:rsidR="3A00E9C0">
        <w:t>factor</w:t>
      </w:r>
      <w:r w:rsidR="00134FCE">
        <w:t>s</w:t>
      </w:r>
      <w:r w:rsidR="3A00E9C0">
        <w:t xml:space="preserve"> driving </w:t>
      </w:r>
      <w:r w:rsidR="00D92B8A">
        <w:t xml:space="preserve">DER </w:t>
      </w:r>
      <w:r w:rsidR="3A00E9C0">
        <w:lastRenderedPageBreak/>
        <w:t xml:space="preserve">growth </w:t>
      </w:r>
      <w:r w:rsidR="00134FCE">
        <w:t>include</w:t>
      </w:r>
      <w:r w:rsidR="3A00E9C0">
        <w:t xml:space="preserve"> advancements in technology and cost declines.</w:t>
      </w:r>
      <w:r w:rsidR="009D7A77">
        <w:rPr>
          <w:rStyle w:val="FootnoteReference"/>
        </w:rPr>
        <w:footnoteReference w:id="23"/>
      </w:r>
      <w:r w:rsidR="3A00E9C0">
        <w:t xml:space="preserve"> </w:t>
      </w:r>
      <w:r w:rsidR="00AE078E">
        <w:t xml:space="preserve"> </w:t>
      </w:r>
      <w:r w:rsidRPr="00081170" w:rsidR="00081170">
        <w:t xml:space="preserve">TE infrastructure </w:t>
      </w:r>
      <w:r w:rsidR="009A6D01">
        <w:t xml:space="preserve">in the United States </w:t>
      </w:r>
      <w:r w:rsidRPr="00081170" w:rsidR="00081170">
        <w:t xml:space="preserve">is </w:t>
      </w:r>
      <w:r w:rsidR="006F0F45">
        <w:t>forecast</w:t>
      </w:r>
      <w:r w:rsidRPr="00081170" w:rsidR="00081170">
        <w:t xml:space="preserve"> to result in more annual DER capacity additions than solar by 2025</w:t>
      </w:r>
      <w:r w:rsidR="00F61E07">
        <w:t>.</w:t>
      </w:r>
      <w:r w:rsidR="00F61E07">
        <w:rPr>
          <w:rStyle w:val="FootnoteReference"/>
        </w:rPr>
        <w:footnoteReference w:id="24"/>
      </w:r>
      <w:r w:rsidR="00F61E07">
        <w:t xml:space="preserve"> </w:t>
      </w:r>
      <w:r w:rsidR="00A22568">
        <w:t xml:space="preserve"> </w:t>
      </w:r>
      <w:r w:rsidR="00AE6BCA">
        <w:t xml:space="preserve">California’s </w:t>
      </w:r>
      <w:r w:rsidR="009906CE">
        <w:t xml:space="preserve">TE </w:t>
      </w:r>
      <w:r w:rsidR="00752071">
        <w:t xml:space="preserve">and climate </w:t>
      </w:r>
      <w:r w:rsidR="001F7928">
        <w:t xml:space="preserve">goals </w:t>
      </w:r>
      <w:r w:rsidR="00455323">
        <w:t xml:space="preserve">are expected to </w:t>
      </w:r>
      <w:r w:rsidRPr="00D04936">
        <w:t xml:space="preserve">result in millions of </w:t>
      </w:r>
      <w:r w:rsidR="00906614">
        <w:t xml:space="preserve">EVs </w:t>
      </w:r>
      <w:r w:rsidRPr="00D04936">
        <w:t xml:space="preserve">and </w:t>
      </w:r>
      <w:r w:rsidR="009F4465">
        <w:t>EVSE</w:t>
      </w:r>
      <w:r w:rsidRPr="00D04936">
        <w:t xml:space="preserve"> DERs by 2030</w:t>
      </w:r>
      <w:r w:rsidR="001C34EB">
        <w:t xml:space="preserve">, </w:t>
      </w:r>
      <w:r w:rsidR="00BA47F0">
        <w:t xml:space="preserve">and </w:t>
      </w:r>
      <w:r w:rsidR="00236981">
        <w:t xml:space="preserve">Executive Order N-79-20 sets a target for </w:t>
      </w:r>
      <w:r w:rsidRPr="00D04936" w:rsidR="00BA47F0">
        <w:t xml:space="preserve">100 percent of new cars and passenger trucks sold in California </w:t>
      </w:r>
      <w:r w:rsidR="002D0907">
        <w:t xml:space="preserve">are anticipated </w:t>
      </w:r>
      <w:r w:rsidR="00CC3260">
        <w:t>to be</w:t>
      </w:r>
      <w:r w:rsidRPr="00D04936" w:rsidR="00CC3260">
        <w:t xml:space="preserve"> </w:t>
      </w:r>
      <w:r w:rsidRPr="00D04936" w:rsidR="00BA47F0">
        <w:t>zero</w:t>
      </w:r>
      <w:r w:rsidR="004C421C">
        <w:t xml:space="preserve"> </w:t>
      </w:r>
      <w:r w:rsidRPr="00D04936" w:rsidR="00BA47F0">
        <w:t>emission by 2035</w:t>
      </w:r>
      <w:r w:rsidR="002A3C9F">
        <w:t>.</w:t>
      </w:r>
      <w:r w:rsidRPr="00D04936" w:rsidR="1B09C706">
        <w:t xml:space="preserve"> </w:t>
      </w:r>
      <w:r w:rsidR="00AE078E">
        <w:t xml:space="preserve"> </w:t>
      </w:r>
      <w:r w:rsidR="1B09C706">
        <w:t xml:space="preserve">In </w:t>
      </w:r>
      <w:r w:rsidR="00210315">
        <w:t xml:space="preserve">addition, </w:t>
      </w:r>
      <w:r w:rsidR="1B09C706">
        <w:t xml:space="preserve">California </w:t>
      </w:r>
      <w:r w:rsidR="71375452">
        <w:t xml:space="preserve">policies, </w:t>
      </w:r>
      <w:r w:rsidR="1B09C706">
        <w:t>programs</w:t>
      </w:r>
      <w:r w:rsidR="00210315">
        <w:t>,</w:t>
      </w:r>
      <w:r w:rsidR="1B09C706">
        <w:t xml:space="preserve"> and incentives</w:t>
      </w:r>
      <w:r w:rsidR="00696942">
        <w:t>,</w:t>
      </w:r>
      <w:r w:rsidR="1B09C706">
        <w:t xml:space="preserve"> such as Net Energy Metering and </w:t>
      </w:r>
      <w:r w:rsidR="00696942">
        <w:t xml:space="preserve">the </w:t>
      </w:r>
      <w:r w:rsidR="1B09C706">
        <w:t>Self</w:t>
      </w:r>
      <w:r w:rsidR="00A22568">
        <w:noBreakHyphen/>
      </w:r>
      <w:r w:rsidR="1B09C706">
        <w:t>Generation Incentive Program</w:t>
      </w:r>
      <w:r w:rsidR="00696942">
        <w:t>,</w:t>
      </w:r>
      <w:r w:rsidR="1B09C706">
        <w:t xml:space="preserve"> </w:t>
      </w:r>
      <w:r w:rsidR="759207D9">
        <w:t xml:space="preserve">continue to drive DER </w:t>
      </w:r>
      <w:r w:rsidR="007B3FC3">
        <w:t>expansion</w:t>
      </w:r>
      <w:r w:rsidR="759207D9">
        <w:t xml:space="preserve"> by </w:t>
      </w:r>
      <w:r w:rsidR="009E6B97">
        <w:t>increasing the financial appeal of</w:t>
      </w:r>
      <w:r w:rsidR="759207D9">
        <w:t xml:space="preserve"> </w:t>
      </w:r>
      <w:r w:rsidR="00AD25E2">
        <w:t>DER investment</w:t>
      </w:r>
      <w:r w:rsidR="759207D9">
        <w:t>.</w:t>
      </w:r>
      <w:r w:rsidR="005754C6">
        <w:t xml:space="preserve"> </w:t>
      </w:r>
      <w:r w:rsidR="00A22568">
        <w:t xml:space="preserve"> </w:t>
      </w:r>
      <w:r w:rsidR="00236981">
        <w:t xml:space="preserve">Legislation aimed at reducing GHG from buildings, </w:t>
      </w:r>
      <w:r w:rsidR="00C04F77">
        <w:t>Commission</w:t>
      </w:r>
      <w:r w:rsidR="00236981">
        <w:t xml:space="preserve"> proceedings,</w:t>
      </w:r>
      <w:r w:rsidR="000C5DBB">
        <w:rPr>
          <w:rStyle w:val="FootnoteReference"/>
        </w:rPr>
        <w:footnoteReference w:id="25"/>
      </w:r>
      <w:r w:rsidR="000C5DBB">
        <w:t xml:space="preserve"> and </w:t>
      </w:r>
      <w:r w:rsidR="00DF01FB">
        <w:t>local reach codes</w:t>
      </w:r>
      <w:r w:rsidR="00D82412">
        <w:rPr>
          <w:rStyle w:val="FootnoteReference"/>
        </w:rPr>
        <w:footnoteReference w:id="26"/>
      </w:r>
      <w:r w:rsidR="00DF01FB">
        <w:t xml:space="preserve"> </w:t>
      </w:r>
      <w:r w:rsidR="000C5DBB">
        <w:t>are likely to further drive electrification.</w:t>
      </w:r>
      <w:r w:rsidR="00A22568">
        <w:t xml:space="preserve"> </w:t>
      </w:r>
      <w:r w:rsidR="00DC28FE">
        <w:t xml:space="preserve"> New energy efficiency savings, however, are expected to decline </w:t>
      </w:r>
      <w:r w:rsidR="009A6D01">
        <w:t xml:space="preserve">in California </w:t>
      </w:r>
      <w:r w:rsidRPr="00510688" w:rsidR="00510688">
        <w:t>from 24,000 GWh in 2019 to 17,800 GWh in 2030</w:t>
      </w:r>
      <w:r w:rsidR="00510688">
        <w:t>.</w:t>
      </w:r>
      <w:r w:rsidR="00510688">
        <w:rPr>
          <w:rStyle w:val="FootnoteReference"/>
        </w:rPr>
        <w:footnoteReference w:id="27"/>
      </w:r>
    </w:p>
    <w:p w:rsidR="00246366" w:rsidP="00C64ADC" w:rsidRDefault="00236981" w14:paraId="04EC3EA0" w14:textId="377C11F2">
      <w:pPr>
        <w:pStyle w:val="Standard"/>
      </w:pPr>
      <w:r>
        <w:t xml:space="preserve">This </w:t>
      </w:r>
      <w:r w:rsidR="2C8FFB61">
        <w:t xml:space="preserve">OIR </w:t>
      </w:r>
      <w:r w:rsidR="1624E432">
        <w:t xml:space="preserve">anticipates </w:t>
      </w:r>
      <w:r w:rsidR="2C8FFB61">
        <w:t>a</w:t>
      </w:r>
      <w:r w:rsidRPr="000968C7" w:rsidR="2C8FFB61">
        <w:t xml:space="preserve"> high-penetration DER future</w:t>
      </w:r>
      <w:r w:rsidRPr="000F75C1" w:rsidR="00C40A70">
        <w:t xml:space="preserve"> </w:t>
      </w:r>
      <w:r>
        <w:t xml:space="preserve">and </w:t>
      </w:r>
      <w:r w:rsidRPr="000F75C1" w:rsidR="00C40A70">
        <w:t>seeks to determine how to optimize the integration of millions of DERs within the distribution grid while ensurin</w:t>
      </w:r>
      <w:r w:rsidRPr="4972414C" w:rsidR="00C40A70">
        <w:t>g affordable</w:t>
      </w:r>
      <w:r w:rsidRPr="4972414C" w:rsidR="19497127">
        <w:t xml:space="preserve"> rates</w:t>
      </w:r>
      <w:r w:rsidRPr="000F75C1" w:rsidR="00C40A70">
        <w:t>.</w:t>
      </w:r>
      <w:r w:rsidRPr="000F75C1" w:rsidR="00C40A70">
        <w:rPr>
          <w:rStyle w:val="FootnoteReference"/>
        </w:rPr>
        <w:footnoteReference w:id="28"/>
      </w:r>
      <w:r w:rsidRPr="00EC3497" w:rsidR="00EC3497">
        <w:t xml:space="preserve"> </w:t>
      </w:r>
      <w:r w:rsidR="00A22568">
        <w:t xml:space="preserve"> </w:t>
      </w:r>
      <w:r w:rsidR="00EC3497">
        <w:t xml:space="preserve">DER integration optimization within the </w:t>
      </w:r>
      <w:r w:rsidR="00EC3497">
        <w:lastRenderedPageBreak/>
        <w:t xml:space="preserve">context of the transmission grid </w:t>
      </w:r>
      <w:r w:rsidR="00084D17">
        <w:t xml:space="preserve">is </w:t>
      </w:r>
      <w:r w:rsidR="00EC3497">
        <w:t>also relevant</w:t>
      </w:r>
      <w:r w:rsidR="00084D17">
        <w:t xml:space="preserve"> to this OIR</w:t>
      </w:r>
      <w:r w:rsidR="00EC3497">
        <w:t xml:space="preserve">, and </w:t>
      </w:r>
      <w:r w:rsidDel="00990122" w:rsidR="002F1CE6">
        <w:t>improve</w:t>
      </w:r>
      <w:r w:rsidDel="00990122" w:rsidR="00C41CBE">
        <w:t>d</w:t>
      </w:r>
      <w:r w:rsidR="00990122">
        <w:t xml:space="preserve"> </w:t>
      </w:r>
      <w:r w:rsidR="00EC3497">
        <w:t>coordination</w:t>
      </w:r>
      <w:r w:rsidR="00FC388A">
        <w:t xml:space="preserve"> </w:t>
      </w:r>
      <w:r w:rsidR="00EC3497">
        <w:t xml:space="preserve">between </w:t>
      </w:r>
      <w:r w:rsidRPr="00405548" w:rsidR="00EC3497">
        <w:t xml:space="preserve">California Independent System Operator </w:t>
      </w:r>
      <w:r w:rsidR="00EC3497">
        <w:t xml:space="preserve">(CAISO) and </w:t>
      </w:r>
      <w:r w:rsidR="00C04F77">
        <w:t>Commission</w:t>
      </w:r>
      <w:r w:rsidR="00EC3497">
        <w:t xml:space="preserve"> jurisdictions </w:t>
      </w:r>
      <w:r w:rsidR="00084D17">
        <w:t xml:space="preserve">will be </w:t>
      </w:r>
      <w:r w:rsidR="00EC3497">
        <w:t>considered</w:t>
      </w:r>
      <w:r w:rsidR="003B06E2">
        <w:t>.</w:t>
      </w:r>
      <w:r w:rsidR="2DF8BA9A">
        <w:t xml:space="preserve"> </w:t>
      </w:r>
      <w:r w:rsidR="00A22568">
        <w:t xml:space="preserve"> </w:t>
      </w:r>
      <w:r w:rsidR="42C05278">
        <w:t xml:space="preserve">In addition, </w:t>
      </w:r>
      <w:proofErr w:type="gramStart"/>
      <w:r w:rsidR="667084D7">
        <w:t>transmission</w:t>
      </w:r>
      <w:proofErr w:type="gramEnd"/>
      <w:r w:rsidR="667084D7">
        <w:t xml:space="preserve"> and </w:t>
      </w:r>
      <w:r w:rsidR="24333D1B">
        <w:t>sub</w:t>
      </w:r>
      <w:r w:rsidR="00A22568">
        <w:noBreakHyphen/>
      </w:r>
      <w:r w:rsidR="24333D1B">
        <w:t>transmission</w:t>
      </w:r>
      <w:r w:rsidR="667084D7">
        <w:t xml:space="preserve"> infrastructure that is </w:t>
      </w:r>
      <w:r w:rsidR="00C04F77">
        <w:t>Commission</w:t>
      </w:r>
      <w:r w:rsidR="667084D7">
        <w:t xml:space="preserve"> jurisdictional will be considered.</w:t>
      </w:r>
    </w:p>
    <w:p w:rsidR="00A54B58" w:rsidP="00F51031" w:rsidRDefault="00E9041C" w14:paraId="3D0EC6AD" w14:textId="2DC95432">
      <w:pPr>
        <w:pStyle w:val="Standard"/>
      </w:pPr>
      <w:r>
        <w:t>This</w:t>
      </w:r>
      <w:r w:rsidR="759F2BD1">
        <w:t xml:space="preserve"> OIR </w:t>
      </w:r>
      <w:r w:rsidR="009C2EB3">
        <w:t xml:space="preserve">neither seeks to </w:t>
      </w:r>
      <w:r w:rsidR="759F2BD1">
        <w:t xml:space="preserve">set policy on the overall </w:t>
      </w:r>
      <w:r w:rsidR="007F774F">
        <w:t xml:space="preserve">number </w:t>
      </w:r>
      <w:r w:rsidR="759F2BD1">
        <w:t>of DERs</w:t>
      </w:r>
      <w:r w:rsidR="009C2EB3">
        <w:t xml:space="preserve"> </w:t>
      </w:r>
      <w:r w:rsidR="759F2BD1">
        <w:t xml:space="preserve">nor does </w:t>
      </w:r>
      <w:r w:rsidR="5F18CF9F">
        <w:t>it seek to</w:t>
      </w:r>
      <w:r w:rsidR="759F2BD1">
        <w:t xml:space="preserve"> increase or decrease the </w:t>
      </w:r>
      <w:r w:rsidR="373FD53A">
        <w:t>desired level of DERs.</w:t>
      </w:r>
      <w:r w:rsidR="00630C42">
        <w:t xml:space="preserve"> </w:t>
      </w:r>
      <w:r w:rsidR="00A22568">
        <w:t xml:space="preserve"> </w:t>
      </w:r>
      <w:r w:rsidR="00236981">
        <w:t>This</w:t>
      </w:r>
      <w:r w:rsidR="373FD53A">
        <w:t xml:space="preserve"> OIR focuses on preparing the grid to accommodate what is expected to be a hig</w:t>
      </w:r>
      <w:r w:rsidR="0776FBED">
        <w:t>h DER future and capture as much value as possible from</w:t>
      </w:r>
      <w:r w:rsidR="00F472F8">
        <w:t xml:space="preserve"> </w:t>
      </w:r>
      <w:r w:rsidR="00FD50A3">
        <w:t>DERs</w:t>
      </w:r>
      <w:r w:rsidR="3DADE992">
        <w:t xml:space="preserve"> as well as mitigate any unintended negative impacts</w:t>
      </w:r>
      <w:r w:rsidR="00F472F8">
        <w:t>.</w:t>
      </w:r>
    </w:p>
    <w:p w:rsidR="00E941D2" w:rsidP="00E941D2" w:rsidRDefault="00E941D2" w14:paraId="072662E2" w14:textId="577C5583">
      <w:pPr>
        <w:pStyle w:val="Heading1"/>
      </w:pPr>
      <w:bookmarkStart w:name="_Toc71038942" w:id="9"/>
      <w:r>
        <w:t>Rates</w:t>
      </w:r>
      <w:r w:rsidRPr="00E941D2">
        <w:t xml:space="preserve"> </w:t>
      </w:r>
      <w:r>
        <w:t>and Environmental and Social Justice</w:t>
      </w:r>
      <w:bookmarkEnd w:id="9"/>
    </w:p>
    <w:p w:rsidR="003B4CF8" w:rsidP="003B4CF8" w:rsidRDefault="003B4CF8" w14:paraId="51DFB21B" w14:textId="061ED3E5">
      <w:pPr>
        <w:pStyle w:val="Standard"/>
      </w:pPr>
      <w:r>
        <w:t xml:space="preserve">The </w:t>
      </w:r>
      <w:r w:rsidR="00145E49">
        <w:t>Commission</w:t>
      </w:r>
      <w:r>
        <w:t xml:space="preserve"> held a </w:t>
      </w:r>
      <w:r w:rsidR="00E476D1">
        <w:t>R</w:t>
      </w:r>
      <w:r>
        <w:t>ates En Banc</w:t>
      </w:r>
      <w:r w:rsidR="00E50E96">
        <w:rPr>
          <w:rStyle w:val="FootnoteReference"/>
        </w:rPr>
        <w:footnoteReference w:id="29"/>
      </w:r>
      <w:r>
        <w:t xml:space="preserve"> on February 24, 2021 centered around themes and concepts raised by a</w:t>
      </w:r>
      <w:r w:rsidR="00145E49">
        <w:t>n Energy Division</w:t>
      </w:r>
      <w:r>
        <w:t xml:space="preserve"> white paper on California electric and gas cost and rate trends over the next decade.</w:t>
      </w:r>
      <w:r>
        <w:rPr>
          <w:rStyle w:val="FootnoteReference"/>
        </w:rPr>
        <w:footnoteReference w:id="30"/>
      </w:r>
      <w:r>
        <w:t xml:space="preserve"> </w:t>
      </w:r>
      <w:r w:rsidR="00A22568">
        <w:t xml:space="preserve"> </w:t>
      </w:r>
      <w:r>
        <w:t>En Banc attendees included academics, researchers, utilities, consumer advocates, legislative staff</w:t>
      </w:r>
      <w:r w:rsidR="0037066E">
        <w:t xml:space="preserve">, </w:t>
      </w:r>
      <w:r>
        <w:t>and other energy stakeholders.</w:t>
      </w:r>
      <w:r w:rsidR="00AE078E">
        <w:t xml:space="preserve"> </w:t>
      </w:r>
      <w:r>
        <w:t xml:space="preserve"> The white paper highlights increased rates in recent years that have</w:t>
      </w:r>
      <w:r w:rsidR="0037066E">
        <w:t xml:space="preserve"> had a</w:t>
      </w:r>
      <w:r>
        <w:t xml:space="preserve"> disproportionate negative impact on lower-income customers. </w:t>
      </w:r>
      <w:r w:rsidR="00A22568">
        <w:t xml:space="preserve"> </w:t>
      </w:r>
      <w:r>
        <w:t xml:space="preserve">Lower-income customers are less likely to invest in </w:t>
      </w:r>
      <w:r>
        <w:lastRenderedPageBreak/>
        <w:t xml:space="preserve">BTM solutions </w:t>
      </w:r>
      <w:r w:rsidR="009D6FC7">
        <w:t xml:space="preserve">to lower their rates, </w:t>
      </w:r>
      <w:r>
        <w:t xml:space="preserve">and impacts are exacerbated by </w:t>
      </w:r>
      <w:r w:rsidR="00A833E2">
        <w:t xml:space="preserve">the cost of expensive IOU </w:t>
      </w:r>
      <w:r>
        <w:t>wildfire mitigation plan</w:t>
      </w:r>
      <w:r w:rsidR="00A833E2">
        <w:t>s</w:t>
      </w:r>
      <w:r>
        <w:t>.</w:t>
      </w:r>
    </w:p>
    <w:p w:rsidRPr="00FA007F" w:rsidR="001042F7" w:rsidP="00130A56" w:rsidRDefault="00802A8A" w14:paraId="71A96D7C" w14:textId="67B3B88D">
      <w:pPr>
        <w:pStyle w:val="Standard"/>
      </w:pPr>
      <w:r>
        <w:t>Two</w:t>
      </w:r>
      <w:r w:rsidR="00621937">
        <w:t xml:space="preserve"> years prior to the </w:t>
      </w:r>
      <w:r w:rsidR="00E476D1">
        <w:t>Rates En Banc, t</w:t>
      </w:r>
      <w:r w:rsidR="00866565">
        <w:t xml:space="preserve">he </w:t>
      </w:r>
      <w:r w:rsidR="00145E49">
        <w:t xml:space="preserve">Commission </w:t>
      </w:r>
      <w:r w:rsidR="00866565">
        <w:t xml:space="preserve">adopted an </w:t>
      </w:r>
      <w:r w:rsidR="00957D4E">
        <w:t xml:space="preserve">Environmental and Social Justice </w:t>
      </w:r>
      <w:r w:rsidR="009243E8">
        <w:t xml:space="preserve">(ESJ) </w:t>
      </w:r>
      <w:r w:rsidR="00957D4E">
        <w:t>Action Plan</w:t>
      </w:r>
      <w:r w:rsidR="00866565">
        <w:t xml:space="preserve"> on </w:t>
      </w:r>
      <w:r w:rsidR="00957D4E">
        <w:t>February 21, 2019.</w:t>
      </w:r>
      <w:r w:rsidR="00E476D1">
        <w:t xml:space="preserve"> </w:t>
      </w:r>
      <w:r w:rsidR="00A22568">
        <w:t xml:space="preserve"> </w:t>
      </w:r>
      <w:r w:rsidR="00E476D1">
        <w:t>The plan is desi</w:t>
      </w:r>
      <w:r w:rsidR="00F90071">
        <w:t xml:space="preserve">gned to serve as a roadmap for </w:t>
      </w:r>
      <w:r w:rsidRPr="00F90071" w:rsidR="00F90071">
        <w:t>expand</w:t>
      </w:r>
      <w:r w:rsidR="00F90071">
        <w:t xml:space="preserve">ing </w:t>
      </w:r>
      <w:r w:rsidRPr="00F90071" w:rsidR="00F90071">
        <w:t xml:space="preserve">public inclusion in </w:t>
      </w:r>
      <w:r w:rsidR="00145E49">
        <w:t>Commission</w:t>
      </w:r>
      <w:r w:rsidRPr="00F90071" w:rsidR="00145E49">
        <w:t xml:space="preserve"> </w:t>
      </w:r>
      <w:r w:rsidRPr="00F90071" w:rsidR="00F90071">
        <w:t>decision</w:t>
      </w:r>
      <w:r>
        <w:t xml:space="preserve"> </w:t>
      </w:r>
      <w:r w:rsidRPr="00F90071" w:rsidR="00F90071">
        <w:t>making and improv</w:t>
      </w:r>
      <w:r w:rsidR="00F90071">
        <w:t xml:space="preserve">ing </w:t>
      </w:r>
      <w:r w:rsidRPr="00F90071" w:rsidR="00F90071">
        <w:t xml:space="preserve">services to </w:t>
      </w:r>
      <w:r w:rsidR="00944A55">
        <w:t xml:space="preserve">ESJ </w:t>
      </w:r>
      <w:r w:rsidRPr="00F90071" w:rsidR="00F90071">
        <w:t>communities.</w:t>
      </w:r>
      <w:r w:rsidR="00B42E4C">
        <w:t xml:space="preserve"> Among the nine ESJ goals are to</w:t>
      </w:r>
      <w:r w:rsidR="003445AC">
        <w:t>, “c</w:t>
      </w:r>
      <w:r w:rsidRPr="003445AC" w:rsidR="003445AC">
        <w:t xml:space="preserve">onsistently integrate equity and access considerations throughout </w:t>
      </w:r>
      <w:r w:rsidR="00145E49">
        <w:t>Commission</w:t>
      </w:r>
      <w:r w:rsidRPr="003445AC" w:rsidR="00145E49">
        <w:t xml:space="preserve"> </w:t>
      </w:r>
      <w:r w:rsidRPr="003445AC" w:rsidR="003445AC">
        <w:t>proceedings and other efforts</w:t>
      </w:r>
      <w:r w:rsidR="003445AC">
        <w:t>.”</w:t>
      </w:r>
      <w:r w:rsidR="00130A56">
        <w:t xml:space="preserve"> </w:t>
      </w:r>
      <w:r w:rsidR="003F36C2">
        <w:t xml:space="preserve">Rate impacts and alignment with the </w:t>
      </w:r>
      <w:r w:rsidR="00145E49">
        <w:t xml:space="preserve">Commission’s </w:t>
      </w:r>
      <w:r w:rsidR="003F36C2">
        <w:t xml:space="preserve">ESJ Action Plan are expected to be considerations in this OIR </w:t>
      </w:r>
      <w:r w:rsidR="004A33DC">
        <w:t>for some of the scope areas</w:t>
      </w:r>
      <w:r w:rsidR="000F3D30">
        <w:t>,</w:t>
      </w:r>
      <w:r w:rsidR="004A33DC">
        <w:t xml:space="preserve"> </w:t>
      </w:r>
      <w:r w:rsidR="003F36C2">
        <w:t xml:space="preserve">and </w:t>
      </w:r>
      <w:r w:rsidR="000F3D30">
        <w:t xml:space="preserve">we are </w:t>
      </w:r>
      <w:r w:rsidR="003F36C2">
        <w:t>seek</w:t>
      </w:r>
      <w:r w:rsidR="000F3D30">
        <w:t>ing</w:t>
      </w:r>
      <w:r w:rsidR="003F36C2">
        <w:t xml:space="preserve"> party feedback </w:t>
      </w:r>
      <w:r w:rsidR="000F3D30">
        <w:t>on these topics</w:t>
      </w:r>
      <w:r w:rsidR="00C96229">
        <w:t xml:space="preserve"> </w:t>
      </w:r>
      <w:r w:rsidR="003F36C2">
        <w:t>(Section 5.2, Preliminary Scope).</w:t>
      </w:r>
    </w:p>
    <w:p w:rsidR="002A0471" w:rsidP="002A0471" w:rsidRDefault="00230EC2" w14:paraId="0BD6F56F" w14:textId="7A7EF4EC">
      <w:pPr>
        <w:pStyle w:val="Heading1"/>
      </w:pPr>
      <w:bookmarkStart w:name="_Toc71038943" w:id="10"/>
      <w:r>
        <w:t xml:space="preserve">Distribution </w:t>
      </w:r>
      <w:r w:rsidR="00850490">
        <w:t xml:space="preserve">System </w:t>
      </w:r>
      <w:r>
        <w:t>Operator</w:t>
      </w:r>
      <w:r w:rsidR="00850490">
        <w:t xml:space="preserve"> Roles and Responsibilities</w:t>
      </w:r>
      <w:bookmarkEnd w:id="10"/>
    </w:p>
    <w:p w:rsidR="003A39BC" w:rsidP="003A39BC" w:rsidRDefault="00F31A7F" w14:paraId="11DCFE47" w14:textId="7CF8D41C">
      <w:pPr>
        <w:pStyle w:val="Standard"/>
      </w:pPr>
      <w:r w:rsidRPr="00F31A7F">
        <w:t>In California, DSO functions</w:t>
      </w:r>
      <w:r w:rsidR="006C37E3">
        <w:t>,</w:t>
      </w:r>
      <w:r w:rsidRPr="00AA3A6C" w:rsidR="00AA3A6C">
        <w:t xml:space="preserve"> </w:t>
      </w:r>
      <w:r w:rsidR="007F3AEB">
        <w:t xml:space="preserve">including </w:t>
      </w:r>
      <w:r w:rsidR="00AA3A6C">
        <w:t xml:space="preserve">distribution system planning and operations, </w:t>
      </w:r>
      <w:r w:rsidRPr="00F31A7F">
        <w:t xml:space="preserve">are provided by the electric IOUs. </w:t>
      </w:r>
      <w:r w:rsidR="00A22568">
        <w:t xml:space="preserve"> </w:t>
      </w:r>
      <w:r w:rsidR="00236981">
        <w:t>As</w:t>
      </w:r>
      <w:r w:rsidRPr="002A0471" w:rsidR="00236981">
        <w:t xml:space="preserve"> </w:t>
      </w:r>
      <w:r w:rsidRPr="002A0471" w:rsidR="00230EC2">
        <w:t>the market evolves into a high</w:t>
      </w:r>
      <w:r w:rsidR="00A22568">
        <w:noBreakHyphen/>
      </w:r>
      <w:r w:rsidRPr="002A0471" w:rsidR="00230EC2">
        <w:t xml:space="preserve">penetration DER scenario, </w:t>
      </w:r>
      <w:r w:rsidR="00F5268B">
        <w:t xml:space="preserve">IOU </w:t>
      </w:r>
      <w:r w:rsidRPr="002A0471" w:rsidR="00230EC2">
        <w:t xml:space="preserve">roles will </w:t>
      </w:r>
      <w:r w:rsidR="00F5268B">
        <w:t xml:space="preserve">also </w:t>
      </w:r>
      <w:r w:rsidRPr="002A0471" w:rsidR="00230EC2">
        <w:t>evolve</w:t>
      </w:r>
      <w:r w:rsidR="00236981">
        <w:t xml:space="preserve"> and there may be a need to consider different </w:t>
      </w:r>
      <w:r w:rsidR="0011669E">
        <w:t xml:space="preserve">DSO </w:t>
      </w:r>
      <w:r w:rsidR="00236981">
        <w:t>roles</w:t>
      </w:r>
      <w:r w:rsidR="00C8620D">
        <w:t>.</w:t>
      </w:r>
      <w:r w:rsidR="00A22568">
        <w:t xml:space="preserve"> </w:t>
      </w:r>
      <w:r w:rsidRPr="00A12B9A" w:rsidR="00A12B9A">
        <w:t xml:space="preserve"> </w:t>
      </w:r>
      <w:r w:rsidR="00A12B9A">
        <w:t>The term</w:t>
      </w:r>
      <w:r w:rsidR="003A1DAA">
        <w:t>,</w:t>
      </w:r>
      <w:r w:rsidR="00A12B9A">
        <w:t xml:space="preserve"> “</w:t>
      </w:r>
      <w:r w:rsidRPr="00B64C84" w:rsidR="00A12B9A">
        <w:t>DSO</w:t>
      </w:r>
      <w:r w:rsidR="003A1DAA">
        <w:t>,</w:t>
      </w:r>
      <w:r w:rsidR="00A12B9A">
        <w:t>”</w:t>
      </w:r>
      <w:r w:rsidRPr="00B64C84" w:rsidR="00A12B9A">
        <w:t xml:space="preserve"> </w:t>
      </w:r>
      <w:r w:rsidR="00A12B9A">
        <w:t xml:space="preserve">is often used in reference to conceptual models </w:t>
      </w:r>
      <w:r w:rsidR="00207338">
        <w:t xml:space="preserve">designed to </w:t>
      </w:r>
      <w:r w:rsidR="001559C9">
        <w:t xml:space="preserve">efficiently </w:t>
      </w:r>
      <w:r w:rsidR="00A12B9A">
        <w:t>operat</w:t>
      </w:r>
      <w:r w:rsidR="00207338">
        <w:t>e</w:t>
      </w:r>
      <w:r w:rsidR="00A12B9A">
        <w:t xml:space="preserve"> distribution systems </w:t>
      </w:r>
      <w:r w:rsidR="00C323A1">
        <w:t xml:space="preserve">with </w:t>
      </w:r>
      <w:r w:rsidRPr="00B64C84" w:rsidR="00A12B9A">
        <w:t xml:space="preserve">high </w:t>
      </w:r>
      <w:r w:rsidR="00A12B9A">
        <w:t xml:space="preserve">numbers </w:t>
      </w:r>
      <w:r w:rsidRPr="00B64C84" w:rsidR="00A12B9A">
        <w:t>of DER</w:t>
      </w:r>
      <w:r w:rsidR="00A12B9A">
        <w:t>s</w:t>
      </w:r>
      <w:r w:rsidRPr="00B64C84" w:rsidR="003A39BC">
        <w:t xml:space="preserve">. </w:t>
      </w:r>
      <w:r w:rsidR="00A22568">
        <w:t xml:space="preserve"> </w:t>
      </w:r>
      <w:r w:rsidR="00362CE5">
        <w:t xml:space="preserve">The various </w:t>
      </w:r>
      <w:r w:rsidRPr="00362CE5" w:rsidR="00362CE5">
        <w:t>DSO models present alternative approaches to distribution system planning and operations that may help integrate DERs at least cost by increasing DER market opportunities and value capture while maintaining system safety and reliability.</w:t>
      </w:r>
    </w:p>
    <w:p w:rsidR="00686E89" w:rsidP="00E42896" w:rsidRDefault="00236981" w14:paraId="5F397B49" w14:textId="061B06CF">
      <w:pPr>
        <w:pStyle w:val="Standard"/>
      </w:pPr>
      <w:r>
        <w:t>The current cost recovery and investment structures</w:t>
      </w:r>
      <w:r w:rsidR="008C2FC7">
        <w:t xml:space="preserve"> for </w:t>
      </w:r>
      <w:r w:rsidR="00C8060B">
        <w:t xml:space="preserve">electric </w:t>
      </w:r>
      <w:r w:rsidR="008C2FC7">
        <w:t xml:space="preserve">distribution </w:t>
      </w:r>
      <w:r w:rsidR="00C8060B">
        <w:t>systems</w:t>
      </w:r>
      <w:r w:rsidR="00793256">
        <w:t xml:space="preserve"> </w:t>
      </w:r>
      <w:r>
        <w:t>focus</w:t>
      </w:r>
      <w:r w:rsidR="00F25529">
        <w:t>es</w:t>
      </w:r>
      <w:r>
        <w:t xml:space="preserve"> on large</w:t>
      </w:r>
      <w:r w:rsidR="008913E7">
        <w:t xml:space="preserve"> </w:t>
      </w:r>
      <w:r w:rsidRPr="002A0471" w:rsidR="00230EC2">
        <w:t>capital investments</w:t>
      </w:r>
      <w:r>
        <w:t xml:space="preserve">. </w:t>
      </w:r>
      <w:r w:rsidR="00A22568">
        <w:t xml:space="preserve"> </w:t>
      </w:r>
      <w:r>
        <w:t>A high</w:t>
      </w:r>
      <w:r w:rsidR="00613E22">
        <w:t>-</w:t>
      </w:r>
      <w:r>
        <w:t xml:space="preserve">penetration DER structure could </w:t>
      </w:r>
      <w:r w:rsidR="00C907DF">
        <w:t xml:space="preserve">reduce </w:t>
      </w:r>
      <w:r w:rsidR="00613E22">
        <w:t xml:space="preserve">overall </w:t>
      </w:r>
      <w:r w:rsidR="00C907DF">
        <w:t>IOU</w:t>
      </w:r>
      <w:r w:rsidR="00613E22">
        <w:t xml:space="preserve"> </w:t>
      </w:r>
      <w:r w:rsidR="00C907DF">
        <w:t>rates of return</w:t>
      </w:r>
      <w:r w:rsidRPr="002A0471" w:rsidR="00230EC2">
        <w:t>.</w:t>
      </w:r>
      <w:r w:rsidR="00A22568">
        <w:t xml:space="preserve"> </w:t>
      </w:r>
      <w:r w:rsidR="002D2585">
        <w:t xml:space="preserve"> </w:t>
      </w:r>
      <w:r w:rsidRPr="002A0471" w:rsidR="00230EC2">
        <w:t>For a</w:t>
      </w:r>
      <w:r w:rsidR="002D2585">
        <w:t>n IOU</w:t>
      </w:r>
      <w:r w:rsidR="00A22568">
        <w:noBreakHyphen/>
      </w:r>
      <w:r w:rsidRPr="002A0471" w:rsidR="00230EC2">
        <w:t>administered DSO to be successful, performance incentives</w:t>
      </w:r>
      <w:r w:rsidR="00E42896">
        <w:t xml:space="preserve"> </w:t>
      </w:r>
      <w:r w:rsidRPr="002A0471" w:rsidR="00230EC2">
        <w:t xml:space="preserve">not tied to </w:t>
      </w:r>
      <w:r w:rsidRPr="002A0471" w:rsidR="00230EC2">
        <w:lastRenderedPageBreak/>
        <w:t>capital investments</w:t>
      </w:r>
      <w:r w:rsidR="00B5781C">
        <w:t xml:space="preserve"> may be needed</w:t>
      </w:r>
      <w:r w:rsidR="00B03498">
        <w:t>,</w:t>
      </w:r>
      <w:r w:rsidR="00C907DF">
        <w:t xml:space="preserve"> or there may be a need for a third</w:t>
      </w:r>
      <w:r w:rsidR="00B03498">
        <w:t>-</w:t>
      </w:r>
      <w:r w:rsidR="00C907DF">
        <w:t>party DSO administrator</w:t>
      </w:r>
      <w:r w:rsidRPr="002A0471" w:rsidR="00230EC2">
        <w:t xml:space="preserve">. </w:t>
      </w:r>
      <w:r w:rsidR="00C325CE">
        <w:t xml:space="preserve">Potential benefits and costs of various DSO models are identified in </w:t>
      </w:r>
      <w:r w:rsidR="002E2DC1">
        <w:t>the attached 2020 study by DNV GL (</w:t>
      </w:r>
      <w:r w:rsidR="00C325CE">
        <w:t>Appendix B</w:t>
      </w:r>
      <w:r w:rsidR="002E2DC1">
        <w:t>)</w:t>
      </w:r>
      <w:r w:rsidR="00C325CE">
        <w:t>.</w:t>
      </w:r>
      <w:r w:rsidR="00C325CE">
        <w:rPr>
          <w:rStyle w:val="FootnoteReference"/>
        </w:rPr>
        <w:footnoteReference w:id="31"/>
      </w:r>
    </w:p>
    <w:p w:rsidR="002A0471" w:rsidP="00230EC2" w:rsidRDefault="007B6A35" w14:paraId="2C4A3665" w14:textId="2842C04E">
      <w:pPr>
        <w:pStyle w:val="Standard"/>
      </w:pPr>
      <w:r>
        <w:t xml:space="preserve">The </w:t>
      </w:r>
      <w:r w:rsidR="007D3CF6">
        <w:t xml:space="preserve">DNV GL </w:t>
      </w:r>
      <w:r w:rsidR="002600E2">
        <w:t xml:space="preserve">study </w:t>
      </w:r>
      <w:r w:rsidR="007D3CF6">
        <w:t xml:space="preserve">also </w:t>
      </w:r>
      <w:r w:rsidR="00BE1F72">
        <w:t>consider</w:t>
      </w:r>
      <w:r w:rsidR="002600E2">
        <w:t>s</w:t>
      </w:r>
      <w:r>
        <w:t xml:space="preserve"> </w:t>
      </w:r>
      <w:r w:rsidR="00613BBE">
        <w:t xml:space="preserve">the </w:t>
      </w:r>
      <w:r>
        <w:t xml:space="preserve">types of </w:t>
      </w:r>
      <w:r w:rsidR="00BE1F72">
        <w:t xml:space="preserve">coordination </w:t>
      </w:r>
      <w:r w:rsidR="00271F55">
        <w:t>and interaction</w:t>
      </w:r>
      <w:r w:rsidR="002600E2">
        <w:t xml:space="preserve">s </w:t>
      </w:r>
      <w:r w:rsidR="00BE1F72">
        <w:t>between DSO</w:t>
      </w:r>
      <w:r>
        <w:t>s</w:t>
      </w:r>
      <w:r w:rsidR="00BE1F72">
        <w:t xml:space="preserve"> and </w:t>
      </w:r>
      <w:r w:rsidR="00271F55">
        <w:t>Independent System Operators</w:t>
      </w:r>
      <w:r w:rsidR="00613BBE">
        <w:t xml:space="preserve"> required</w:t>
      </w:r>
      <w:r w:rsidR="002600E2">
        <w:t xml:space="preserve"> under each model</w:t>
      </w:r>
      <w:r w:rsidR="00271F55">
        <w:t xml:space="preserve">. </w:t>
      </w:r>
      <w:r w:rsidR="002600E2">
        <w:t>The d</w:t>
      </w:r>
      <w:r w:rsidR="00B21843">
        <w:t xml:space="preserve">elineation of DSO roles as opposed to Independent System Operator roles </w:t>
      </w:r>
      <w:r w:rsidR="00336602">
        <w:t>is</w:t>
      </w:r>
      <w:r w:rsidR="00B21843">
        <w:t xml:space="preserve"> expected to be </w:t>
      </w:r>
      <w:r w:rsidR="00336602">
        <w:t xml:space="preserve">relevant to </w:t>
      </w:r>
      <w:r w:rsidR="00B21843">
        <w:t>this OIR</w:t>
      </w:r>
      <w:r w:rsidR="00A86783">
        <w:t xml:space="preserve">. </w:t>
      </w:r>
      <w:r w:rsidR="00711CA7">
        <w:t>For further discussion</w:t>
      </w:r>
      <w:r w:rsidR="00A86783">
        <w:t xml:space="preserve"> about the various </w:t>
      </w:r>
      <w:r w:rsidR="00613BBE">
        <w:t xml:space="preserve">types of </w:t>
      </w:r>
      <w:r w:rsidR="00A86783">
        <w:t>DSO models</w:t>
      </w:r>
      <w:r w:rsidR="00711CA7">
        <w:t xml:space="preserve">, see Appendix </w:t>
      </w:r>
      <w:r w:rsidR="00121590">
        <w:t>B</w:t>
      </w:r>
      <w:r w:rsidR="00711CA7">
        <w:t>.</w:t>
      </w:r>
      <w:r w:rsidR="00035068">
        <w:t xml:space="preserve"> </w:t>
      </w:r>
    </w:p>
    <w:p w:rsidR="00F0423B" w:rsidP="00F0423B" w:rsidRDefault="00F0423B" w14:paraId="57D946A0" w14:textId="49098904">
      <w:pPr>
        <w:pStyle w:val="Heading1"/>
      </w:pPr>
      <w:bookmarkStart w:name="_Toc71038944" w:id="11"/>
      <w:r>
        <w:t>Preliminary Scoping Memo</w:t>
      </w:r>
      <w:bookmarkEnd w:id="11"/>
    </w:p>
    <w:p w:rsidR="00F0423B" w:rsidP="00F0423B" w:rsidRDefault="00F0423B" w14:paraId="45773CDE" w14:textId="0519892B">
      <w:pPr>
        <w:pStyle w:val="Standard"/>
      </w:pPr>
      <w:r>
        <w:t xml:space="preserve">The </w:t>
      </w:r>
      <w:r w:rsidR="00145E49">
        <w:t>Commission</w:t>
      </w:r>
      <w:r>
        <w:t xml:space="preserve"> will conduct this rulemaking in accordance with Article 6 of the </w:t>
      </w:r>
      <w:r w:rsidR="00145E49">
        <w:t>Commission’</w:t>
      </w:r>
      <w:r>
        <w:t>s Rules of Practice and Procedure (Rules). As required by Rule 7.1(d), this OIR includes a preliminary scoping memo as set forth below, and preliminarily determines the category of this proceeding and the need for hearing.</w:t>
      </w:r>
    </w:p>
    <w:p w:rsidR="00F0423B" w:rsidP="00F0423B" w:rsidRDefault="00F0423B" w14:paraId="0A66FB33" w14:textId="350C88A5">
      <w:pPr>
        <w:pStyle w:val="Heading2"/>
      </w:pPr>
      <w:bookmarkStart w:name="_Toc71038945" w:id="12"/>
      <w:r>
        <w:t>Issues</w:t>
      </w:r>
      <w:bookmarkEnd w:id="12"/>
      <w:r w:rsidR="6A0BB246">
        <w:t xml:space="preserve"> </w:t>
      </w:r>
    </w:p>
    <w:p w:rsidRPr="007D703E" w:rsidR="00CA5360" w:rsidP="00BD6A06" w:rsidRDefault="00CA5360" w14:paraId="44DC4A38" w14:textId="1DED24BA">
      <w:pPr>
        <w:pStyle w:val="Standard"/>
      </w:pPr>
      <w:r>
        <w:t xml:space="preserve">Where the prior DRP and IDER proceedings focus on the distribution deferral value of DERs, this proceeding is intended to explore </w:t>
      </w:r>
      <w:proofErr w:type="gramStart"/>
      <w:r>
        <w:t>more wide</w:t>
      </w:r>
      <w:proofErr w:type="gramEnd"/>
      <w:r w:rsidR="00A22568">
        <w:noBreakHyphen/>
      </w:r>
      <w:r>
        <w:t xml:space="preserve">ranging questions related to distribution planning and modernization of the grid to support high numbers of DER, as further detailed in Section 5.2 below.  Given the expansive nature of these questions, the scoping issues proposed in this OIR are more aspirational and less concrete than in prior distribution planning proceedings. </w:t>
      </w:r>
      <w:r w:rsidR="002E271B">
        <w:t xml:space="preserve"> </w:t>
      </w:r>
      <w:r>
        <w:t xml:space="preserve">We welcome party feedback on the OIR, in </w:t>
      </w:r>
      <w:r>
        <w:lastRenderedPageBreak/>
        <w:t xml:space="preserve">written comments and at the upcoming scoping workshop, towards refining the proceeding scope and schedule such that the Commission may adopt a set of clearly-defined scoping issues and a realistic procedural path to achieving them in the scoping memo for this proceeding that will be issued in accordance with the schedule set forth below.  We also note that the adopted scope may evolve over time as our exploration of these questions reveals new or changing avenues of inquiry.  </w:t>
      </w:r>
    </w:p>
    <w:p w:rsidR="298F84B3" w:rsidP="12B8C0BC" w:rsidRDefault="002E198A" w14:paraId="3FA75C13" w14:textId="2DA6B0F0">
      <w:pPr>
        <w:pStyle w:val="Standard"/>
      </w:pPr>
      <w:r>
        <w:t>In addition to considering wide-ranging issues related to distribution planning, t</w:t>
      </w:r>
      <w:r w:rsidR="00E82B05">
        <w:t xml:space="preserve">his proceeding </w:t>
      </w:r>
      <w:r w:rsidR="00A34F60">
        <w:t>will</w:t>
      </w:r>
      <w:r w:rsidR="00E82B05">
        <w:t xml:space="preserve"> </w:t>
      </w:r>
      <w:r w:rsidR="000504C0">
        <w:t>support</w:t>
      </w:r>
      <w:r w:rsidR="00427B0A">
        <w:t xml:space="preserve"> </w:t>
      </w:r>
      <w:r w:rsidR="000504C0">
        <w:t xml:space="preserve">DRP and IDER proceeding </w:t>
      </w:r>
      <w:r w:rsidR="00E82B05">
        <w:t xml:space="preserve">work </w:t>
      </w:r>
      <w:r w:rsidR="007415F2">
        <w:t xml:space="preserve">streams </w:t>
      </w:r>
      <w:r w:rsidR="00E82B05">
        <w:t xml:space="preserve">to </w:t>
      </w:r>
      <w:r w:rsidR="0DFD7FE8">
        <w:t xml:space="preserve">continue to </w:t>
      </w:r>
      <w:r w:rsidR="00E82B05">
        <w:t xml:space="preserve">implement the requirements of </w:t>
      </w:r>
      <w:r w:rsidR="00DA33D5">
        <w:t xml:space="preserve">Section </w:t>
      </w:r>
      <w:r w:rsidR="00E82B05">
        <w:t>769</w:t>
      </w:r>
      <w:r w:rsidR="00427B0A">
        <w:t xml:space="preserve"> </w:t>
      </w:r>
      <w:r w:rsidR="00EC21ED">
        <w:t xml:space="preserve">with the anticipated closure of these two </w:t>
      </w:r>
      <w:r w:rsidR="00427B0A">
        <w:t>proceedings</w:t>
      </w:r>
      <w:r w:rsidR="00F0423B">
        <w:t>.</w:t>
      </w:r>
      <w:r w:rsidR="00E82B05">
        <w:t xml:space="preserve"> </w:t>
      </w:r>
      <w:r w:rsidR="008235E6">
        <w:t>Although much was accomplished in the two proceedings, a</w:t>
      </w:r>
      <w:r w:rsidR="00EB3DBF">
        <w:t xml:space="preserve"> great deal of w</w:t>
      </w:r>
      <w:r w:rsidR="00960D7C">
        <w:t>ork remains</w:t>
      </w:r>
      <w:r w:rsidR="008235E6">
        <w:t xml:space="preserve"> </w:t>
      </w:r>
      <w:r w:rsidR="00960D7C">
        <w:t xml:space="preserve">to </w:t>
      </w:r>
      <w:r w:rsidR="24E145F9">
        <w:t>ensure the grid can</w:t>
      </w:r>
      <w:r w:rsidR="00960D7C">
        <w:t xml:space="preserve"> </w:t>
      </w:r>
      <w:r w:rsidR="00420DDE">
        <w:t>efficien</w:t>
      </w:r>
      <w:r w:rsidR="007B269A">
        <w:t>tl</w:t>
      </w:r>
      <w:r w:rsidR="00420DDE">
        <w:t xml:space="preserve">y and cost effectively </w:t>
      </w:r>
      <w:r w:rsidR="00F61550">
        <w:t xml:space="preserve">support </w:t>
      </w:r>
      <w:r w:rsidR="004B5714">
        <w:t xml:space="preserve">the </w:t>
      </w:r>
      <w:r w:rsidR="3AFEBCB1">
        <w:t>growth</w:t>
      </w:r>
      <w:r w:rsidR="10C62488">
        <w:t xml:space="preserve"> of </w:t>
      </w:r>
      <w:r w:rsidR="00A67527">
        <w:t>DER</w:t>
      </w:r>
      <w:r w:rsidR="718DB85F">
        <w:t>s</w:t>
      </w:r>
      <w:r w:rsidR="00E019B4">
        <w:t>.</w:t>
      </w:r>
      <w:r w:rsidR="004F4BC1">
        <w:t xml:space="preserve"> </w:t>
      </w:r>
      <w:r w:rsidR="00C51DA6">
        <w:t xml:space="preserve">A </w:t>
      </w:r>
      <w:r w:rsidR="00CF7DF5">
        <w:t xml:space="preserve">list of </w:t>
      </w:r>
      <w:r w:rsidR="00C27B87">
        <w:t xml:space="preserve">outstanding </w:t>
      </w:r>
      <w:r w:rsidR="00C51DA6">
        <w:t xml:space="preserve">and new </w:t>
      </w:r>
      <w:r w:rsidR="00DA33D5">
        <w:t>issues</w:t>
      </w:r>
      <w:r w:rsidR="00CA3EAE">
        <w:t xml:space="preserve"> </w:t>
      </w:r>
      <w:r w:rsidR="00C51DA6">
        <w:t xml:space="preserve">is provided </w:t>
      </w:r>
      <w:r w:rsidR="007408FA">
        <w:t xml:space="preserve">in Appendix </w:t>
      </w:r>
      <w:r w:rsidR="00121590">
        <w:t>C</w:t>
      </w:r>
      <w:r w:rsidR="00D85D39">
        <w:t>.</w:t>
      </w:r>
      <w:r w:rsidR="00FA4BBB">
        <w:t xml:space="preserve"> </w:t>
      </w:r>
      <w:r w:rsidR="007D0637">
        <w:t>The list was informed</w:t>
      </w:r>
      <w:r w:rsidR="003C136A">
        <w:t xml:space="preserve"> by AB 327, Section 769</w:t>
      </w:r>
      <w:r w:rsidR="007D0637">
        <w:t>,</w:t>
      </w:r>
      <w:r w:rsidR="003C136A">
        <w:t xml:space="preserve"> </w:t>
      </w:r>
      <w:r w:rsidR="00AF617B">
        <w:t xml:space="preserve">the DRP and IDER proceeding records, </w:t>
      </w:r>
      <w:r w:rsidR="0045015C">
        <w:t xml:space="preserve">the </w:t>
      </w:r>
      <w:r w:rsidR="00145E49">
        <w:t>Commission</w:t>
      </w:r>
      <w:r w:rsidR="003C41EB">
        <w:t xml:space="preserve">’s </w:t>
      </w:r>
      <w:r w:rsidR="0045015C">
        <w:t xml:space="preserve">2017 </w:t>
      </w:r>
      <w:r w:rsidR="004E39F4">
        <w:t xml:space="preserve">DER </w:t>
      </w:r>
      <w:r w:rsidR="0045015C">
        <w:t xml:space="preserve">Action Plan, </w:t>
      </w:r>
      <w:r w:rsidR="003C136A">
        <w:t xml:space="preserve">and, </w:t>
      </w:r>
      <w:r w:rsidR="007D0637">
        <w:t xml:space="preserve">in part, by discussions during an informal 2020 DRP “Retrospective” meeting with a range of stakeholders to discuss the DRP (Appendix </w:t>
      </w:r>
      <w:r w:rsidR="00121590">
        <w:t>D</w:t>
      </w:r>
      <w:r w:rsidR="007D0637">
        <w:t xml:space="preserve">). This OIR, however, may not address the full list of issues identified in appendices </w:t>
      </w:r>
      <w:r w:rsidR="00121590">
        <w:t>C</w:t>
      </w:r>
      <w:r w:rsidR="007D0637">
        <w:t xml:space="preserve"> and </w:t>
      </w:r>
      <w:r w:rsidR="00121590">
        <w:t>D</w:t>
      </w:r>
      <w:r w:rsidR="007D0637">
        <w:t xml:space="preserve"> or may address different or modified issues. </w:t>
      </w:r>
      <w:r w:rsidR="00A22568">
        <w:t xml:space="preserve"> </w:t>
      </w:r>
      <w:r w:rsidR="00CF752A">
        <w:t>The</w:t>
      </w:r>
      <w:r w:rsidR="006A69A9">
        <w:t xml:space="preserve"> </w:t>
      </w:r>
      <w:r w:rsidR="00E57BEB">
        <w:t xml:space="preserve">preliminary scope </w:t>
      </w:r>
      <w:r w:rsidR="00D524A2">
        <w:t>is provided in the following section</w:t>
      </w:r>
      <w:r w:rsidR="00A31C18">
        <w:t xml:space="preserve"> including a list of questions to help refine the scope</w:t>
      </w:r>
      <w:r w:rsidR="00D524A2">
        <w:t>.</w:t>
      </w:r>
      <w:bookmarkStart w:name="_Hlk67499129" w:id="13"/>
      <w:bookmarkEnd w:id="13"/>
    </w:p>
    <w:p w:rsidR="00AF3B07" w:rsidP="00AF3B07" w:rsidRDefault="00AF3B07" w14:paraId="2D239A95" w14:textId="4A16E20A">
      <w:pPr>
        <w:pStyle w:val="Heading2"/>
      </w:pPr>
      <w:bookmarkStart w:name="_Toc71038946" w:id="14"/>
      <w:r>
        <w:t>Preliminary Scope</w:t>
      </w:r>
      <w:bookmarkEnd w:id="14"/>
    </w:p>
    <w:p w:rsidRPr="001E323E" w:rsidR="00473F54" w:rsidP="00473F54" w:rsidRDefault="00152ED6" w14:paraId="076CEA82" w14:textId="1A712834">
      <w:pPr>
        <w:pStyle w:val="Standard"/>
      </w:pPr>
      <w:r>
        <w:t xml:space="preserve">With respect to </w:t>
      </w:r>
      <w:r w:rsidRPr="001E323E" w:rsidR="008463C4">
        <w:t xml:space="preserve">grid modernization, </w:t>
      </w:r>
      <w:r>
        <w:t>this OIR will consider</w:t>
      </w:r>
      <w:r w:rsidR="00957B89">
        <w:t xml:space="preserve"> </w:t>
      </w:r>
      <w:r w:rsidRPr="001E323E" w:rsidR="008463C4">
        <w:t>increas</w:t>
      </w:r>
      <w:r>
        <w:t>ing</w:t>
      </w:r>
      <w:r w:rsidRPr="001E323E" w:rsidR="008463C4">
        <w:t xml:space="preserve"> community engagement with distribution planning</w:t>
      </w:r>
      <w:r w:rsidR="00957B89">
        <w:t xml:space="preserve"> </w:t>
      </w:r>
      <w:r w:rsidRPr="001E323E" w:rsidR="008463C4">
        <w:t>and investigat</w:t>
      </w:r>
      <w:r w:rsidR="006011B8">
        <w:t xml:space="preserve">ing </w:t>
      </w:r>
      <w:r w:rsidRPr="001E323E" w:rsidR="008463C4">
        <w:t>IOU</w:t>
      </w:r>
      <w:r w:rsidRPr="001E323E" w:rsidR="4A85262D">
        <w:t xml:space="preserve">, </w:t>
      </w:r>
      <w:r w:rsidRPr="001E323E" w:rsidR="008463C4">
        <w:t>distribution operator</w:t>
      </w:r>
      <w:r w:rsidRPr="001E323E" w:rsidR="7BEE02BC">
        <w:t>, and DER stakeholder</w:t>
      </w:r>
      <w:r w:rsidRPr="001E323E" w:rsidR="008463C4">
        <w:t xml:space="preserve"> roles and responsibilities </w:t>
      </w:r>
      <w:r w:rsidR="00957B89">
        <w:t>that</w:t>
      </w:r>
      <w:r w:rsidRPr="001E323E" w:rsidR="008463C4">
        <w:t>:</w:t>
      </w:r>
    </w:p>
    <w:p w:rsidRPr="00AC71BA" w:rsidR="00473F54" w:rsidP="00A22568" w:rsidRDefault="00473F54" w14:paraId="786D3EB6" w14:textId="763CB9BA">
      <w:pPr>
        <w:pStyle w:val="ListBullet"/>
      </w:pPr>
      <w:r w:rsidRPr="001E323E">
        <w:lastRenderedPageBreak/>
        <w:t>Enable swift</w:t>
      </w:r>
      <w:r>
        <w:t xml:space="preserve"> evolution of grid </w:t>
      </w:r>
      <w:r w:rsidR="2295BA43">
        <w:t>capabilities</w:t>
      </w:r>
      <w:r w:rsidR="1B8AB90F">
        <w:t xml:space="preserve"> </w:t>
      </w:r>
      <w:r w:rsidR="008E5D60">
        <w:t xml:space="preserve">and operations </w:t>
      </w:r>
      <w:r>
        <w:t xml:space="preserve">to integrate </w:t>
      </w:r>
      <w:r w:rsidR="0065525A">
        <w:t>solar, storage,</w:t>
      </w:r>
      <w:r>
        <w:t xml:space="preserve"> </w:t>
      </w:r>
      <w:r w:rsidR="00906614">
        <w:t>EVs</w:t>
      </w:r>
      <w:r w:rsidR="7D1E6DB1">
        <w:t>/</w:t>
      </w:r>
      <w:r w:rsidR="003B0C3B">
        <w:t xml:space="preserve">EVSE </w:t>
      </w:r>
      <w:r w:rsidR="00DA20F5">
        <w:t>and other DERs</w:t>
      </w:r>
      <w:r>
        <w:t xml:space="preserve"> </w:t>
      </w:r>
      <w:r w:rsidR="00000FB2">
        <w:t xml:space="preserve">to </w:t>
      </w:r>
      <w:r>
        <w:t xml:space="preserve">meet </w:t>
      </w:r>
      <w:r w:rsidR="00E1263D">
        <w:t xml:space="preserve">the State’s </w:t>
      </w:r>
      <w:r>
        <w:t>100</w:t>
      </w:r>
      <w:r w:rsidR="00E1263D">
        <w:t xml:space="preserve"> percent</w:t>
      </w:r>
      <w:r>
        <w:t xml:space="preserve"> clean energy goals;</w:t>
      </w:r>
    </w:p>
    <w:p w:rsidRPr="00867BBE" w:rsidR="00867BBE" w:rsidP="00A22568" w:rsidRDefault="00867BBE" w14:paraId="14DD089D" w14:textId="383E125D">
      <w:pPr>
        <w:pStyle w:val="ListBullet"/>
      </w:pPr>
      <w:r w:rsidRPr="00867BBE">
        <w:t>Improve distribution planning, including charging</w:t>
      </w:r>
      <w:r w:rsidR="00DC33FC">
        <w:t xml:space="preserve"> </w:t>
      </w:r>
      <w:r w:rsidRPr="00867BBE">
        <w:t>infrastructure forecasting to support cost</w:t>
      </w:r>
      <w:r w:rsidR="00B746B4">
        <w:t xml:space="preserve"> </w:t>
      </w:r>
      <w:r w:rsidRPr="00867BBE">
        <w:t xml:space="preserve">effective and widespread </w:t>
      </w:r>
      <w:r w:rsidR="009906CE">
        <w:t>TE</w:t>
      </w:r>
      <w:r w:rsidRPr="00867BBE">
        <w:t>;</w:t>
      </w:r>
      <w:r w:rsidR="00787C89">
        <w:t xml:space="preserve"> and</w:t>
      </w:r>
    </w:p>
    <w:p w:rsidR="00E1659C" w:rsidP="00A22568" w:rsidRDefault="00874499" w14:paraId="351F7910" w14:textId="3F21D3C0">
      <w:pPr>
        <w:pStyle w:val="ListBullet"/>
      </w:pPr>
      <w:r>
        <w:t xml:space="preserve">Optimize </w:t>
      </w:r>
      <w:r w:rsidR="00E4061D">
        <w:t xml:space="preserve">grid </w:t>
      </w:r>
      <w:r w:rsidRPr="00AC71BA" w:rsidR="00473F54">
        <w:t>infrastructure</w:t>
      </w:r>
      <w:r w:rsidR="00F21802">
        <w:t xml:space="preserve"> </w:t>
      </w:r>
      <w:r>
        <w:t>investment</w:t>
      </w:r>
      <w:r w:rsidR="00451AF5">
        <w:t>s</w:t>
      </w:r>
      <w:r>
        <w:t xml:space="preserve"> </w:t>
      </w:r>
      <w:r w:rsidR="00FF48DE">
        <w:t xml:space="preserve">by </w:t>
      </w:r>
      <w:r w:rsidR="00CC6E58">
        <w:t xml:space="preserve">facilitating </w:t>
      </w:r>
      <w:r w:rsidR="00A064D8">
        <w:t>community input</w:t>
      </w:r>
      <w:r w:rsidR="00AD7F10">
        <w:t xml:space="preserve"> about planned developments</w:t>
      </w:r>
      <w:r w:rsidR="006B5359">
        <w:t>,</w:t>
      </w:r>
      <w:r w:rsidR="00AD7F10">
        <w:t xml:space="preserve"> DER </w:t>
      </w:r>
      <w:r w:rsidR="004078DA">
        <w:t>siting plans</w:t>
      </w:r>
      <w:r w:rsidR="006B5359">
        <w:t xml:space="preserve">, and </w:t>
      </w:r>
      <w:r w:rsidR="00721D4F">
        <w:t>resiliency needs</w:t>
      </w:r>
      <w:r w:rsidR="00E4061D">
        <w:t>.</w:t>
      </w:r>
      <w:r w:rsidR="00E1659C">
        <w:t xml:space="preserve"> </w:t>
      </w:r>
    </w:p>
    <w:p w:rsidR="004475A5" w:rsidP="002402CC" w:rsidRDefault="00527FC1" w14:paraId="1674AC6D" w14:textId="36105183">
      <w:pPr>
        <w:pStyle w:val="Standard"/>
      </w:pPr>
      <w:r>
        <w:t>A</w:t>
      </w:r>
      <w:r w:rsidR="00D206DF">
        <w:t xml:space="preserve"> series of </w:t>
      </w:r>
      <w:r w:rsidR="002C5173">
        <w:t xml:space="preserve">scoping </w:t>
      </w:r>
      <w:r w:rsidR="00E82B05">
        <w:t xml:space="preserve">questions </w:t>
      </w:r>
      <w:r w:rsidR="00D206DF">
        <w:t xml:space="preserve">are posed </w:t>
      </w:r>
      <w:r w:rsidR="00E82B05">
        <w:t>to all interested parties</w:t>
      </w:r>
      <w:r>
        <w:t xml:space="preserve"> to facilitate </w:t>
      </w:r>
      <w:r w:rsidR="00543E4D">
        <w:t>feedback on these broad intentions</w:t>
      </w:r>
      <w:r w:rsidR="1DC068B3">
        <w:t>. The questions are</w:t>
      </w:r>
      <w:r w:rsidR="7547382E">
        <w:t xml:space="preserve"> organized under </w:t>
      </w:r>
      <w:r w:rsidR="00922229">
        <w:t xml:space="preserve">three tracks </w:t>
      </w:r>
      <w:r w:rsidR="7547382E">
        <w:t>(topic areas)</w:t>
      </w:r>
      <w:r w:rsidR="7E83C453">
        <w:t>.</w:t>
      </w:r>
      <w:r w:rsidR="510CB387">
        <w:t xml:space="preserve"> </w:t>
      </w:r>
    </w:p>
    <w:p w:rsidR="003B0729" w:rsidP="0042381D" w:rsidRDefault="003B0729" w14:paraId="4718FFB7" w14:textId="209E414F">
      <w:pPr>
        <w:pStyle w:val="Standard"/>
      </w:pPr>
      <w:r>
        <w:t xml:space="preserve">Track 1 broadly focuses on high-level policy issues involving distribution </w:t>
      </w:r>
      <w:r w:rsidR="005738C8">
        <w:t>system</w:t>
      </w:r>
      <w:r>
        <w:t xml:space="preserve"> operator roles and responsibilities as well as IOU and aggregator business models.</w:t>
      </w:r>
      <w:r w:rsidR="00A22568">
        <w:t xml:space="preserve"> </w:t>
      </w:r>
      <w:r>
        <w:t xml:space="preserve"> This track is expected to address long-term policy issues and could result in findings that implicate potential action beyond the timeframe of this OIR. Topics addressed in this track are based, in part, on the attached 2020 study by DNV GL about DSO models (Appendix B). The DSO study discusses </w:t>
      </w:r>
      <w:r w:rsidR="4B278BB0">
        <w:t>new</w:t>
      </w:r>
      <w:r>
        <w:t xml:space="preserve"> approaches to distribution system planning, operations, and ratemaking that may </w:t>
      </w:r>
      <w:r w:rsidR="1D3128E7">
        <w:t>improve</w:t>
      </w:r>
      <w:r>
        <w:t xml:space="preserve"> DER </w:t>
      </w:r>
      <w:r w:rsidR="7731972E">
        <w:t>integration efficiency</w:t>
      </w:r>
      <w:r>
        <w:t xml:space="preserve"> and </w:t>
      </w:r>
      <w:r w:rsidR="7731972E">
        <w:t>cost effectiveness</w:t>
      </w:r>
      <w:r w:rsidR="7946D31D">
        <w:t>.</w:t>
      </w:r>
      <w:bookmarkStart w:name="_Hlk68622457" w:id="15"/>
      <w:r w:rsidR="00A22568">
        <w:t xml:space="preserve"> </w:t>
      </w:r>
      <w:r>
        <w:t xml:space="preserve"> </w:t>
      </w:r>
      <w:bookmarkEnd w:id="15"/>
      <w:r>
        <w:t xml:space="preserve">A central Track 1 activity will be the completion of a consultant technical report that provides an in-depth review of DSO models, distribution operator roles and responsibilities, and implementation feasibility.  Stakeholder engagement will provide input on the study’s scope and </w:t>
      </w:r>
      <w:r w:rsidRPr="00155430">
        <w:t xml:space="preserve">objectives, </w:t>
      </w:r>
      <w:r w:rsidRPr="00F71D93">
        <w:t>draft deliverables</w:t>
      </w:r>
      <w:r w:rsidRPr="00155430">
        <w:t xml:space="preserve">, </w:t>
      </w:r>
      <w:r w:rsidR="008B5346">
        <w:t xml:space="preserve">public engagement, </w:t>
      </w:r>
      <w:r w:rsidRPr="00155430">
        <w:t>and</w:t>
      </w:r>
      <w:r>
        <w:t xml:space="preserve"> findings. </w:t>
      </w:r>
      <w:r w:rsidR="00A22568">
        <w:t xml:space="preserve"> </w:t>
      </w:r>
      <w:r w:rsidR="00A86EA3">
        <w:t xml:space="preserve">Activities in Track 1 are expected to include </w:t>
      </w:r>
      <w:r w:rsidRPr="00E50E96" w:rsidR="00A86EA3">
        <w:t xml:space="preserve">an En Banc </w:t>
      </w:r>
      <w:r w:rsidR="003F5712">
        <w:t xml:space="preserve">to present study findings </w:t>
      </w:r>
      <w:r w:rsidR="007B0718">
        <w:t>and gather feedback from</w:t>
      </w:r>
      <w:r w:rsidR="002E7920">
        <w:t xml:space="preserve"> </w:t>
      </w:r>
      <w:r w:rsidR="00A86EA3">
        <w:t xml:space="preserve">national and international experts on </w:t>
      </w:r>
      <w:r w:rsidR="00D14101">
        <w:t xml:space="preserve">electric </w:t>
      </w:r>
      <w:r w:rsidR="00DA73C8">
        <w:t>grid models</w:t>
      </w:r>
      <w:r w:rsidR="003F5712">
        <w:t xml:space="preserve"> </w:t>
      </w:r>
      <w:r w:rsidR="00D14101">
        <w:t>and architectures</w:t>
      </w:r>
      <w:r w:rsidR="0086779C">
        <w:t xml:space="preserve"> (both existing and conceptual)</w:t>
      </w:r>
      <w:r w:rsidR="00BD36A9">
        <w:t xml:space="preserve"> and the state-of-the-ar</w:t>
      </w:r>
      <w:r w:rsidR="00400361">
        <w:t>t on approaches to DER integration</w:t>
      </w:r>
      <w:r w:rsidR="00A86EA3">
        <w:t xml:space="preserve">. </w:t>
      </w:r>
      <w:r>
        <w:lastRenderedPageBreak/>
        <w:t xml:space="preserve">Depending </w:t>
      </w:r>
      <w:r w:rsidRPr="004960F6">
        <w:t>on the scope of the study</w:t>
      </w:r>
      <w:r w:rsidR="00503499">
        <w:t xml:space="preserve"> and stakeholder comments</w:t>
      </w:r>
      <w:r w:rsidRPr="004960F6">
        <w:t>, some findings might be rolled into a successor proceeding.</w:t>
      </w:r>
    </w:p>
    <w:p w:rsidRPr="00CE686A" w:rsidR="00AF3B07" w:rsidP="003B0729" w:rsidRDefault="003B0729" w14:paraId="1DEBE666" w14:textId="0D60A55A">
      <w:pPr>
        <w:pStyle w:val="Standard"/>
      </w:pPr>
      <w:r>
        <w:t xml:space="preserve">The second track </w:t>
      </w:r>
      <w:r w:rsidRPr="00535279" w:rsidR="00A54B58">
        <w:t xml:space="preserve">focuses on near-term evolution </w:t>
      </w:r>
      <w:r w:rsidRPr="003B317D" w:rsidR="00A54B58">
        <w:t xml:space="preserve">and improvement of the adopted </w:t>
      </w:r>
      <w:r w:rsidR="00F12D08">
        <w:t xml:space="preserve">DRP </w:t>
      </w:r>
      <w:r w:rsidRPr="003B317D" w:rsidR="00A54B58">
        <w:t>frameworks, analytic tools, and planning processes</w:t>
      </w:r>
      <w:r w:rsidRPr="003B317D" w:rsidR="00A54B58">
        <w:rPr>
          <w:rStyle w:val="FootnoteReference"/>
        </w:rPr>
        <w:footnoteReference w:id="32"/>
      </w:r>
      <w:r w:rsidRPr="003B317D" w:rsidR="00A54B58">
        <w:t xml:space="preserve"> into a more holistic </w:t>
      </w:r>
      <w:r w:rsidRPr="003B317D" w:rsidR="00A21447">
        <w:t>DPP</w:t>
      </w:r>
      <w:r w:rsidRPr="00721D4F" w:rsidR="00F242C0">
        <w:t>.</w:t>
      </w:r>
      <w:r w:rsidR="00F242C0">
        <w:t xml:space="preserve"> </w:t>
      </w:r>
      <w:r w:rsidR="00A22568">
        <w:t xml:space="preserve"> </w:t>
      </w:r>
      <w:r w:rsidRPr="003B317D" w:rsidR="00A54B58">
        <w:t xml:space="preserve">Track </w:t>
      </w:r>
      <w:r w:rsidR="00A95442">
        <w:t>2</w:t>
      </w:r>
      <w:r w:rsidRPr="003B317D" w:rsidR="00A54B58">
        <w:t xml:space="preserve"> includes carryover work from the previous DRP and IDER proceedings as well as a reformed focus</w:t>
      </w:r>
      <w:r w:rsidR="00721D4F">
        <w:t xml:space="preserve"> on</w:t>
      </w:r>
      <w:r w:rsidRPr="00721D4F" w:rsidR="00A54B58">
        <w:t xml:space="preserve"> </w:t>
      </w:r>
      <w:r w:rsidRPr="00721D4F" w:rsidR="0004235D">
        <w:t>optimizing grid investment</w:t>
      </w:r>
      <w:r w:rsidRPr="00721D4F" w:rsidR="007D3496">
        <w:t>s</w:t>
      </w:r>
      <w:r w:rsidRPr="00721D4F" w:rsidR="0004235D">
        <w:t xml:space="preserve"> </w:t>
      </w:r>
      <w:r w:rsidRPr="00721D4F" w:rsidR="007D3496">
        <w:t xml:space="preserve">to accommodate </w:t>
      </w:r>
      <w:r w:rsidRPr="00721D4F" w:rsidR="00A54B58">
        <w:t>DER</w:t>
      </w:r>
      <w:r w:rsidRPr="00721D4F" w:rsidR="007D3496">
        <w:t xml:space="preserve"> growth</w:t>
      </w:r>
      <w:r w:rsidRPr="00721D4F" w:rsidDel="000670A9" w:rsidR="00A54B58">
        <w:t xml:space="preserve"> </w:t>
      </w:r>
      <w:r w:rsidRPr="00721D4F" w:rsidR="00A54B58">
        <w:t>while supporting resiliency and</w:t>
      </w:r>
      <w:r w:rsidRPr="00535279" w:rsidR="00A54B58">
        <w:t xml:space="preserve"> electrification goals and facilitating </w:t>
      </w:r>
      <w:r w:rsidRPr="00CE686A" w:rsidR="00A54B58">
        <w:t>community engagement.</w:t>
      </w:r>
      <w:r w:rsidR="00A22568">
        <w:t xml:space="preserve"> </w:t>
      </w:r>
      <w:r w:rsidRPr="00CE686A" w:rsidR="00A54B58">
        <w:t xml:space="preserve"> Track </w:t>
      </w:r>
      <w:r w:rsidR="00A95442">
        <w:t>2</w:t>
      </w:r>
      <w:r w:rsidRPr="00CE686A" w:rsidR="00A54B58">
        <w:t xml:space="preserve"> activities would</w:t>
      </w:r>
      <w:r w:rsidR="001B45B2">
        <w:t xml:space="preserve"> be</w:t>
      </w:r>
      <w:r w:rsidRPr="00CE686A" w:rsidR="00A54B58">
        <w:t xml:space="preserve"> staff</w:t>
      </w:r>
      <w:r w:rsidR="00EB6976">
        <w:t xml:space="preserve"> </w:t>
      </w:r>
      <w:r w:rsidRPr="00CE686A" w:rsidR="00A54B58">
        <w:t>led</w:t>
      </w:r>
      <w:r w:rsidR="00EB6976">
        <w:t xml:space="preserve">, </w:t>
      </w:r>
      <w:r w:rsidRPr="00CE686A" w:rsidR="00A54B58">
        <w:t>includ</w:t>
      </w:r>
      <w:r w:rsidR="00EB6976">
        <w:t xml:space="preserve">ing </w:t>
      </w:r>
      <w:r w:rsidRPr="00CE686A" w:rsidR="00A54B58">
        <w:t>a staff proposal and public workshops</w:t>
      </w:r>
      <w:r w:rsidRPr="00CE686A" w:rsidR="009E7E9A">
        <w:t xml:space="preserve"> regarding DIDF and DPP improvement</w:t>
      </w:r>
      <w:r w:rsidRPr="00CE686A" w:rsidR="00A54B58">
        <w:t>.</w:t>
      </w:r>
      <w:r w:rsidRPr="00CE686A" w:rsidR="004F0C81">
        <w:t xml:space="preserve"> Coordination with </w:t>
      </w:r>
      <w:r w:rsidRPr="00CE686A" w:rsidR="009906CE">
        <w:t xml:space="preserve">the </w:t>
      </w:r>
      <w:r w:rsidR="00A45613">
        <w:t xml:space="preserve">TE proceeding </w:t>
      </w:r>
      <w:r w:rsidR="0027451A">
        <w:t>Rulemaking (</w:t>
      </w:r>
      <w:r w:rsidRPr="00E369DD" w:rsidR="00A45613">
        <w:t>R.</w:t>
      </w:r>
      <w:r w:rsidR="0027451A">
        <w:t>)</w:t>
      </w:r>
      <w:r w:rsidRPr="00E369DD" w:rsidR="00A45613">
        <w:t>18-12-006</w:t>
      </w:r>
      <w:r w:rsidR="00A45613">
        <w:t xml:space="preserve"> </w:t>
      </w:r>
      <w:r w:rsidRPr="00CE686A" w:rsidR="00E369DD">
        <w:t>will be important</w:t>
      </w:r>
      <w:r w:rsidRPr="00CE686A" w:rsidR="001E7C70">
        <w:t xml:space="preserve"> </w:t>
      </w:r>
      <w:r w:rsidRPr="00CE686A" w:rsidR="00F86F77">
        <w:t xml:space="preserve">during </w:t>
      </w:r>
      <w:r w:rsidRPr="00CE686A" w:rsidR="009B206D">
        <w:t xml:space="preserve">Track </w:t>
      </w:r>
      <w:r w:rsidR="00A95442">
        <w:t>2</w:t>
      </w:r>
      <w:r w:rsidRPr="00CE686A" w:rsidR="00D576BE">
        <w:t xml:space="preserve">, especially regarding </w:t>
      </w:r>
      <w:r w:rsidRPr="00CE686A" w:rsidR="009B206D">
        <w:t xml:space="preserve">the </w:t>
      </w:r>
      <w:r w:rsidRPr="00CE686A" w:rsidR="04D0B688">
        <w:t xml:space="preserve">development of approaches to </w:t>
      </w:r>
      <w:r w:rsidRPr="00CE686A" w:rsidR="009B206D">
        <w:t>identif</w:t>
      </w:r>
      <w:r w:rsidRPr="00CE686A" w:rsidR="008C4801">
        <w:t>ying</w:t>
      </w:r>
      <w:r w:rsidRPr="00CE686A" w:rsidR="006B4AB8">
        <w:t xml:space="preserve"> grid </w:t>
      </w:r>
      <w:r w:rsidRPr="00CE686A" w:rsidR="00D03A87">
        <w:t xml:space="preserve">locations </w:t>
      </w:r>
      <w:r w:rsidRPr="00CE686A" w:rsidR="006B4AB8">
        <w:t xml:space="preserve">with </w:t>
      </w:r>
      <w:r w:rsidRPr="00CE686A" w:rsidR="00D03A87">
        <w:t>available capacity to support EV charging</w:t>
      </w:r>
      <w:r w:rsidRPr="00CE686A" w:rsidR="00A353A4">
        <w:t xml:space="preserve"> </w:t>
      </w:r>
      <w:r w:rsidRPr="00CE686A" w:rsidR="008D6F46">
        <w:t xml:space="preserve">and </w:t>
      </w:r>
      <w:r w:rsidRPr="00CE686A" w:rsidR="006B4AB8">
        <w:t xml:space="preserve">incorporating </w:t>
      </w:r>
      <w:r w:rsidRPr="00CE686A" w:rsidR="00755C48">
        <w:t xml:space="preserve">cost-effective </w:t>
      </w:r>
      <w:r w:rsidRPr="00CE686A" w:rsidR="006B4AB8">
        <w:t xml:space="preserve">strategies </w:t>
      </w:r>
      <w:r w:rsidRPr="00CE686A" w:rsidR="5189018E">
        <w:t xml:space="preserve">into </w:t>
      </w:r>
      <w:r w:rsidRPr="00CE686A" w:rsidR="49164395">
        <w:t xml:space="preserve">the DPP </w:t>
      </w:r>
      <w:r w:rsidRPr="00CE686A" w:rsidR="7F944172">
        <w:t xml:space="preserve">to mitigate </w:t>
      </w:r>
      <w:r w:rsidRPr="00CE686A" w:rsidR="00A5179C">
        <w:t>charging loads</w:t>
      </w:r>
      <w:r w:rsidRPr="00CE686A" w:rsidR="00B04CF6">
        <w:t xml:space="preserve"> and </w:t>
      </w:r>
      <w:r w:rsidRPr="00CE686A" w:rsidR="0066044B">
        <w:t xml:space="preserve">enable </w:t>
      </w:r>
      <w:r w:rsidRPr="00CE686A" w:rsidR="00880AA8">
        <w:t>EV</w:t>
      </w:r>
      <w:r w:rsidRPr="00CE686A" w:rsidR="00B025E9">
        <w:t>s to provide grid services</w:t>
      </w:r>
      <w:r w:rsidRPr="00CE686A" w:rsidR="00E369DD">
        <w:t>.</w:t>
      </w:r>
      <w:r w:rsidRPr="00CE686A" w:rsidR="00CA2443">
        <w:rPr>
          <w:rStyle w:val="FootnoteReference"/>
        </w:rPr>
        <w:footnoteReference w:id="33"/>
      </w:r>
      <w:r w:rsidRPr="00CE686A" w:rsidR="0078237B">
        <w:rPr>
          <w:vertAlign w:val="superscript"/>
        </w:rPr>
        <w:t>,</w:t>
      </w:r>
      <w:r w:rsidRPr="00CE686A" w:rsidR="0078237B">
        <w:rPr>
          <w:rStyle w:val="FootnoteReference"/>
        </w:rPr>
        <w:footnoteReference w:id="34"/>
      </w:r>
      <w:r w:rsidRPr="00CE686A" w:rsidR="00E369DD">
        <w:t xml:space="preserve"> </w:t>
      </w:r>
    </w:p>
    <w:p w:rsidRPr="00535279" w:rsidR="00AF3B07" w:rsidP="00E82B05" w:rsidRDefault="25B6CC5F" w14:paraId="21052A50" w14:textId="66B09156">
      <w:pPr>
        <w:pStyle w:val="Standard"/>
      </w:pPr>
      <w:r w:rsidRPr="00CE686A">
        <w:t xml:space="preserve">The </w:t>
      </w:r>
      <w:r w:rsidR="003B0729">
        <w:t>third</w:t>
      </w:r>
      <w:r w:rsidRPr="00535279" w:rsidR="00BE6149">
        <w:t xml:space="preserve"> track focuses </w:t>
      </w:r>
      <w:r w:rsidRPr="00CE686A">
        <w:t xml:space="preserve">on </w:t>
      </w:r>
      <w:r w:rsidRPr="00CE686A" w:rsidR="00BC38A4">
        <w:t>g</w:t>
      </w:r>
      <w:r w:rsidRPr="00CE686A" w:rsidR="46FAB69D">
        <w:t xml:space="preserve">rid </w:t>
      </w:r>
      <w:r w:rsidRPr="00CE686A" w:rsidR="00BC38A4">
        <w:t>m</w:t>
      </w:r>
      <w:r w:rsidRPr="00CE686A" w:rsidR="46FAB69D">
        <w:t>odernization</w:t>
      </w:r>
      <w:r w:rsidRPr="00CE686A" w:rsidR="590C9163">
        <w:t xml:space="preserve"> investments</w:t>
      </w:r>
      <w:r w:rsidRPr="00CE686A" w:rsidR="46FAB69D">
        <w:t xml:space="preserve"> in the near </w:t>
      </w:r>
      <w:r w:rsidRPr="00CE686A" w:rsidR="00BC38A4">
        <w:t xml:space="preserve">term </w:t>
      </w:r>
      <w:r w:rsidRPr="00CE686A" w:rsidR="46FAB69D">
        <w:t>and medium term</w:t>
      </w:r>
      <w:r w:rsidRPr="00CE686A" w:rsidR="3DD739ED">
        <w:t>, operationalizing smart</w:t>
      </w:r>
      <w:r w:rsidRPr="00535279" w:rsidR="3DD739ED">
        <w:t xml:space="preserve"> inverters to leverage advanced fun</w:t>
      </w:r>
      <w:r w:rsidRPr="00535279" w:rsidR="285C64A0">
        <w:t>c</w:t>
      </w:r>
      <w:r w:rsidRPr="00535279" w:rsidR="3DD739ED">
        <w:t>tionality to provide grid services</w:t>
      </w:r>
      <w:r w:rsidRPr="00535279" w:rsidR="1BE2D464">
        <w:t xml:space="preserve">, and </w:t>
      </w:r>
      <w:r w:rsidRPr="00535279" w:rsidR="676B7A6D">
        <w:t xml:space="preserve">furthering the </w:t>
      </w:r>
      <w:r w:rsidRPr="00535279" w:rsidR="6D50C026">
        <w:t>align</w:t>
      </w:r>
      <w:r w:rsidRPr="00535279" w:rsidR="733B6049">
        <w:t>ment</w:t>
      </w:r>
      <w:r w:rsidRPr="00535279" w:rsidR="780767CD">
        <w:t xml:space="preserve"> </w:t>
      </w:r>
      <w:r w:rsidRPr="00535279" w:rsidR="695CB11A">
        <w:t xml:space="preserve">of </w:t>
      </w:r>
      <w:r w:rsidRPr="00535279" w:rsidR="780767CD">
        <w:t>GRC filings with</w:t>
      </w:r>
      <w:r w:rsidRPr="00535279" w:rsidR="1BE2D464">
        <w:t xml:space="preserve"> </w:t>
      </w:r>
      <w:r w:rsidRPr="00535279" w:rsidR="00C708E1">
        <w:t>the pla</w:t>
      </w:r>
      <w:r w:rsidRPr="00535279" w:rsidR="001765A4">
        <w:t>nned</w:t>
      </w:r>
      <w:r w:rsidRPr="00535279" w:rsidR="00C708E1">
        <w:t xml:space="preserve"> </w:t>
      </w:r>
      <w:r w:rsidRPr="00535279" w:rsidR="001765A4">
        <w:t xml:space="preserve">infrastructure </w:t>
      </w:r>
      <w:r w:rsidRPr="00535279" w:rsidR="293FBBDA">
        <w:t xml:space="preserve">investments identified </w:t>
      </w:r>
      <w:r w:rsidRPr="00535279" w:rsidR="001765A4">
        <w:t xml:space="preserve">during IOU </w:t>
      </w:r>
      <w:r w:rsidRPr="00535279" w:rsidR="293FBBDA">
        <w:t>distribution planning</w:t>
      </w:r>
      <w:r w:rsidRPr="00535279" w:rsidR="2FFE9A51">
        <w:t>.</w:t>
      </w:r>
      <w:r w:rsidRPr="00535279" w:rsidR="65C151AA">
        <w:t xml:space="preserve"> </w:t>
      </w:r>
      <w:r w:rsidR="007B0556">
        <w:t xml:space="preserve">Alignment of </w:t>
      </w:r>
      <w:r w:rsidR="00621E05">
        <w:t xml:space="preserve">quadrennial GRC costs requests with annual </w:t>
      </w:r>
      <w:r w:rsidR="00621E05">
        <w:lastRenderedPageBreak/>
        <w:t>GNA/DDOR filing costs estimates continues to be challenging.</w:t>
      </w:r>
      <w:r w:rsidRPr="00535279" w:rsidR="00F26E62">
        <w:rPr>
          <w:rStyle w:val="FootnoteReference"/>
        </w:rPr>
        <w:footnoteReference w:id="35"/>
      </w:r>
      <w:r w:rsidR="00621E05">
        <w:t xml:space="preserve"> </w:t>
      </w:r>
      <w:r w:rsidR="00EE33AA">
        <w:t xml:space="preserve">The </w:t>
      </w:r>
      <w:r w:rsidRPr="00535279" w:rsidR="006B403B">
        <w:t xml:space="preserve">Track </w:t>
      </w:r>
      <w:r w:rsidR="003B0729">
        <w:t>3</w:t>
      </w:r>
      <w:r w:rsidRPr="00535279" w:rsidR="006B403B">
        <w:t xml:space="preserve"> </w:t>
      </w:r>
      <w:r w:rsidR="000647F9">
        <w:t xml:space="preserve">grid modernization and smart inverter </w:t>
      </w:r>
      <w:r w:rsidR="00EE33AA">
        <w:t xml:space="preserve">topics are </w:t>
      </w:r>
      <w:r w:rsidRPr="00535279" w:rsidR="00AE4623">
        <w:t xml:space="preserve">expected to be </w:t>
      </w:r>
      <w:r w:rsidR="00EE33AA">
        <w:t xml:space="preserve">addressed </w:t>
      </w:r>
      <w:r w:rsidRPr="00535279" w:rsidR="00E20B7C">
        <w:t xml:space="preserve">in a working group format </w:t>
      </w:r>
      <w:r w:rsidRPr="00535279" w:rsidR="370B18BF">
        <w:t>facilitated</w:t>
      </w:r>
      <w:r w:rsidRPr="00535279" w:rsidR="00E20B7C">
        <w:t xml:space="preserve"> by a third-party consultant that culminates in a </w:t>
      </w:r>
      <w:r w:rsidRPr="00535279" w:rsidR="0A82D1CA">
        <w:t>report</w:t>
      </w:r>
      <w:r w:rsidRPr="00535279" w:rsidR="3CDA6C31">
        <w:t xml:space="preserve"> with findings and recommendations</w:t>
      </w:r>
      <w:r w:rsidRPr="00535279" w:rsidR="0A82D1CA">
        <w:t>.</w:t>
      </w:r>
      <w:r w:rsidR="00FD2AE8">
        <w:t xml:space="preserve"> A staff proposal and workshop would follow the working group report.</w:t>
      </w:r>
      <w:r w:rsidR="004F1C30">
        <w:t xml:space="preserve"> The GRC alignment topic may be addressed separately</w:t>
      </w:r>
      <w:r w:rsidR="67633B5E">
        <w:t xml:space="preserve"> through staff led work and workshops</w:t>
      </w:r>
      <w:r w:rsidR="004C2101">
        <w:t>.</w:t>
      </w:r>
    </w:p>
    <w:p w:rsidR="00724F2C" w:rsidP="00724F2C" w:rsidRDefault="00724F2C" w14:paraId="743AE1A0" w14:textId="64D39AE1">
      <w:pPr>
        <w:pStyle w:val="Standard"/>
        <w:keepNext/>
        <w:keepLines/>
        <w:spacing w:after="120" w:line="240" w:lineRule="auto"/>
        <w:ind w:firstLine="0"/>
      </w:pPr>
      <w:r>
        <w:rPr>
          <w:rStyle w:val="normaltextrun"/>
          <w:rFonts w:eastAsia="Times New Roman" w:cs="Segoe UI"/>
          <w:b/>
          <w:bCs/>
          <w:szCs w:val="26"/>
        </w:rPr>
        <w:t>General</w:t>
      </w:r>
      <w:r>
        <w:t xml:space="preserve"> </w:t>
      </w:r>
      <w:r w:rsidRPr="00F06A88">
        <w:rPr>
          <w:b/>
          <w:bCs/>
        </w:rPr>
        <w:t>Question</w:t>
      </w:r>
      <w:r>
        <w:rPr>
          <w:b/>
          <w:bCs/>
        </w:rPr>
        <w:t>s Relevant to All Tracks</w:t>
      </w:r>
    </w:p>
    <w:p w:rsidR="00451FC6" w:rsidP="002B21D7" w:rsidRDefault="00F82F71" w14:paraId="31F48AFB" w14:textId="77777777">
      <w:pPr>
        <w:pStyle w:val="Header"/>
        <w:numPr>
          <w:ilvl w:val="0"/>
          <w:numId w:val="10"/>
        </w:numPr>
        <w:tabs>
          <w:tab w:val="clear" w:pos="4680"/>
          <w:tab w:val="clear" w:pos="9360"/>
        </w:tabs>
        <w:spacing w:after="120"/>
        <w:ind w:right="-450"/>
      </w:pPr>
      <w:r w:rsidRPr="008C32E4">
        <w:t xml:space="preserve">How could this proceeding advance or challenge achievement of the nine </w:t>
      </w:r>
      <w:r w:rsidR="001F359B">
        <w:t xml:space="preserve">ESJ </w:t>
      </w:r>
      <w:r w:rsidRPr="00827CFA" w:rsidR="001348BF">
        <w:t>Action Plan goals</w:t>
      </w:r>
      <w:r w:rsidRPr="008C32E4">
        <w:t>?</w:t>
      </w:r>
      <w:r w:rsidRPr="008C32E4">
        <w:rPr>
          <w:rStyle w:val="FootnoteReference"/>
        </w:rPr>
        <w:footnoteReference w:id="36"/>
      </w:r>
    </w:p>
    <w:p w:rsidRPr="008C32E4" w:rsidR="00F82F71" w:rsidP="00451FC6" w:rsidRDefault="00451FC6" w14:paraId="2C31AA38" w14:textId="42DB6DD1">
      <w:pPr>
        <w:pStyle w:val="Standard"/>
        <w:numPr>
          <w:ilvl w:val="0"/>
          <w:numId w:val="10"/>
        </w:numPr>
        <w:spacing w:after="120" w:line="240" w:lineRule="auto"/>
      </w:pPr>
      <w:r w:rsidRPr="00D9743E">
        <w:t xml:space="preserve">How should </w:t>
      </w:r>
      <w:r>
        <w:t xml:space="preserve">the term </w:t>
      </w:r>
      <w:r w:rsidRPr="00D9743E">
        <w:t xml:space="preserve">DER be defined as </w:t>
      </w:r>
      <w:r>
        <w:t xml:space="preserve">the Commission </w:t>
      </w:r>
      <w:r w:rsidRPr="00D9743E">
        <w:t>plan</w:t>
      </w:r>
      <w:r>
        <w:t>s</w:t>
      </w:r>
      <w:r w:rsidRPr="00D9743E">
        <w:t xml:space="preserve"> for the future grid? Consider capacity (</w:t>
      </w:r>
      <w:r>
        <w:t>megawatts)</w:t>
      </w:r>
      <w:r w:rsidRPr="00D9743E">
        <w:t>, energy (</w:t>
      </w:r>
      <w:r>
        <w:t>megawatt hours</w:t>
      </w:r>
      <w:r w:rsidRPr="00D9743E">
        <w:t xml:space="preserve">), BTM, and in front of the meter in responses as well as the existing DER definition provided in AB 327 and Section 769(a) and any other relevant legislative or </w:t>
      </w:r>
      <w:r>
        <w:t xml:space="preserve">regulatory </w:t>
      </w:r>
      <w:r w:rsidRPr="00D9743E">
        <w:t xml:space="preserve">code </w:t>
      </w:r>
      <w:r>
        <w:t xml:space="preserve">DER </w:t>
      </w:r>
      <w:r w:rsidRPr="00D9743E">
        <w:t>definitions</w:t>
      </w:r>
      <w:r>
        <w:t>, including those from sources outside of California</w:t>
      </w:r>
      <w:r w:rsidRPr="00D9743E" w:rsidR="00D9481F">
        <w:t>.</w:t>
      </w:r>
      <w:r w:rsidRPr="008C32E4" w:rsidR="00F82F71">
        <w:t xml:space="preserve"> </w:t>
      </w:r>
    </w:p>
    <w:p w:rsidRPr="00487C40" w:rsidR="00F46993" w:rsidP="00CC0517" w:rsidRDefault="00F46993" w14:paraId="0F535F91" w14:textId="7657EB30">
      <w:pPr>
        <w:pStyle w:val="paragraph"/>
        <w:widowControl w:val="0"/>
        <w:spacing w:before="0" w:beforeAutospacing="0" w:after="120" w:afterAutospacing="0"/>
        <w:ind w:right="1440"/>
        <w:textAlignment w:val="baseline"/>
        <w:rPr>
          <w:rStyle w:val="normaltextrun"/>
          <w:rFonts w:ascii="Book Antiqua" w:hAnsi="Book Antiqua" w:cs="Segoe UI"/>
          <w:b/>
          <w:bCs/>
          <w:sz w:val="26"/>
          <w:szCs w:val="26"/>
        </w:rPr>
      </w:pPr>
      <w:r w:rsidRPr="00487C40">
        <w:rPr>
          <w:rStyle w:val="normaltextrun"/>
          <w:rFonts w:ascii="Book Antiqua" w:hAnsi="Book Antiqua" w:cs="Segoe UI"/>
          <w:b/>
          <w:bCs/>
          <w:sz w:val="26"/>
          <w:szCs w:val="26"/>
        </w:rPr>
        <w:t xml:space="preserve">Track </w:t>
      </w:r>
      <w:r w:rsidR="00A25533">
        <w:rPr>
          <w:rStyle w:val="normaltextrun"/>
          <w:rFonts w:ascii="Book Antiqua" w:hAnsi="Book Antiqua" w:cs="Segoe UI"/>
          <w:b/>
          <w:bCs/>
          <w:sz w:val="26"/>
          <w:szCs w:val="26"/>
        </w:rPr>
        <w:t>1</w:t>
      </w:r>
      <w:r>
        <w:rPr>
          <w:rStyle w:val="normaltextrun"/>
          <w:rFonts w:ascii="Book Antiqua" w:hAnsi="Book Antiqua" w:cs="Segoe UI"/>
          <w:b/>
          <w:bCs/>
          <w:sz w:val="26"/>
          <w:szCs w:val="26"/>
        </w:rPr>
        <w:t>:</w:t>
      </w:r>
      <w:r w:rsidRPr="00487C40">
        <w:rPr>
          <w:rStyle w:val="normaltextrun"/>
          <w:rFonts w:ascii="Book Antiqua" w:hAnsi="Book Antiqua" w:cs="Segoe UI"/>
          <w:b/>
          <w:bCs/>
          <w:sz w:val="26"/>
          <w:szCs w:val="26"/>
        </w:rPr>
        <w:t xml:space="preserve"> Distribution </w:t>
      </w:r>
      <w:r w:rsidR="000327D5">
        <w:rPr>
          <w:rStyle w:val="normaltextrun"/>
          <w:rFonts w:ascii="Book Antiqua" w:hAnsi="Book Antiqua" w:cs="Segoe UI"/>
          <w:b/>
          <w:bCs/>
          <w:sz w:val="26"/>
          <w:szCs w:val="26"/>
        </w:rPr>
        <w:t xml:space="preserve">System </w:t>
      </w:r>
      <w:r w:rsidRPr="00487C40">
        <w:rPr>
          <w:rStyle w:val="normaltextrun"/>
          <w:rFonts w:ascii="Book Antiqua" w:hAnsi="Book Antiqua" w:cs="Segoe UI"/>
          <w:b/>
          <w:bCs/>
          <w:sz w:val="26"/>
          <w:szCs w:val="26"/>
        </w:rPr>
        <w:t>Operator Roles and Responsibilities</w:t>
      </w:r>
    </w:p>
    <w:p w:rsidRPr="002B5A8A" w:rsidR="00F46993" w:rsidP="00CC0517" w:rsidRDefault="00F46993" w14:paraId="0C85F919" w14:textId="1299812F">
      <w:pPr>
        <w:pStyle w:val="Standard"/>
        <w:numPr>
          <w:ilvl w:val="0"/>
          <w:numId w:val="23"/>
        </w:numPr>
        <w:spacing w:after="120" w:line="240" w:lineRule="auto"/>
      </w:pPr>
      <w:r>
        <w:t xml:space="preserve">Should the </w:t>
      </w:r>
      <w:r w:rsidR="00822073">
        <w:t>Commission</w:t>
      </w:r>
      <w:r>
        <w:t xml:space="preserve"> investigate how to redefine electric distribution IOU roles and responsibilities to accommodate a high-DER future grid, appropriately limit market power, and ensure open </w:t>
      </w:r>
      <w:r>
        <w:lastRenderedPageBreak/>
        <w:t>access for DER providers and aggregators offering retail and wholesale grid services?</w:t>
      </w:r>
      <w:r>
        <w:rPr>
          <w:rStyle w:val="FootnoteReference"/>
        </w:rPr>
        <w:footnoteReference w:id="37"/>
      </w:r>
      <w:r w:rsidRPr="000C4012">
        <w:rPr>
          <w:vertAlign w:val="superscript"/>
        </w:rPr>
        <w:t>,</w:t>
      </w:r>
      <w:r>
        <w:rPr>
          <w:rStyle w:val="FootnoteReference"/>
        </w:rPr>
        <w:footnoteReference w:id="38"/>
      </w:r>
      <w:r>
        <w:t xml:space="preserve"> If so, how?</w:t>
      </w:r>
      <w:r w:rsidRPr="002B5A8A">
        <w:t> </w:t>
      </w:r>
      <w:r>
        <w:t> </w:t>
      </w:r>
    </w:p>
    <w:p w:rsidR="00F46993" w:rsidP="00CC0517" w:rsidRDefault="00F46993" w14:paraId="0AB1E923" w14:textId="77777777">
      <w:pPr>
        <w:pStyle w:val="Standard"/>
        <w:numPr>
          <w:ilvl w:val="0"/>
          <w:numId w:val="23"/>
        </w:numPr>
        <w:spacing w:after="120" w:line="240" w:lineRule="auto"/>
      </w:pPr>
      <w:r>
        <w:t>In what ways would a DSO and the various DSO models increase or decrease ratepayer costs and enhance or impede equity?</w:t>
      </w:r>
    </w:p>
    <w:p w:rsidR="00F46993" w:rsidP="00CC0517" w:rsidRDefault="00F46993" w14:paraId="664987E7" w14:textId="77777777">
      <w:pPr>
        <w:pStyle w:val="Standard"/>
        <w:numPr>
          <w:ilvl w:val="0"/>
          <w:numId w:val="23"/>
        </w:numPr>
        <w:spacing w:after="120" w:line="240" w:lineRule="auto"/>
        <w:rPr>
          <w:rFonts w:asciiTheme="minorHAnsi" w:hAnsiTheme="minorHAnsi" w:eastAsiaTheme="minorEastAsia"/>
        </w:rPr>
      </w:pPr>
      <w:r>
        <w:t>Should the grid architecture discipline</w:t>
      </w:r>
      <w:r>
        <w:rPr>
          <w:rStyle w:val="FootnoteReference"/>
        </w:rPr>
        <w:footnoteReference w:id="39"/>
      </w:r>
      <w:r>
        <w:t xml:space="preserve"> be used to establish an overarching grid vision and design that optimizes distribution investments to accommodate high numbers of DERs? If yes, how and over what timeframe?</w:t>
      </w:r>
    </w:p>
    <w:p w:rsidRPr="002B5A8A" w:rsidR="00F46993" w:rsidP="00CC0517" w:rsidRDefault="00F46993" w14:paraId="2DEF9EDB" w14:textId="77777777">
      <w:pPr>
        <w:pStyle w:val="Standard"/>
        <w:numPr>
          <w:ilvl w:val="0"/>
          <w:numId w:val="23"/>
        </w:numPr>
        <w:spacing w:after="120" w:line="240" w:lineRule="auto"/>
      </w:pPr>
      <w:r>
        <w:t>Should the IOUs be incentivized to cost-effectively prepare for widespread DER deployments? If so, how?</w:t>
      </w:r>
      <w:r>
        <w:rPr>
          <w:rStyle w:val="FootnoteReference"/>
        </w:rPr>
        <w:footnoteReference w:id="40"/>
      </w:r>
    </w:p>
    <w:p w:rsidRPr="0095762D" w:rsidR="00F46993" w:rsidP="00CC0517" w:rsidRDefault="00F46993" w14:paraId="1C4E8E32" w14:textId="6329C98E">
      <w:pPr>
        <w:pStyle w:val="Standard"/>
        <w:numPr>
          <w:ilvl w:val="0"/>
          <w:numId w:val="23"/>
        </w:numPr>
        <w:spacing w:after="120" w:line="240" w:lineRule="auto"/>
        <w:rPr>
          <w:rFonts w:asciiTheme="minorHAnsi" w:hAnsiTheme="minorHAnsi" w:eastAsiaTheme="minorEastAsia"/>
        </w:rPr>
      </w:pPr>
      <w:r>
        <w:t xml:space="preserve">What policies could the </w:t>
      </w:r>
      <w:r w:rsidR="00822073">
        <w:t>Commission</w:t>
      </w:r>
      <w:r>
        <w:t xml:space="preserve"> adopt quickly to enable aggregators to increase the scope of services they provide the distribution grid?</w:t>
      </w:r>
    </w:p>
    <w:p w:rsidRPr="00135157" w:rsidR="00135157" w:rsidP="00CC0517" w:rsidRDefault="00135157" w14:paraId="5DF40EED" w14:textId="51622E53">
      <w:pPr>
        <w:spacing w:before="240" w:after="120" w:line="240" w:lineRule="auto"/>
        <w:ind w:right="360" w:firstLine="0"/>
        <w:textAlignment w:val="baseline"/>
        <w:rPr>
          <w:rFonts w:cs="Segoe UI"/>
          <w:b/>
          <w:bCs/>
        </w:rPr>
      </w:pPr>
      <w:r w:rsidRPr="5024E32B">
        <w:rPr>
          <w:rFonts w:cs="Segoe UI"/>
          <w:b/>
          <w:bCs/>
        </w:rPr>
        <w:t xml:space="preserve">Track </w:t>
      </w:r>
      <w:r w:rsidR="00767CCA">
        <w:rPr>
          <w:rFonts w:cs="Segoe UI"/>
          <w:b/>
          <w:bCs/>
        </w:rPr>
        <w:t>2</w:t>
      </w:r>
      <w:r w:rsidRPr="5024E32B">
        <w:rPr>
          <w:rFonts w:cs="Segoe UI"/>
          <w:b/>
          <w:bCs/>
        </w:rPr>
        <w:t>: Distribution Planning, Data Portals, Community Engagement, and DER Integration</w:t>
      </w:r>
    </w:p>
    <w:p w:rsidRPr="003C4976" w:rsidR="003C4976" w:rsidP="006D4C9F" w:rsidRDefault="000153F3" w14:paraId="518C5B8F" w14:textId="77777777">
      <w:pPr>
        <w:pStyle w:val="ListAlpha"/>
        <w:rPr>
          <w:rFonts w:asciiTheme="minorHAnsi" w:hAnsiTheme="minorHAnsi" w:eastAsiaTheme="minorEastAsia"/>
        </w:rPr>
      </w:pPr>
      <w:r>
        <w:lastRenderedPageBreak/>
        <w:t>To what extent should this proceeding further examine the utility DPP</w:t>
      </w:r>
      <w:r w:rsidR="0000343C">
        <w:t xml:space="preserve">, </w:t>
      </w:r>
      <w:r>
        <w:t xml:space="preserve">moving beyond the current DIDF focus? </w:t>
      </w:r>
    </w:p>
    <w:p w:rsidRPr="00883CD5" w:rsidR="000153F3" w:rsidP="006D4C9F" w:rsidRDefault="00966C23" w14:paraId="3B388C4E" w14:textId="041F2E21">
      <w:pPr>
        <w:pStyle w:val="Header"/>
        <w:numPr>
          <w:ilvl w:val="1"/>
          <w:numId w:val="32"/>
        </w:numPr>
        <w:tabs>
          <w:tab w:val="clear" w:pos="4680"/>
          <w:tab w:val="clear" w:pos="9360"/>
        </w:tabs>
        <w:spacing w:after="120"/>
        <w:ind w:left="1440" w:right="-450"/>
        <w:rPr>
          <w:rFonts w:asciiTheme="minorHAnsi" w:hAnsiTheme="minorHAnsi" w:eastAsiaTheme="minorEastAsia"/>
        </w:rPr>
      </w:pPr>
      <w:r w:rsidRPr="00E442BF">
        <w:t>Should</w:t>
      </w:r>
      <w:r>
        <w:t xml:space="preserve"> </w:t>
      </w:r>
      <w:r w:rsidR="000153F3">
        <w:t xml:space="preserve">the </w:t>
      </w:r>
      <w:r w:rsidR="00822073">
        <w:t>Commission</w:t>
      </w:r>
      <w:r w:rsidR="006629B4">
        <w:t xml:space="preserve"> </w:t>
      </w:r>
      <w:r w:rsidR="000153F3">
        <w:t xml:space="preserve">evolve the DIDF </w:t>
      </w:r>
      <w:r w:rsidR="00D019EF">
        <w:t xml:space="preserve">into a </w:t>
      </w:r>
      <w:r w:rsidR="00E442BF">
        <w:t xml:space="preserve">broader </w:t>
      </w:r>
      <w:r w:rsidR="00D019EF">
        <w:t xml:space="preserve">DPP </w:t>
      </w:r>
      <w:r w:rsidR="00E442BF">
        <w:t xml:space="preserve">that </w:t>
      </w:r>
      <w:r w:rsidR="00071BA8">
        <w:t xml:space="preserve">captures additional value from </w:t>
      </w:r>
      <w:r w:rsidR="000153F3">
        <w:t xml:space="preserve">DER services </w:t>
      </w:r>
      <w:r w:rsidR="00071BA8">
        <w:t xml:space="preserve">beyond </w:t>
      </w:r>
      <w:r w:rsidR="000153F3">
        <w:t>distribution deferral</w:t>
      </w:r>
      <w:r w:rsidR="000350D0">
        <w:t xml:space="preserve"> and </w:t>
      </w:r>
      <w:r w:rsidR="00F466A1">
        <w:t>focus</w:t>
      </w:r>
      <w:r w:rsidR="00071BA8">
        <w:t>es</w:t>
      </w:r>
      <w:r w:rsidR="00F466A1">
        <w:t xml:space="preserve"> </w:t>
      </w:r>
      <w:r w:rsidR="004948EE">
        <w:t xml:space="preserve">more broadly </w:t>
      </w:r>
      <w:r w:rsidR="00F466A1">
        <w:t>on DER siting optimization</w:t>
      </w:r>
      <w:r w:rsidR="000153F3">
        <w:t>?</w:t>
      </w:r>
    </w:p>
    <w:p w:rsidR="003E4876" w:rsidP="006D4C9F" w:rsidRDefault="00833F0B" w14:paraId="4CCDE2C8" w14:textId="202F5C59">
      <w:pPr>
        <w:pStyle w:val="Header"/>
        <w:numPr>
          <w:ilvl w:val="1"/>
          <w:numId w:val="32"/>
        </w:numPr>
        <w:tabs>
          <w:tab w:val="clear" w:pos="4680"/>
          <w:tab w:val="clear" w:pos="9360"/>
        </w:tabs>
        <w:spacing w:after="120"/>
        <w:ind w:left="1440" w:right="-450"/>
        <w:rPr>
          <w:rFonts w:asciiTheme="minorHAnsi" w:hAnsiTheme="minorHAnsi" w:eastAsiaTheme="minorEastAsia"/>
        </w:rPr>
      </w:pPr>
      <w:r>
        <w:t>I</w:t>
      </w:r>
      <w:r w:rsidR="00C07DF3">
        <w:t xml:space="preserve">n what ways could </w:t>
      </w:r>
      <w:r w:rsidR="00F95CEC">
        <w:t xml:space="preserve">the IOU </w:t>
      </w:r>
      <w:r w:rsidR="006C4406">
        <w:t xml:space="preserve">DPPs </w:t>
      </w:r>
      <w:r w:rsidR="00C07DF3">
        <w:t>improve</w:t>
      </w:r>
      <w:r w:rsidR="00D43437">
        <w:t xml:space="preserve"> to </w:t>
      </w:r>
      <w:r w:rsidR="00C07DF3">
        <w:t xml:space="preserve">usher </w:t>
      </w:r>
      <w:r w:rsidR="003E4876">
        <w:t xml:space="preserve">DERs to areas where </w:t>
      </w:r>
      <w:bookmarkStart w:name="_Hlk68679582" w:id="16"/>
      <w:r w:rsidR="00DD428F">
        <w:t xml:space="preserve">excess </w:t>
      </w:r>
      <w:bookmarkEnd w:id="16"/>
      <w:r w:rsidR="003E4876">
        <w:t xml:space="preserve">grid capacity </w:t>
      </w:r>
      <w:r w:rsidR="00B07FFC">
        <w:t xml:space="preserve">is forecast to </w:t>
      </w:r>
      <w:r w:rsidR="003E4876">
        <w:t>exist</w:t>
      </w:r>
      <w:r w:rsidR="00B07FFC">
        <w:t xml:space="preserve"> </w:t>
      </w:r>
      <w:r w:rsidR="003E4876">
        <w:t xml:space="preserve">rather than reacting to unstructured DER deployments? </w:t>
      </w:r>
      <w:r w:rsidR="003344E4">
        <w:t>H</w:t>
      </w:r>
      <w:r w:rsidR="003E4876">
        <w:t>ow should this be accomplished</w:t>
      </w:r>
      <w:r w:rsidR="00D43437">
        <w:t xml:space="preserve"> and in what </w:t>
      </w:r>
      <w:r w:rsidR="00AC315D">
        <w:t>incremental steps</w:t>
      </w:r>
      <w:r w:rsidR="003E4876">
        <w:t>?</w:t>
      </w:r>
    </w:p>
    <w:p w:rsidRPr="00F218C0" w:rsidR="00F218C0" w:rsidP="006D4C9F" w:rsidRDefault="009B4B54" w14:paraId="3FD12ACF" w14:textId="50779CA2">
      <w:pPr>
        <w:pStyle w:val="ListAlpha"/>
        <w:rPr>
          <w:rFonts w:asciiTheme="minorHAnsi" w:hAnsiTheme="minorHAnsi" w:eastAsiaTheme="minorEastAsia"/>
        </w:rPr>
      </w:pPr>
      <w:r w:rsidRPr="002B5A8A">
        <w:t>Should</w:t>
      </w:r>
      <w:r>
        <w:t xml:space="preserve"> </w:t>
      </w:r>
      <w:r w:rsidRPr="002B5A8A" w:rsidR="3647BFF2">
        <w:t>IOU distribution planning</w:t>
      </w:r>
      <w:r w:rsidR="657F61B3">
        <w:t xml:space="preserve"> consultation process</w:t>
      </w:r>
      <w:r w:rsidR="00F7705C">
        <w:t>es</w:t>
      </w:r>
      <w:r w:rsidR="657F61B3">
        <w:t xml:space="preserve"> for local </w:t>
      </w:r>
      <w:r w:rsidR="00935BD4">
        <w:t>agencies</w:t>
      </w:r>
      <w:r w:rsidR="657F61B3">
        <w:t xml:space="preserve"> and </w:t>
      </w:r>
      <w:r w:rsidR="0A3EF14D">
        <w:t xml:space="preserve">stakeholders </w:t>
      </w:r>
      <w:r w:rsidR="00BA1A74">
        <w:t>be expanded</w:t>
      </w:r>
      <w:r w:rsidR="00403AD0">
        <w:t xml:space="preserve"> and formali</w:t>
      </w:r>
      <w:r w:rsidR="00B23847">
        <w:t>z</w:t>
      </w:r>
      <w:r w:rsidR="00403AD0">
        <w:t>ed</w:t>
      </w:r>
      <w:r w:rsidR="00CC053B">
        <w:t xml:space="preserve"> </w:t>
      </w:r>
      <w:r w:rsidR="6E1204B1">
        <w:t xml:space="preserve">in a DPP guidelines document that requires </w:t>
      </w:r>
      <w:r w:rsidR="00DE1936">
        <w:t>IOUs</w:t>
      </w:r>
      <w:r w:rsidR="008A41AC">
        <w:t xml:space="preserve"> to</w:t>
      </w:r>
      <w:r w:rsidR="00985E77">
        <w:t xml:space="preserve"> </w:t>
      </w:r>
      <w:r w:rsidR="006A4599">
        <w:t>increase</w:t>
      </w:r>
      <w:r w:rsidR="00C64591">
        <w:t xml:space="preserve"> collaborat</w:t>
      </w:r>
      <w:r w:rsidR="006A4599">
        <w:t xml:space="preserve">ion </w:t>
      </w:r>
      <w:r w:rsidR="008A41AC">
        <w:t xml:space="preserve">including the </w:t>
      </w:r>
      <w:r w:rsidR="59D481A0">
        <w:t>present</w:t>
      </w:r>
      <w:r w:rsidR="008A41AC">
        <w:t xml:space="preserve">ation of </w:t>
      </w:r>
      <w:r w:rsidR="59D481A0">
        <w:t xml:space="preserve">distribution upgrade plans </w:t>
      </w:r>
      <w:r w:rsidR="00AC63F6">
        <w:t xml:space="preserve">to </w:t>
      </w:r>
      <w:r w:rsidR="00DE439E">
        <w:t xml:space="preserve">a wider </w:t>
      </w:r>
      <w:r w:rsidR="00F475DF">
        <w:t xml:space="preserve">audience </w:t>
      </w:r>
      <w:r w:rsidR="56730A31">
        <w:t xml:space="preserve">to help ensure </w:t>
      </w:r>
      <w:r w:rsidR="00935BD4">
        <w:t xml:space="preserve">community energy </w:t>
      </w:r>
      <w:r w:rsidR="59D481A0">
        <w:t>needs</w:t>
      </w:r>
      <w:r w:rsidR="00DC5B96">
        <w:t xml:space="preserve"> and planned developments</w:t>
      </w:r>
      <w:r w:rsidR="02A8D6DE">
        <w:t xml:space="preserve"> are </w:t>
      </w:r>
      <w:r w:rsidR="00C64591">
        <w:t xml:space="preserve">fully </w:t>
      </w:r>
      <w:r w:rsidR="51D8D38E">
        <w:t>integrated into IOU plan</w:t>
      </w:r>
      <w:r w:rsidR="4AAE41AD">
        <w:t>ning</w:t>
      </w:r>
      <w:r w:rsidR="59D481A0">
        <w:t>?</w:t>
      </w:r>
      <w:r w:rsidR="00AD2ACD">
        <w:rPr>
          <w:rStyle w:val="FootnoteReference"/>
        </w:rPr>
        <w:footnoteReference w:id="41"/>
      </w:r>
      <w:r w:rsidR="59D481A0">
        <w:t xml:space="preserve"> </w:t>
      </w:r>
    </w:p>
    <w:p w:rsidRPr="00E01EAC" w:rsidR="000153F3" w:rsidP="00E14477" w:rsidRDefault="00D97BBF" w14:paraId="036B5386" w14:textId="20D7006A">
      <w:pPr>
        <w:pStyle w:val="Header"/>
        <w:numPr>
          <w:ilvl w:val="1"/>
          <w:numId w:val="32"/>
        </w:numPr>
        <w:tabs>
          <w:tab w:val="clear" w:pos="4680"/>
          <w:tab w:val="clear" w:pos="9360"/>
        </w:tabs>
        <w:spacing w:after="120"/>
        <w:ind w:left="1440"/>
        <w:rPr>
          <w:rFonts w:asciiTheme="minorHAnsi" w:hAnsiTheme="minorHAnsi" w:eastAsiaTheme="minorEastAsia"/>
        </w:rPr>
      </w:pPr>
      <w:r>
        <w:t xml:space="preserve">How frequent should </w:t>
      </w:r>
      <w:r w:rsidR="00DC5B96">
        <w:t xml:space="preserve">the </w:t>
      </w:r>
      <w:r w:rsidR="00934166">
        <w:t>consultations</w:t>
      </w:r>
      <w:r w:rsidR="00DC5B96">
        <w:t xml:space="preserve"> be and at </w:t>
      </w:r>
      <w:r w:rsidR="00295805">
        <w:t xml:space="preserve">what </w:t>
      </w:r>
      <w:r w:rsidR="59D481A0">
        <w:t>level</w:t>
      </w:r>
      <w:r w:rsidR="0059018F">
        <w:t xml:space="preserve"> of local government</w:t>
      </w:r>
      <w:r w:rsidR="00F67DFA">
        <w:t xml:space="preserve"> (</w:t>
      </w:r>
      <w:r w:rsidRPr="00E14477" w:rsidR="00F67DFA">
        <w:rPr>
          <w:i/>
          <w:iCs/>
        </w:rPr>
        <w:t>e.g.</w:t>
      </w:r>
      <w:r w:rsidR="00F67DFA">
        <w:t>, city or county level)</w:t>
      </w:r>
      <w:r w:rsidR="00934166">
        <w:t>?</w:t>
      </w:r>
      <w:r w:rsidR="00DC5B96">
        <w:t xml:space="preserve"> </w:t>
      </w:r>
      <w:r w:rsidR="002A4F41">
        <w:t xml:space="preserve">What should be the scope of </w:t>
      </w:r>
      <w:r w:rsidR="008B1068">
        <w:t>outreach</w:t>
      </w:r>
      <w:r w:rsidR="2B29F78D">
        <w:t xml:space="preserve">, including </w:t>
      </w:r>
      <w:r w:rsidR="48B83048">
        <w:t xml:space="preserve">the scope of </w:t>
      </w:r>
      <w:r w:rsidR="74EDCAF0">
        <w:t>outreach to tribal governments</w:t>
      </w:r>
      <w:r w:rsidR="59D481A0">
        <w:t>?</w:t>
      </w:r>
    </w:p>
    <w:p w:rsidRPr="00C83CE8" w:rsidR="00E01EAC" w:rsidP="00E14477" w:rsidRDefault="00E01EAC" w14:paraId="7716864C" w14:textId="456571BA">
      <w:pPr>
        <w:pStyle w:val="Header"/>
        <w:numPr>
          <w:ilvl w:val="1"/>
          <w:numId w:val="32"/>
        </w:numPr>
        <w:tabs>
          <w:tab w:val="clear" w:pos="4680"/>
          <w:tab w:val="clear" w:pos="9360"/>
        </w:tabs>
        <w:spacing w:after="120"/>
        <w:ind w:left="1440"/>
        <w:rPr>
          <w:rFonts w:asciiTheme="minorHAnsi" w:hAnsiTheme="minorHAnsi" w:eastAsiaTheme="minorEastAsia"/>
        </w:rPr>
      </w:pPr>
      <w:r>
        <w:t>S</w:t>
      </w:r>
      <w:r w:rsidRPr="002B5A8A">
        <w:t>hould DPP</w:t>
      </w:r>
      <w:r>
        <w:t xml:space="preserve"> outreach </w:t>
      </w:r>
      <w:r w:rsidRPr="002B5A8A">
        <w:t>be coordinat</w:t>
      </w:r>
      <w:r>
        <w:t xml:space="preserve">ed </w:t>
      </w:r>
      <w:r w:rsidR="11233356">
        <w:t>and/or combined</w:t>
      </w:r>
      <w:r>
        <w:t xml:space="preserve"> </w:t>
      </w:r>
      <w:r w:rsidRPr="002B5A8A">
        <w:t>with associated community engagement activities (</w:t>
      </w:r>
      <w:r w:rsidRPr="00E14477">
        <w:rPr>
          <w:i/>
          <w:iCs/>
        </w:rPr>
        <w:t>e.g.</w:t>
      </w:r>
      <w:r w:rsidRPr="002B5A8A">
        <w:t xml:space="preserve">, those required by the wildfire mitigation, de-energization, </w:t>
      </w:r>
      <w:r w:rsidRPr="004F5C5F">
        <w:t>microgrids and resiliency, climate adaptation, and</w:t>
      </w:r>
      <w:r w:rsidRPr="004F5C5F" w:rsidR="00D51088">
        <w:t>/or</w:t>
      </w:r>
      <w:r w:rsidRPr="004F5C5F">
        <w:t xml:space="preserve"> other proceedings)</w:t>
      </w:r>
      <w:r w:rsidRPr="002B5A8A" w:rsidR="00C83CE8">
        <w:t>?</w:t>
      </w:r>
      <w:r w:rsidRPr="004F5C5F">
        <w:rPr>
          <w:rStyle w:val="FootnoteReference"/>
        </w:rPr>
        <w:footnoteReference w:id="42"/>
      </w:r>
      <w:r w:rsidRPr="004F5C5F">
        <w:rPr>
          <w:rStyle w:val="FootnoteReference"/>
        </w:rPr>
        <w:t xml:space="preserve"> </w:t>
      </w:r>
      <w:r w:rsidRPr="004F5C5F">
        <w:t> </w:t>
      </w:r>
    </w:p>
    <w:p w:rsidRPr="004F5C5F" w:rsidR="007C7E28" w:rsidP="00E14477" w:rsidRDefault="007C7E28" w14:paraId="4388845C" w14:textId="08A4EA17">
      <w:pPr>
        <w:pStyle w:val="Header"/>
        <w:numPr>
          <w:ilvl w:val="1"/>
          <w:numId w:val="32"/>
        </w:numPr>
        <w:tabs>
          <w:tab w:val="clear" w:pos="4680"/>
          <w:tab w:val="clear" w:pos="9360"/>
        </w:tabs>
        <w:spacing w:after="120"/>
        <w:ind w:left="1440" w:right="-450"/>
      </w:pPr>
      <w:r>
        <w:t xml:space="preserve">Should DPP outreach play a role in supporting development of </w:t>
      </w:r>
      <w:r w:rsidRPr="004F5C5F">
        <w:t>community-scale DER</w:t>
      </w:r>
      <w:r>
        <w:t xml:space="preserve">s </w:t>
      </w:r>
      <w:r w:rsidRPr="004F5C5F">
        <w:t>(</w:t>
      </w:r>
      <w:r w:rsidRPr="00E14477" w:rsidR="00F07BB5">
        <w:rPr>
          <w:i/>
          <w:iCs/>
        </w:rPr>
        <w:t>i.e.</w:t>
      </w:r>
      <w:r w:rsidR="00F07BB5">
        <w:t xml:space="preserve">, </w:t>
      </w:r>
      <w:r>
        <w:t>DERs smaller than utility scale but significantly larger than typical single-customer residential DERs</w:t>
      </w:r>
      <w:r w:rsidRPr="004F5C5F">
        <w:t xml:space="preserve">) </w:t>
      </w:r>
      <w:r w:rsidR="00A04D71">
        <w:t xml:space="preserve">or </w:t>
      </w:r>
      <w:r w:rsidR="00A04D71">
        <w:lastRenderedPageBreak/>
        <w:t>virtual power plants</w:t>
      </w:r>
      <w:r w:rsidRPr="004F5C5F" w:rsidR="00A04D71">
        <w:rPr>
          <w:rStyle w:val="FootnoteReference"/>
        </w:rPr>
        <w:footnoteReference w:id="43"/>
      </w:r>
      <w:r>
        <w:t xml:space="preserve"> that provide community benefits like equity and resiliency</w:t>
      </w:r>
      <w:r w:rsidRPr="004F5C5F">
        <w:rPr>
          <w:rStyle w:val="FootnoteReference"/>
        </w:rPr>
        <w:footnoteReference w:id="44"/>
      </w:r>
      <w:r>
        <w:t>?</w:t>
      </w:r>
      <w:r w:rsidRPr="004F5C5F">
        <w:t xml:space="preserve"> If so, </w:t>
      </w:r>
      <w:r>
        <w:t>what should that role be?</w:t>
      </w:r>
    </w:p>
    <w:p w:rsidR="005A4726" w:rsidP="00E14477" w:rsidRDefault="00DD20D2" w14:paraId="6A37CCA3" w14:textId="56E1F455">
      <w:pPr>
        <w:pStyle w:val="ListAlpha"/>
        <w:rPr>
          <w:rFonts w:asciiTheme="minorHAnsi" w:hAnsiTheme="minorHAnsi" w:eastAsiaTheme="minorEastAsia"/>
        </w:rPr>
      </w:pPr>
      <w:r>
        <w:t>General Order (</w:t>
      </w:r>
      <w:r w:rsidRPr="004F5C5F" w:rsidR="00BA131E">
        <w:t>GO</w:t>
      </w:r>
      <w:r>
        <w:t xml:space="preserve">) </w:t>
      </w:r>
      <w:r w:rsidRPr="004F5C5F" w:rsidR="75898D90">
        <w:t xml:space="preserve">131-D establishes when </w:t>
      </w:r>
      <w:r w:rsidR="004F5C5F">
        <w:t xml:space="preserve">IOUs are </w:t>
      </w:r>
      <w:r w:rsidRPr="004F5C5F" w:rsidR="75898D90">
        <w:t xml:space="preserve">required to seek </w:t>
      </w:r>
      <w:r w:rsidR="00822073">
        <w:t>Commission</w:t>
      </w:r>
      <w:r w:rsidRPr="004F5C5F" w:rsidR="75898D90">
        <w:t xml:space="preserve"> permit</w:t>
      </w:r>
      <w:r w:rsidR="002B3F4D">
        <w:t>s</w:t>
      </w:r>
      <w:r w:rsidRPr="004F5C5F" w:rsidR="75898D90">
        <w:t xml:space="preserve"> to construct</w:t>
      </w:r>
      <w:r w:rsidR="002B3F4D">
        <w:t xml:space="preserve"> </w:t>
      </w:r>
      <w:r w:rsidRPr="004F5C5F" w:rsidR="75898D90">
        <w:t>electrical facilities</w:t>
      </w:r>
      <w:r w:rsidR="009965CA">
        <w:t xml:space="preserve"> </w:t>
      </w:r>
      <w:r w:rsidR="00891F7D">
        <w:t xml:space="preserve">with </w:t>
      </w:r>
      <w:r w:rsidR="009965CA">
        <w:t>a formal application process</w:t>
      </w:r>
      <w:r w:rsidRPr="004F5C5F" w:rsidR="75898D90">
        <w:t xml:space="preserve">. Consistent with State </w:t>
      </w:r>
      <w:r w:rsidR="002B3F4D">
        <w:t>l</w:t>
      </w:r>
      <w:r w:rsidRPr="004F5C5F" w:rsidR="75898D90">
        <w:t xml:space="preserve">aw, when a </w:t>
      </w:r>
      <w:r w:rsidR="00822073">
        <w:t>Commission</w:t>
      </w:r>
      <w:r w:rsidRPr="004F5C5F" w:rsidR="75898D90">
        <w:t xml:space="preserve"> permit is required, the </w:t>
      </w:r>
      <w:r w:rsidR="00822073">
        <w:t>Commission</w:t>
      </w:r>
      <w:r w:rsidRPr="004F5C5F" w:rsidR="75898D90">
        <w:t xml:space="preserve"> usually serves as </w:t>
      </w:r>
      <w:r w:rsidR="00603BCF">
        <w:t xml:space="preserve">the </w:t>
      </w:r>
      <w:r w:rsidRPr="004F5C5F" w:rsidR="75898D90">
        <w:t>Lead</w:t>
      </w:r>
      <w:r w:rsidRPr="004F5C5F" w:rsidR="70706097">
        <w:t xml:space="preserve"> Agency </w:t>
      </w:r>
      <w:r w:rsidR="00603BCF">
        <w:t xml:space="preserve">for </w:t>
      </w:r>
      <w:r w:rsidRPr="004F5C5F" w:rsidR="70706097">
        <w:t xml:space="preserve">California Environmental Quality Act (CEQA) </w:t>
      </w:r>
      <w:r w:rsidR="00603BCF">
        <w:t>compliance</w:t>
      </w:r>
      <w:r w:rsidRPr="004F5C5F" w:rsidR="70706097">
        <w:t>.</w:t>
      </w:r>
      <w:r w:rsidR="00603BCF">
        <w:t xml:space="preserve"> </w:t>
      </w:r>
      <w:r w:rsidR="00E86A49">
        <w:t xml:space="preserve">Additionally, </w:t>
      </w:r>
      <w:r w:rsidRPr="004F5C5F" w:rsidR="70706097">
        <w:t xml:space="preserve">GO 131-D establishes policy and </w:t>
      </w:r>
      <w:r w:rsidRPr="004F5C5F" w:rsidR="5C0BCDD6">
        <w:t>requirements govern</w:t>
      </w:r>
      <w:r w:rsidR="00603BCF">
        <w:t>ing</w:t>
      </w:r>
      <w:r w:rsidRPr="004F5C5F" w:rsidR="5C0BCDD6">
        <w:t xml:space="preserve"> infrastructure projects</w:t>
      </w:r>
      <w:r w:rsidR="00E86A49">
        <w:t xml:space="preserve"> </w:t>
      </w:r>
      <w:r w:rsidRPr="004F5C5F" w:rsidR="5C0BCDD6">
        <w:t xml:space="preserve">when </w:t>
      </w:r>
      <w:r w:rsidR="00E86A49">
        <w:t xml:space="preserve">formal </w:t>
      </w:r>
      <w:r w:rsidR="00F44F79">
        <w:t>Commission</w:t>
      </w:r>
      <w:r>
        <w:t xml:space="preserve"> </w:t>
      </w:r>
      <w:r w:rsidR="00E86A49">
        <w:t xml:space="preserve">permits are not </w:t>
      </w:r>
      <w:r>
        <w:t>required</w:t>
      </w:r>
      <w:r w:rsidRPr="004F5C5F" w:rsidR="5C0BCDD6">
        <w:t xml:space="preserve">. </w:t>
      </w:r>
      <w:r w:rsidRPr="004F5C5F" w:rsidR="005A4726">
        <w:t xml:space="preserve">In what ways should </w:t>
      </w:r>
      <w:r w:rsidRPr="004F5C5F" w:rsidR="1ECA7930">
        <w:t xml:space="preserve">utility </w:t>
      </w:r>
      <w:r w:rsidRPr="004F5C5F" w:rsidR="58B8E581">
        <w:t>DPP</w:t>
      </w:r>
      <w:r w:rsidRPr="004F5C5F" w:rsidR="0D6A9DBC">
        <w:t>s</w:t>
      </w:r>
      <w:r w:rsidRPr="004F5C5F" w:rsidR="005A4726">
        <w:t xml:space="preserve"> be </w:t>
      </w:r>
      <w:r w:rsidRPr="004F5C5F" w:rsidR="3E71EE7E">
        <w:t xml:space="preserve">updated and </w:t>
      </w:r>
      <w:r w:rsidRPr="004F5C5F" w:rsidR="5BEFEE16">
        <w:t xml:space="preserve">reflected </w:t>
      </w:r>
      <w:r w:rsidRPr="004F5C5F" w:rsidR="005A4726">
        <w:t>in G</w:t>
      </w:r>
      <w:r w:rsidRPr="004F5C5F" w:rsidR="00CB2D60">
        <w:t xml:space="preserve">O </w:t>
      </w:r>
      <w:r w:rsidRPr="004F5C5F" w:rsidR="005A4726">
        <w:t>131-D</w:t>
      </w:r>
      <w:r w:rsidRPr="004F5C5F" w:rsidR="0C493724">
        <w:t xml:space="preserve"> (</w:t>
      </w:r>
      <w:r w:rsidRPr="00E14477" w:rsidR="0C493724">
        <w:rPr>
          <w:i/>
          <w:iCs/>
        </w:rPr>
        <w:t>e.g.</w:t>
      </w:r>
      <w:r w:rsidRPr="004F5C5F" w:rsidR="0C493724">
        <w:t>, at Section III.C.</w:t>
      </w:r>
      <w:r w:rsidRPr="004F5C5F" w:rsidR="5CC308B9">
        <w:t xml:space="preserve"> and Section XIV</w:t>
      </w:r>
      <w:r w:rsidRPr="004F5C5F" w:rsidR="0C493724">
        <w:t>)</w:t>
      </w:r>
      <w:r w:rsidRPr="004F5C5F" w:rsidR="0EBE0076">
        <w:t xml:space="preserve"> to ensure </w:t>
      </w:r>
      <w:r w:rsidRPr="004F5C5F" w:rsidR="2D934CD3">
        <w:t>adequate</w:t>
      </w:r>
      <w:r w:rsidRPr="004F5C5F" w:rsidR="00F63B41">
        <w:t xml:space="preserve"> </w:t>
      </w:r>
      <w:r w:rsidRPr="004F5C5F" w:rsidR="005A4726">
        <w:t>community outreach and local agency consultation</w:t>
      </w:r>
      <w:r w:rsidRPr="004F5C5F" w:rsidR="111C2942">
        <w:t xml:space="preserve"> occurs</w:t>
      </w:r>
      <w:r w:rsidRPr="004F5C5F" w:rsidR="756B13AB">
        <w:t xml:space="preserve"> to meet </w:t>
      </w:r>
      <w:r w:rsidR="00F44F79">
        <w:t>Commission</w:t>
      </w:r>
      <w:r w:rsidRPr="004F5C5F" w:rsidR="4D7F7F7D">
        <w:t xml:space="preserve"> </w:t>
      </w:r>
      <w:r w:rsidRPr="004F5C5F" w:rsidR="756B13AB">
        <w:t>policy objectives</w:t>
      </w:r>
      <w:r w:rsidRPr="004F5C5F" w:rsidR="357BDC2D">
        <w:t>,</w:t>
      </w:r>
      <w:r w:rsidR="357BDC2D">
        <w:t xml:space="preserve"> even when the particular electric infrastructure does not </w:t>
      </w:r>
      <w:r w:rsidR="00943BB2">
        <w:t xml:space="preserve">require </w:t>
      </w:r>
      <w:r w:rsidR="357BDC2D">
        <w:t xml:space="preserve">a </w:t>
      </w:r>
      <w:r w:rsidR="00B65036">
        <w:t xml:space="preserve">formal </w:t>
      </w:r>
      <w:r w:rsidR="00F44F79">
        <w:t>Commission</w:t>
      </w:r>
      <w:r w:rsidR="357BDC2D">
        <w:t xml:space="preserve"> permit</w:t>
      </w:r>
      <w:r w:rsidRPr="00920731" w:rsidR="005A4726">
        <w:t>?</w:t>
      </w:r>
      <w:r w:rsidRPr="00920731" w:rsidR="005A4726">
        <w:rPr>
          <w:rStyle w:val="FootnoteReference"/>
        </w:rPr>
        <w:footnoteReference w:id="45"/>
      </w:r>
    </w:p>
    <w:p w:rsidRPr="00576BDF" w:rsidR="00F74E3A" w:rsidP="00E14477" w:rsidRDefault="04282A6A" w14:paraId="7F883596" w14:textId="2FEA9CAA">
      <w:pPr>
        <w:pStyle w:val="Header"/>
        <w:numPr>
          <w:ilvl w:val="1"/>
          <w:numId w:val="32"/>
        </w:numPr>
        <w:tabs>
          <w:tab w:val="clear" w:pos="4680"/>
          <w:tab w:val="clear" w:pos="9360"/>
        </w:tabs>
        <w:spacing w:after="120"/>
        <w:ind w:left="1440"/>
      </w:pPr>
      <w:r>
        <w:t>S</w:t>
      </w:r>
      <w:r w:rsidRPr="00576BDF">
        <w:t xml:space="preserve">hould </w:t>
      </w:r>
      <w:r w:rsidR="01ADC76A">
        <w:t xml:space="preserve">GO </w:t>
      </w:r>
      <w:r w:rsidRPr="00576BDF">
        <w:t>131-D and/or the DIDF be updated to clarify how</w:t>
      </w:r>
      <w:r w:rsidR="32487D2A">
        <w:t xml:space="preserve"> electric grid projects that require a </w:t>
      </w:r>
      <w:r w:rsidR="00F44F79">
        <w:t>Commission</w:t>
      </w:r>
      <w:r w:rsidR="32487D2A">
        <w:t xml:space="preserve"> permit interact with the DIDF process</w:t>
      </w:r>
      <w:r w:rsidR="00524464">
        <w:t>, and if so, how</w:t>
      </w:r>
      <w:r w:rsidR="002961C0">
        <w:t>?</w:t>
      </w:r>
      <w:r w:rsidR="32487D2A">
        <w:t xml:space="preserve"> </w:t>
      </w:r>
      <w:r w:rsidR="002961C0">
        <w:t>S</w:t>
      </w:r>
      <w:r w:rsidR="32487D2A">
        <w:t>uch project</w:t>
      </w:r>
      <w:r w:rsidR="00E10C28">
        <w:t>s</w:t>
      </w:r>
      <w:r w:rsidR="32487D2A">
        <w:t xml:space="preserve"> </w:t>
      </w:r>
      <w:r w:rsidR="24351755">
        <w:t xml:space="preserve">may be identified via DIDF when they are in a </w:t>
      </w:r>
      <w:r w:rsidRPr="00576BDF">
        <w:t xml:space="preserve">Pre-Application </w:t>
      </w:r>
      <w:r w:rsidR="49D93E90">
        <w:t xml:space="preserve">phase (before filing for a permit and commencing CEQA review) </w:t>
      </w:r>
      <w:r w:rsidRPr="00576BDF">
        <w:t>and</w:t>
      </w:r>
      <w:r w:rsidR="47C62D74">
        <w:t>/or</w:t>
      </w:r>
      <w:r w:rsidRPr="00576BDF">
        <w:t xml:space="preserve"> Post-Application</w:t>
      </w:r>
      <w:r w:rsidR="074C9466">
        <w:t xml:space="preserve"> </w:t>
      </w:r>
      <w:r w:rsidR="074C9466">
        <w:lastRenderedPageBreak/>
        <w:t xml:space="preserve">phase (when there is already a filing at the </w:t>
      </w:r>
      <w:r w:rsidR="00F44F79">
        <w:t>Commission</w:t>
      </w:r>
      <w:r w:rsidR="074C9466">
        <w:t xml:space="preserve"> in active review).</w:t>
      </w:r>
      <w:r w:rsidRPr="00576BDF" w:rsidR="00F74E3A">
        <w:rPr>
          <w:rStyle w:val="FootnoteReference"/>
        </w:rPr>
        <w:footnoteReference w:id="46"/>
      </w:r>
      <w:r>
        <w:t xml:space="preserve"> </w:t>
      </w:r>
      <w:r w:rsidRPr="00576BDF">
        <w:t> </w:t>
      </w:r>
    </w:p>
    <w:p w:rsidRPr="008F6483" w:rsidR="00526944" w:rsidP="00E14477" w:rsidRDefault="01F5D6E7" w14:paraId="3E27BFE2" w14:textId="7D491B8E">
      <w:pPr>
        <w:pStyle w:val="ListAlpha"/>
        <w:rPr>
          <w:rFonts w:asciiTheme="minorHAnsi" w:hAnsiTheme="minorHAnsi" w:eastAsiaTheme="minorEastAsia"/>
        </w:rPr>
      </w:pPr>
      <w:r>
        <w:t xml:space="preserve">How should the DPP/DIDF </w:t>
      </w:r>
      <w:r w:rsidR="00994639">
        <w:t>processes</w:t>
      </w:r>
      <w:r>
        <w:t xml:space="preserve"> </w:t>
      </w:r>
      <w:r w:rsidR="7D3423CB">
        <w:t>improve</w:t>
      </w:r>
      <w:r>
        <w:t xml:space="preserve"> to support </w:t>
      </w:r>
      <w:r w:rsidRPr="008F6483">
        <w:t xml:space="preserve">widespread </w:t>
      </w:r>
      <w:r w:rsidRPr="008F6483" w:rsidR="009906CE">
        <w:t>TE</w:t>
      </w:r>
      <w:r w:rsidRPr="008F6483" w:rsidR="00526944">
        <w:t>?</w:t>
      </w:r>
    </w:p>
    <w:p w:rsidRPr="008F6483" w:rsidR="00FC6EAE" w:rsidP="00E14477" w:rsidRDefault="0082597C" w14:paraId="6076348B" w14:textId="1314049C">
      <w:pPr>
        <w:pStyle w:val="Header"/>
        <w:numPr>
          <w:ilvl w:val="1"/>
          <w:numId w:val="32"/>
        </w:numPr>
        <w:tabs>
          <w:tab w:val="clear" w:pos="4680"/>
          <w:tab w:val="clear" w:pos="9360"/>
        </w:tabs>
        <w:spacing w:after="120"/>
        <w:ind w:left="1440"/>
      </w:pPr>
      <w:r w:rsidRPr="008F6483">
        <w:t xml:space="preserve">What improvements to GNA </w:t>
      </w:r>
      <w:r w:rsidRPr="008F6483" w:rsidR="00BA4C15">
        <w:t xml:space="preserve">load </w:t>
      </w:r>
      <w:r w:rsidRPr="008F6483" w:rsidR="5FB6040F">
        <w:t xml:space="preserve">forecasting </w:t>
      </w:r>
      <w:r w:rsidRPr="008F6483" w:rsidR="00B76E86">
        <w:t xml:space="preserve">can be made </w:t>
      </w:r>
      <w:r w:rsidRPr="008F6483" w:rsidR="00723D56">
        <w:t xml:space="preserve">to </w:t>
      </w:r>
      <w:r w:rsidRPr="008F6483" w:rsidR="008B6F2C">
        <w:t xml:space="preserve">identify </w:t>
      </w:r>
      <w:r w:rsidRPr="008F6483" w:rsidR="5FB6040F">
        <w:t xml:space="preserve">grid </w:t>
      </w:r>
      <w:r w:rsidRPr="008F6483" w:rsidR="002A18EC">
        <w:t xml:space="preserve">investments </w:t>
      </w:r>
      <w:r w:rsidRPr="008F6483" w:rsidR="5FB6040F">
        <w:t>need</w:t>
      </w:r>
      <w:r w:rsidRPr="008F6483" w:rsidR="00925D32">
        <w:t xml:space="preserve">ed to </w:t>
      </w:r>
      <w:r w:rsidRPr="008F6483" w:rsidR="5FB6040F">
        <w:t xml:space="preserve">support </w:t>
      </w:r>
      <w:r w:rsidRPr="008F6483" w:rsidR="009906CE">
        <w:t>TE</w:t>
      </w:r>
      <w:r w:rsidRPr="008F6483" w:rsidR="5FB6040F">
        <w:t xml:space="preserve"> goals</w:t>
      </w:r>
      <w:r w:rsidRPr="008F6483" w:rsidR="00DF0E30">
        <w:t xml:space="preserve">? </w:t>
      </w:r>
      <w:r w:rsidRPr="008F6483" w:rsidR="00FA6B32">
        <w:t xml:space="preserve">Consider </w:t>
      </w:r>
      <w:r w:rsidRPr="008F6483" w:rsidR="00BA00A8">
        <w:t>different types of charging sites</w:t>
      </w:r>
      <w:r w:rsidRPr="008F6483" w:rsidR="003223AD">
        <w:t xml:space="preserve"> in the response</w:t>
      </w:r>
      <w:r w:rsidRPr="008F6483" w:rsidR="00BA00A8">
        <w:t xml:space="preserve">, </w:t>
      </w:r>
      <w:r w:rsidRPr="008F6483" w:rsidR="003223AD">
        <w:t>e.g.</w:t>
      </w:r>
      <w:r w:rsidRPr="008F6483" w:rsidR="00BA00A8">
        <w:t xml:space="preserve">, </w:t>
      </w:r>
      <w:r w:rsidRPr="008F6483" w:rsidR="00435160">
        <w:t>charging stations</w:t>
      </w:r>
      <w:r w:rsidRPr="008F6483" w:rsidR="00B53A36">
        <w:t xml:space="preserve"> </w:t>
      </w:r>
      <w:r w:rsidRPr="008F6483" w:rsidR="00403A6F">
        <w:t>with high loads</w:t>
      </w:r>
      <w:r w:rsidRPr="008F6483" w:rsidR="00096B63">
        <w:t xml:space="preserve"> (e.g., transit depots</w:t>
      </w:r>
      <w:r w:rsidRPr="008F6483" w:rsidR="000102A8">
        <w:t xml:space="preserve"> or </w:t>
      </w:r>
      <w:r w:rsidRPr="008F6483" w:rsidR="009317F0">
        <w:t>D</w:t>
      </w:r>
      <w:r w:rsidRPr="008F6483" w:rsidR="00E33429">
        <w:t xml:space="preserve">irect </w:t>
      </w:r>
      <w:r w:rsidRPr="008F6483" w:rsidR="009317F0">
        <w:t>C</w:t>
      </w:r>
      <w:r w:rsidRPr="008F6483" w:rsidR="00E33429">
        <w:t>urrent [DC]</w:t>
      </w:r>
      <w:r w:rsidRPr="008F6483" w:rsidR="009317F0">
        <w:t xml:space="preserve"> Fast Charging plazas</w:t>
      </w:r>
      <w:r w:rsidRPr="008F6483" w:rsidR="00096B63">
        <w:t>)</w:t>
      </w:r>
      <w:r w:rsidRPr="008F6483" w:rsidR="003F1009">
        <w:rPr>
          <w:rStyle w:val="FootnoteReference"/>
        </w:rPr>
        <w:footnoteReference w:id="47"/>
      </w:r>
      <w:r w:rsidRPr="008F6483" w:rsidR="00435160">
        <w:t xml:space="preserve"> </w:t>
      </w:r>
      <w:r w:rsidRPr="008F6483" w:rsidR="00F66C6F">
        <w:t xml:space="preserve">as opposed to </w:t>
      </w:r>
      <w:r w:rsidRPr="008F6483" w:rsidR="00467FC0">
        <w:t xml:space="preserve">high </w:t>
      </w:r>
      <w:r w:rsidRPr="008F6483" w:rsidR="006469C0">
        <w:t xml:space="preserve">numbers of </w:t>
      </w:r>
      <w:r w:rsidRPr="008F6483" w:rsidR="00435160">
        <w:t xml:space="preserve">dispersed </w:t>
      </w:r>
      <w:r w:rsidRPr="008F6483" w:rsidR="00B814DD">
        <w:t xml:space="preserve">level 1 and level 2 </w:t>
      </w:r>
      <w:r w:rsidRPr="008F6483" w:rsidR="00435160">
        <w:t>EV</w:t>
      </w:r>
      <w:r w:rsidRPr="008F6483" w:rsidR="00B30C8F">
        <w:t>SE</w:t>
      </w:r>
      <w:r w:rsidRPr="008F6483" w:rsidR="5FB6040F">
        <w:t>?</w:t>
      </w:r>
      <w:r w:rsidRPr="008F6483" w:rsidR="009447BB">
        <w:rPr>
          <w:rStyle w:val="FootnoteReference"/>
        </w:rPr>
        <w:footnoteReference w:id="48"/>
      </w:r>
    </w:p>
    <w:p w:rsidRPr="007D5871" w:rsidR="0005169A" w:rsidP="00E14477" w:rsidRDefault="00644191" w14:paraId="173AC9BF" w14:textId="16D3AE0D">
      <w:pPr>
        <w:pStyle w:val="Header"/>
        <w:numPr>
          <w:ilvl w:val="1"/>
          <w:numId w:val="32"/>
        </w:numPr>
        <w:tabs>
          <w:tab w:val="clear" w:pos="4680"/>
          <w:tab w:val="clear" w:pos="9360"/>
        </w:tabs>
        <w:spacing w:after="120"/>
        <w:ind w:left="1440"/>
      </w:pPr>
      <w:r w:rsidRPr="007D5871">
        <w:rPr>
          <w:rStyle w:val="normaltextrun"/>
          <w:rFonts w:eastAsia="Book Antiqua" w:cs="Book Antiqua"/>
          <w:color w:val="000000" w:themeColor="text1"/>
        </w:rPr>
        <w:t xml:space="preserve">What coordination is needed between </w:t>
      </w:r>
      <w:r w:rsidRPr="007D5871" w:rsidR="0005169A">
        <w:rPr>
          <w:rStyle w:val="normaltextrun"/>
          <w:rFonts w:eastAsia="Book Antiqua" w:cs="Book Antiqua"/>
          <w:color w:val="000000" w:themeColor="text1"/>
        </w:rPr>
        <w:t xml:space="preserve">the </w:t>
      </w:r>
      <w:r w:rsidR="00F44F79">
        <w:t>Commission</w:t>
      </w:r>
      <w:r w:rsidRPr="007D5871" w:rsidR="006629B4">
        <w:rPr>
          <w:rStyle w:val="normaltextrun"/>
          <w:rFonts w:eastAsia="Book Antiqua" w:cs="Book Antiqua"/>
          <w:color w:val="000000" w:themeColor="text1"/>
        </w:rPr>
        <w:t xml:space="preserve">, </w:t>
      </w:r>
      <w:r w:rsidRPr="007D5871" w:rsidR="0005169A">
        <w:rPr>
          <w:rStyle w:val="normaltextrun"/>
          <w:rFonts w:eastAsia="Book Antiqua" w:cs="Book Antiqua"/>
          <w:color w:val="000000" w:themeColor="text1"/>
        </w:rPr>
        <w:t xml:space="preserve">CEC, and CAISO to </w:t>
      </w:r>
      <w:r w:rsidRPr="007D5871">
        <w:rPr>
          <w:rStyle w:val="normaltextrun"/>
          <w:rFonts w:eastAsia="Book Antiqua" w:cs="Book Antiqua"/>
          <w:color w:val="000000" w:themeColor="text1"/>
        </w:rPr>
        <w:t xml:space="preserve">improve </w:t>
      </w:r>
      <w:r w:rsidRPr="007D5871" w:rsidR="0005169A">
        <w:rPr>
          <w:rStyle w:val="normaltextrun"/>
          <w:rFonts w:eastAsia="Book Antiqua" w:cs="Book Antiqua"/>
          <w:color w:val="000000" w:themeColor="text1"/>
        </w:rPr>
        <w:t xml:space="preserve">the use of </w:t>
      </w:r>
      <w:r w:rsidRPr="007D5871" w:rsidR="00906614">
        <w:rPr>
          <w:rStyle w:val="normaltextrun"/>
          <w:rFonts w:eastAsia="Book Antiqua" w:cs="Book Antiqua"/>
          <w:color w:val="000000" w:themeColor="text1"/>
        </w:rPr>
        <w:t xml:space="preserve">EV </w:t>
      </w:r>
      <w:r w:rsidRPr="007D5871" w:rsidR="0005169A">
        <w:rPr>
          <w:rStyle w:val="normaltextrun"/>
          <w:rFonts w:eastAsia="Book Antiqua" w:cs="Book Antiqua"/>
          <w:color w:val="000000" w:themeColor="text1"/>
        </w:rPr>
        <w:t>forecast data for distribution planning</w:t>
      </w:r>
      <w:r w:rsidRPr="007D5871" w:rsidR="004E3917">
        <w:rPr>
          <w:rStyle w:val="normaltextrun"/>
          <w:rFonts w:eastAsia="Book Antiqua" w:cs="Book Antiqua"/>
          <w:color w:val="000000" w:themeColor="text1"/>
        </w:rPr>
        <w:t xml:space="preserve"> purposes</w:t>
      </w:r>
      <w:r w:rsidRPr="007D5871" w:rsidR="0005169A">
        <w:rPr>
          <w:rStyle w:val="normaltextrun"/>
          <w:rFonts w:eastAsia="Book Antiqua" w:cs="Book Antiqua"/>
          <w:color w:val="000000" w:themeColor="text1"/>
        </w:rPr>
        <w:t>?</w:t>
      </w:r>
      <w:r w:rsidRPr="007D5871" w:rsidR="00FA558E">
        <w:rPr>
          <w:rStyle w:val="FootnoteReference"/>
          <w:rFonts w:eastAsia="Book Antiqua" w:cs="Book Antiqua"/>
          <w:color w:val="000000" w:themeColor="text1"/>
        </w:rPr>
        <w:footnoteReference w:id="49"/>
      </w:r>
    </w:p>
    <w:p w:rsidRPr="007D5871" w:rsidR="663CAA7D" w:rsidP="00E14477" w:rsidRDefault="004641F4" w14:paraId="04089189" w14:textId="3A530FA4">
      <w:pPr>
        <w:pStyle w:val="Header"/>
        <w:numPr>
          <w:ilvl w:val="1"/>
          <w:numId w:val="32"/>
        </w:numPr>
        <w:tabs>
          <w:tab w:val="clear" w:pos="4680"/>
          <w:tab w:val="clear" w:pos="9360"/>
        </w:tabs>
        <w:spacing w:after="120"/>
        <w:ind w:left="1440"/>
        <w:rPr>
          <w:rFonts w:eastAsia="Book Antiqua" w:cs="Book Antiqua"/>
          <w:color w:val="000000" w:themeColor="text1"/>
        </w:rPr>
      </w:pPr>
      <w:r w:rsidRPr="007D5871">
        <w:rPr>
          <w:rStyle w:val="normaltextrun"/>
          <w:rFonts w:eastAsia="Book Antiqua" w:cs="Book Antiqua"/>
          <w:color w:val="000000" w:themeColor="text1"/>
        </w:rPr>
        <w:t xml:space="preserve">How should DPP/DIDF processes be coordinated with other </w:t>
      </w:r>
      <w:r w:rsidR="00F44F79">
        <w:t>Commission</w:t>
      </w:r>
      <w:r w:rsidRPr="007D5871">
        <w:rPr>
          <w:rStyle w:val="normaltextrun"/>
          <w:rFonts w:eastAsia="Book Antiqua" w:cs="Book Antiqua"/>
          <w:color w:val="000000" w:themeColor="text1"/>
        </w:rPr>
        <w:t xml:space="preserve"> processes/policies/proceedings to </w:t>
      </w:r>
      <w:r w:rsidRPr="007D5871" w:rsidR="00B17BC3">
        <w:rPr>
          <w:rStyle w:val="normaltextrun"/>
          <w:rFonts w:eastAsia="Book Antiqua" w:cs="Book Antiqua"/>
          <w:color w:val="000000" w:themeColor="text1"/>
        </w:rPr>
        <w:t>adequately and efficiently</w:t>
      </w:r>
      <w:r w:rsidRPr="007D5871" w:rsidR="00C8547C">
        <w:rPr>
          <w:rStyle w:val="normaltextrun"/>
          <w:rFonts w:eastAsia="Book Antiqua" w:cs="Book Antiqua"/>
          <w:color w:val="000000" w:themeColor="text1"/>
        </w:rPr>
        <w:t xml:space="preserve"> </w:t>
      </w:r>
      <w:r w:rsidRPr="007D5871" w:rsidR="00DD5E52">
        <w:rPr>
          <w:rStyle w:val="normaltextrun"/>
          <w:rFonts w:eastAsia="Book Antiqua" w:cs="Book Antiqua"/>
          <w:color w:val="000000" w:themeColor="text1"/>
        </w:rPr>
        <w:t xml:space="preserve">plan for distribution </w:t>
      </w:r>
      <w:r w:rsidRPr="007D5871">
        <w:rPr>
          <w:rStyle w:val="normaltextrun"/>
          <w:rFonts w:eastAsia="Book Antiqua" w:cs="Book Antiqua"/>
          <w:color w:val="000000" w:themeColor="text1"/>
        </w:rPr>
        <w:t>grid upgrades triggered by TE</w:t>
      </w:r>
      <w:r w:rsidRPr="007D5871" w:rsidR="00DD5E52">
        <w:rPr>
          <w:rStyle w:val="normaltextrun"/>
          <w:rFonts w:eastAsia="Book Antiqua" w:cs="Book Antiqua"/>
          <w:color w:val="000000" w:themeColor="text1"/>
        </w:rPr>
        <w:t xml:space="preserve"> and to reduce/defer/avoid </w:t>
      </w:r>
      <w:r w:rsidRPr="007D5871" w:rsidR="00C8547C">
        <w:rPr>
          <w:rStyle w:val="normaltextrun"/>
          <w:rFonts w:eastAsia="Book Antiqua" w:cs="Book Antiqua"/>
          <w:color w:val="000000" w:themeColor="text1"/>
        </w:rPr>
        <w:t>grid</w:t>
      </w:r>
      <w:r w:rsidRPr="007D5871" w:rsidR="00DD5E52">
        <w:rPr>
          <w:rStyle w:val="normaltextrun"/>
          <w:rFonts w:eastAsia="Book Antiqua" w:cs="Book Antiqua"/>
          <w:color w:val="000000" w:themeColor="text1"/>
        </w:rPr>
        <w:t xml:space="preserve"> upgrades </w:t>
      </w:r>
      <w:r w:rsidRPr="007D5871" w:rsidR="00C8547C">
        <w:rPr>
          <w:rStyle w:val="normaltextrun"/>
          <w:rFonts w:eastAsia="Book Antiqua" w:cs="Book Antiqua"/>
          <w:color w:val="000000" w:themeColor="text1"/>
        </w:rPr>
        <w:t>where feasible</w:t>
      </w:r>
      <w:r w:rsidRPr="007D5871" w:rsidR="00F837C0">
        <w:rPr>
          <w:rStyle w:val="normaltextrun"/>
          <w:rFonts w:eastAsia="Book Antiqua" w:cs="Book Antiqua"/>
          <w:color w:val="000000" w:themeColor="text1"/>
        </w:rPr>
        <w:t>?</w:t>
      </w:r>
      <w:r w:rsidRPr="007D5871" w:rsidR="00CE5FF5">
        <w:rPr>
          <w:rStyle w:val="FootnoteReference"/>
        </w:rPr>
        <w:footnoteReference w:id="50"/>
      </w:r>
    </w:p>
    <w:p w:rsidRPr="002A41ED" w:rsidR="004C53F8" w:rsidP="00E14477" w:rsidRDefault="2A6D92CB" w14:paraId="4E2E9B6D" w14:textId="22689578">
      <w:pPr>
        <w:pStyle w:val="Header"/>
        <w:numPr>
          <w:ilvl w:val="1"/>
          <w:numId w:val="32"/>
        </w:numPr>
        <w:tabs>
          <w:tab w:val="clear" w:pos="4680"/>
          <w:tab w:val="clear" w:pos="9360"/>
        </w:tabs>
        <w:spacing w:after="120"/>
        <w:ind w:left="1440"/>
        <w:rPr>
          <w:rFonts w:asciiTheme="minorHAnsi" w:hAnsiTheme="minorHAnsi" w:eastAsiaTheme="minorEastAsia"/>
        </w:rPr>
      </w:pPr>
      <w:r w:rsidRPr="007D5871">
        <w:lastRenderedPageBreak/>
        <w:t xml:space="preserve">When will </w:t>
      </w:r>
      <w:r w:rsidRPr="007D5871" w:rsidR="1856BF69">
        <w:t>EVs</w:t>
      </w:r>
      <w:r w:rsidRPr="007D5871" w:rsidR="113666D6">
        <w:t>,</w:t>
      </w:r>
      <w:r w:rsidRPr="007D5871" w:rsidR="5CE99CCF">
        <w:t xml:space="preserve"> </w:t>
      </w:r>
      <w:r w:rsidRPr="007D5871" w:rsidR="5526860E">
        <w:t>EVSE</w:t>
      </w:r>
      <w:r w:rsidRPr="007D5871" w:rsidR="113666D6">
        <w:t>,</w:t>
      </w:r>
      <w:r w:rsidRPr="007D5871" w:rsidR="5CE99CCF">
        <w:t xml:space="preserve"> </w:t>
      </w:r>
      <w:r w:rsidRPr="007D5871" w:rsidR="54A31C40">
        <w:t xml:space="preserve">and </w:t>
      </w:r>
      <w:r w:rsidRPr="007D5871" w:rsidR="6F0CE706">
        <w:t>related</w:t>
      </w:r>
      <w:r w:rsidRPr="007D5871" w:rsidR="54A31C40">
        <w:t xml:space="preserve"> technologies</w:t>
      </w:r>
      <w:r w:rsidRPr="007D5871" w:rsidR="3C5537D7">
        <w:t xml:space="preserve"> (e.g., automatic load management systems)</w:t>
      </w:r>
      <w:r w:rsidRPr="007D5871" w:rsidR="54A31C40">
        <w:t xml:space="preserve"> </w:t>
      </w:r>
      <w:r w:rsidRPr="007D5871">
        <w:t xml:space="preserve">be available to </w:t>
      </w:r>
      <w:r w:rsidRPr="007D5871" w:rsidR="12D39E6E">
        <w:rPr>
          <w:rStyle w:val="normaltextrun"/>
          <w:rFonts w:eastAsia="Book Antiqua" w:cs="Book Antiqua"/>
          <w:color w:val="000000" w:themeColor="text1"/>
        </w:rPr>
        <w:t>reduce/defer/avoid distribution system upgrades</w:t>
      </w:r>
      <w:r w:rsidRPr="007D5871" w:rsidR="12D39E6E">
        <w:t xml:space="preserve"> and </w:t>
      </w:r>
      <w:r w:rsidRPr="007D5871">
        <w:t xml:space="preserve">provide </w:t>
      </w:r>
      <w:r w:rsidRPr="007D5871" w:rsidR="7C6B2AD5">
        <w:t xml:space="preserve">other </w:t>
      </w:r>
      <w:r w:rsidRPr="007D5871" w:rsidR="09BC3F63">
        <w:t>grid services</w:t>
      </w:r>
      <w:r w:rsidRPr="007D5871" w:rsidR="5E53A288">
        <w:t xml:space="preserve">? </w:t>
      </w:r>
      <w:r w:rsidRPr="007D5871" w:rsidR="576190C2">
        <w:t>A</w:t>
      </w:r>
      <w:r w:rsidRPr="007D5871">
        <w:t>t what scope, under what circumstances</w:t>
      </w:r>
      <w:r w:rsidRPr="007D5871" w:rsidR="576190C2">
        <w:t xml:space="preserve">, and </w:t>
      </w:r>
      <w:r w:rsidRPr="007D5871" w:rsidR="762D33F2">
        <w:t>what are some current examples</w:t>
      </w:r>
      <w:r w:rsidRPr="007D5871">
        <w:t>?</w:t>
      </w:r>
      <w:r w:rsidRPr="007D5871" w:rsidR="24DEC94A">
        <w:t xml:space="preserve"> What are the top five barriers to being available.</w:t>
      </w:r>
      <w:r w:rsidRPr="007D5871" w:rsidR="002235B5">
        <w:rPr>
          <w:rStyle w:val="FootnoteReference"/>
        </w:rPr>
        <w:footnoteReference w:id="51"/>
      </w:r>
      <w:r w:rsidRPr="007D5871" w:rsidR="48DFE6B5">
        <w:t xml:space="preserve"> </w:t>
      </w:r>
      <w:r w:rsidRPr="007D5871" w:rsidDel="00117E36">
        <w:t>What associated policy changes and/or technology development are necessary and why?</w:t>
      </w:r>
    </w:p>
    <w:p w:rsidRPr="00170F33" w:rsidR="00705742" w:rsidP="00E14477" w:rsidRDefault="005E60CE" w14:paraId="637AE6A7" w14:textId="6BFF20B0">
      <w:pPr>
        <w:pStyle w:val="ListAlpha"/>
      </w:pPr>
      <w:r>
        <w:t>What additional types of planned investments should be considered for deferral (e.g., DERs installed instead of replacing aging infrastructure or DERs installed such that loads can be lowered to extend the life of existing infrastructure)?</w:t>
      </w:r>
    </w:p>
    <w:p w:rsidR="00234C09" w:rsidP="00E14477" w:rsidRDefault="00234C09" w14:paraId="5CF7EB75" w14:textId="762651BC">
      <w:pPr>
        <w:pStyle w:val="ListAlpha"/>
      </w:pPr>
      <w:r>
        <w:t xml:space="preserve">Should IOUs incorporate the use of DERs as opposed to traditional infrastructure into their </w:t>
      </w:r>
      <w:r w:rsidR="006B7993">
        <w:t>standard practice</w:t>
      </w:r>
      <w:r>
        <w:t xml:space="preserve"> of plann</w:t>
      </w:r>
      <w:r w:rsidR="00175561">
        <w:t xml:space="preserve">ing for </w:t>
      </w:r>
      <w:r>
        <w:t>distribution investments? If so, how should this be achieved?</w:t>
      </w:r>
    </w:p>
    <w:p w:rsidRPr="001B0BBB" w:rsidR="0000774B" w:rsidP="00E14477" w:rsidRDefault="000153F3" w14:paraId="776F7701" w14:textId="10C6B0D1">
      <w:pPr>
        <w:pStyle w:val="ListAlpha"/>
        <w:rPr>
          <w:rFonts w:asciiTheme="minorHAnsi" w:hAnsiTheme="minorHAnsi" w:eastAsiaTheme="minorEastAsia"/>
        </w:rPr>
      </w:pPr>
      <w:r w:rsidRPr="00705742">
        <w:t xml:space="preserve">How should ICA data and calculations be </w:t>
      </w:r>
      <w:r w:rsidR="004A6A92">
        <w:t xml:space="preserve">improved </w:t>
      </w:r>
      <w:r w:rsidRPr="00705742">
        <w:t xml:space="preserve">to enhance </w:t>
      </w:r>
      <w:r w:rsidRPr="001B0BBB">
        <w:t xml:space="preserve">accuracy and </w:t>
      </w:r>
      <w:r w:rsidRPr="001B0BBB" w:rsidR="6C8BE9E6">
        <w:t xml:space="preserve">usefulness </w:t>
      </w:r>
      <w:r w:rsidRPr="001B0BBB">
        <w:t xml:space="preserve">for DER </w:t>
      </w:r>
      <w:r w:rsidRPr="001B0BBB" w:rsidR="51AFD4D9">
        <w:t>planning</w:t>
      </w:r>
      <w:r w:rsidRPr="001B0BBB">
        <w:t xml:space="preserve"> and interconnection</w:t>
      </w:r>
      <w:r w:rsidRPr="001B0BBB" w:rsidR="2B4DDAB0">
        <w:t xml:space="preserve"> (especially </w:t>
      </w:r>
      <w:r w:rsidRPr="001B0BBB" w:rsidR="54EF581D">
        <w:t xml:space="preserve">with respect to </w:t>
      </w:r>
      <w:r w:rsidRPr="001B0BBB" w:rsidR="009906CE">
        <w:t>TE</w:t>
      </w:r>
      <w:r w:rsidRPr="001B0BBB" w:rsidR="2B4DDAB0">
        <w:t>)</w:t>
      </w:r>
      <w:r w:rsidRPr="001B0BBB" w:rsidR="05AE9D61">
        <w:t>?</w:t>
      </w:r>
      <w:r w:rsidRPr="001B0BBB" w:rsidR="00E50D0E">
        <w:rPr>
          <w:rStyle w:val="FootnoteReference"/>
        </w:rPr>
        <w:footnoteReference w:id="52"/>
      </w:r>
      <w:r w:rsidRPr="001B0BBB" w:rsidR="00BC6443">
        <w:t xml:space="preserve"> </w:t>
      </w:r>
    </w:p>
    <w:p w:rsidRPr="001B0BBB" w:rsidR="00AE3C6C" w:rsidP="00E14477" w:rsidRDefault="00BE77B3" w14:paraId="0ED9278F" w14:textId="2A6445C4">
      <w:pPr>
        <w:pStyle w:val="Header"/>
        <w:numPr>
          <w:ilvl w:val="1"/>
          <w:numId w:val="32"/>
        </w:numPr>
        <w:tabs>
          <w:tab w:val="clear" w:pos="4680"/>
          <w:tab w:val="clear" w:pos="9360"/>
        </w:tabs>
        <w:spacing w:after="120"/>
        <w:ind w:left="1440"/>
      </w:pPr>
      <w:bookmarkStart w:name="_Hlk57189464" w:id="18"/>
      <w:r w:rsidRPr="001B0BBB">
        <w:t xml:space="preserve">Should ICA data be aligned with annual GNA load forecast results? </w:t>
      </w:r>
      <w:r w:rsidRPr="001B0BBB" w:rsidR="000D0AFC">
        <w:t>If so, how</w:t>
      </w:r>
      <w:r w:rsidRPr="001B0BBB" w:rsidR="337D7510">
        <w:t xml:space="preserve"> and with what objective</w:t>
      </w:r>
      <w:r w:rsidRPr="001B0BBB" w:rsidR="000D0AFC">
        <w:t xml:space="preserve">? </w:t>
      </w:r>
    </w:p>
    <w:p w:rsidRPr="001B0BBB" w:rsidR="000D0AFC" w:rsidP="00E14477" w:rsidRDefault="00AE3C6C" w14:paraId="2494858D" w14:textId="63D5446C">
      <w:pPr>
        <w:pStyle w:val="Header"/>
        <w:numPr>
          <w:ilvl w:val="1"/>
          <w:numId w:val="32"/>
        </w:numPr>
        <w:tabs>
          <w:tab w:val="clear" w:pos="4680"/>
          <w:tab w:val="clear" w:pos="9360"/>
        </w:tabs>
        <w:spacing w:after="120"/>
        <w:ind w:left="1440"/>
      </w:pPr>
      <w:r w:rsidRPr="001B0BBB">
        <w:lastRenderedPageBreak/>
        <w:t>T</w:t>
      </w:r>
      <w:r w:rsidRPr="001B0BBB" w:rsidR="007168E2">
        <w:t xml:space="preserve">o what extent </w:t>
      </w:r>
      <w:r w:rsidRPr="001B0BBB" w:rsidR="003D074C">
        <w:t>are</w:t>
      </w:r>
      <w:r w:rsidRPr="001B0BBB" w:rsidR="007168E2">
        <w:t xml:space="preserve"> the ICA data currently available on the DRP Data Portals useful for </w:t>
      </w:r>
      <w:r w:rsidRPr="001B0BBB" w:rsidR="009906CE">
        <w:t>TE</w:t>
      </w:r>
      <w:r w:rsidRPr="001B0BBB" w:rsidR="007168E2">
        <w:t xml:space="preserve"> planning purposes</w:t>
      </w:r>
      <w:r w:rsidRPr="001B0BBB">
        <w:t xml:space="preserve">? What improvements </w:t>
      </w:r>
      <w:r w:rsidRPr="001B0BBB" w:rsidR="00FD0826">
        <w:t>are necessary to increase the utility of this data?</w:t>
      </w:r>
      <w:r w:rsidRPr="001B0BBB" w:rsidR="00F8261E">
        <w:rPr>
          <w:rStyle w:val="FootnoteReference"/>
        </w:rPr>
        <w:footnoteReference w:id="53"/>
      </w:r>
    </w:p>
    <w:bookmarkEnd w:id="18"/>
    <w:p w:rsidRPr="002B5A8A" w:rsidR="000153F3" w:rsidP="00E14477" w:rsidRDefault="000153F3" w14:paraId="7E8C6BEB" w14:textId="26D50E61">
      <w:pPr>
        <w:pStyle w:val="Header"/>
        <w:numPr>
          <w:ilvl w:val="1"/>
          <w:numId w:val="32"/>
        </w:numPr>
        <w:tabs>
          <w:tab w:val="clear" w:pos="4680"/>
          <w:tab w:val="clear" w:pos="9360"/>
        </w:tabs>
        <w:spacing w:after="120"/>
        <w:ind w:left="1440"/>
        <w:rPr>
          <w:rFonts w:asciiTheme="minorHAnsi" w:hAnsiTheme="minorHAnsi" w:eastAsiaTheme="minorEastAsia"/>
          <w:szCs w:val="26"/>
        </w:rPr>
      </w:pPr>
      <w:r w:rsidRPr="001B0BBB">
        <w:t>How should the IOU</w:t>
      </w:r>
      <w:r w:rsidR="004E6B8F">
        <w:t>s’</w:t>
      </w:r>
      <w:r w:rsidRPr="001B0BBB">
        <w:t xml:space="preserve"> DRP Data Portals (including the ICA tool) be </w:t>
      </w:r>
      <w:r w:rsidRPr="001B0BBB" w:rsidR="37B186D6">
        <w:t>improved</w:t>
      </w:r>
      <w:r>
        <w:t xml:space="preserve"> and </w:t>
      </w:r>
      <w:r w:rsidR="2EC58666">
        <w:t>better</w:t>
      </w:r>
      <w:r>
        <w:t xml:space="preserve"> coordinated with </w:t>
      </w:r>
      <w:r w:rsidR="37B186D6">
        <w:t>other proceedings?</w:t>
      </w:r>
      <w:r w:rsidR="00576BDF">
        <w:rPr>
          <w:rStyle w:val="FootnoteReference"/>
        </w:rPr>
        <w:footnoteReference w:id="54"/>
      </w:r>
      <w:r w:rsidR="70FBFC64">
        <w:t xml:space="preserve"> </w:t>
      </w:r>
      <w:r w:rsidR="27011759">
        <w:t xml:space="preserve">For example, </w:t>
      </w:r>
      <w:r w:rsidR="65A5FC8A">
        <w:t>transmission infrastructure</w:t>
      </w:r>
      <w:r w:rsidR="39A26F49">
        <w:t xml:space="preserve">, grid investment, </w:t>
      </w:r>
      <w:r w:rsidR="5D7C2B55">
        <w:t xml:space="preserve">Public Safety Power Shutoff, and </w:t>
      </w:r>
      <w:r w:rsidR="65A5FC8A">
        <w:t xml:space="preserve">weather data </w:t>
      </w:r>
      <w:r w:rsidR="662A2EAC">
        <w:t xml:space="preserve">hosted by the pending </w:t>
      </w:r>
      <w:r w:rsidR="00545BCE">
        <w:t xml:space="preserve">IOU </w:t>
      </w:r>
      <w:r w:rsidR="662A2EAC">
        <w:t xml:space="preserve">Microgrid Data Portals may </w:t>
      </w:r>
      <w:r w:rsidR="65A5FC8A">
        <w:t xml:space="preserve">be useful for DER planning </w:t>
      </w:r>
      <w:r w:rsidR="4BCDCE31">
        <w:t xml:space="preserve">conducted using </w:t>
      </w:r>
      <w:r w:rsidR="65A5FC8A">
        <w:t>t</w:t>
      </w:r>
      <w:r w:rsidR="7A2534A9">
        <w:t>he DRP Data Portals</w:t>
      </w:r>
      <w:r w:rsidR="74BD507E">
        <w:t>.</w:t>
      </w:r>
      <w:r w:rsidR="2E4C6F6F">
        <w:t xml:space="preserve"> In addition, it </w:t>
      </w:r>
      <w:r w:rsidR="0E23142A">
        <w:t>may</w:t>
      </w:r>
      <w:r w:rsidR="2E4C6F6F">
        <w:t xml:space="preserve"> not </w:t>
      </w:r>
      <w:r w:rsidR="0E23142A">
        <w:t xml:space="preserve">be </w:t>
      </w:r>
      <w:r w:rsidR="2E4C6F6F">
        <w:t xml:space="preserve">clear which data </w:t>
      </w:r>
      <w:r w:rsidR="133C0586">
        <w:t xml:space="preserve">to be </w:t>
      </w:r>
      <w:r w:rsidR="612C8C1C">
        <w:t xml:space="preserve">hosted on </w:t>
      </w:r>
      <w:r w:rsidR="2E4C6F6F">
        <w:t xml:space="preserve">the Microgrid Data Portals should be considered confidential </w:t>
      </w:r>
      <w:r w:rsidR="6F2A8879">
        <w:t>(or access limited)</w:t>
      </w:r>
      <w:r w:rsidR="00E46E83">
        <w:rPr>
          <w:rStyle w:val="FootnoteReference"/>
        </w:rPr>
        <w:footnoteReference w:id="55"/>
      </w:r>
      <w:r w:rsidR="6F2A8879">
        <w:t xml:space="preserve"> </w:t>
      </w:r>
      <w:r w:rsidR="2E4C6F6F">
        <w:t xml:space="preserve">pursuant to DRP proceeding decisions on </w:t>
      </w:r>
      <w:r w:rsidR="0FD815E1">
        <w:t>confidentiality</w:t>
      </w:r>
      <w:r w:rsidR="2E4C6F6F">
        <w:t>.</w:t>
      </w:r>
    </w:p>
    <w:p w:rsidR="23109A08" w:rsidP="00E14477" w:rsidRDefault="23109A08" w14:paraId="5EAAB80D" w14:textId="479E95CE">
      <w:pPr>
        <w:pStyle w:val="ListAlpha"/>
      </w:pPr>
      <w:r>
        <w:t xml:space="preserve">What carryover issues from DRP and/or IDER </w:t>
      </w:r>
      <w:r w:rsidR="00CB4B00">
        <w:t xml:space="preserve">(not already </w:t>
      </w:r>
      <w:r w:rsidR="00AB4FFD">
        <w:t>addressed</w:t>
      </w:r>
      <w:r w:rsidR="005F3B2F">
        <w:t xml:space="preserve"> in the scoping questions</w:t>
      </w:r>
      <w:r w:rsidR="00CB4B00">
        <w:t xml:space="preserve">) </w:t>
      </w:r>
      <w:r>
        <w:t>should be continued i</w:t>
      </w:r>
      <w:r w:rsidR="66C176AD">
        <w:t>n this OIR?</w:t>
      </w:r>
    </w:p>
    <w:p w:rsidR="00481415" w:rsidP="00E14477" w:rsidRDefault="008B0132" w14:paraId="292A919D" w14:textId="5324D6C3">
      <w:pPr>
        <w:pStyle w:val="Header"/>
        <w:numPr>
          <w:ilvl w:val="1"/>
          <w:numId w:val="32"/>
        </w:numPr>
        <w:spacing w:after="120"/>
        <w:ind w:left="1440"/>
      </w:pPr>
      <w:r>
        <w:t>Should</w:t>
      </w:r>
      <w:r w:rsidR="4C6A9251">
        <w:t xml:space="preserve"> additional </w:t>
      </w:r>
      <w:r w:rsidR="66C176AD">
        <w:t>DER tariff</w:t>
      </w:r>
      <w:r w:rsidR="459038D0">
        <w:t xml:space="preserve"> pilots</w:t>
      </w:r>
      <w:r w:rsidR="5B462118">
        <w:t xml:space="preserve"> </w:t>
      </w:r>
      <w:r w:rsidR="66C176AD">
        <w:t xml:space="preserve">be </w:t>
      </w:r>
      <w:r w:rsidR="0E403394">
        <w:t>implemented</w:t>
      </w:r>
      <w:r w:rsidR="66C176AD">
        <w:t xml:space="preserve"> to extract more value from </w:t>
      </w:r>
      <w:r w:rsidR="001A07F2">
        <w:t>BTM</w:t>
      </w:r>
      <w:r w:rsidRPr="00AB0128" w:rsidR="00AB0128">
        <w:t xml:space="preserve"> </w:t>
      </w:r>
      <w:r w:rsidR="66C176AD">
        <w:t>DERs</w:t>
      </w:r>
      <w:r w:rsidR="548D3232">
        <w:t xml:space="preserve"> and further scale the </w:t>
      </w:r>
      <w:r w:rsidR="2C469EA7">
        <w:t xml:space="preserve">DIDF </w:t>
      </w:r>
      <w:r w:rsidR="548D3232">
        <w:t>program</w:t>
      </w:r>
      <w:r w:rsidR="00EE3842">
        <w:t xml:space="preserve"> </w:t>
      </w:r>
      <w:r w:rsidR="592255A1">
        <w:t>(e.g., a regional pilot</w:t>
      </w:r>
      <w:r w:rsidR="00D02BB9">
        <w:rPr>
          <w:rStyle w:val="FootnoteReference"/>
        </w:rPr>
        <w:footnoteReference w:id="56"/>
      </w:r>
      <w:r w:rsidR="005A2130">
        <w:t>)</w:t>
      </w:r>
      <w:r w:rsidR="00481415">
        <w:t>?</w:t>
      </w:r>
      <w:r w:rsidRPr="00642ED2" w:rsidR="00481415">
        <w:t xml:space="preserve"> </w:t>
      </w:r>
      <w:r w:rsidRPr="00642ED2" w:rsidR="00642ED2">
        <w:t>Consider</w:t>
      </w:r>
      <w:r w:rsidR="00F3206F">
        <w:t xml:space="preserve"> the</w:t>
      </w:r>
      <w:r w:rsidRPr="00642ED2" w:rsidR="00642ED2">
        <w:t xml:space="preserve"> evaluation of </w:t>
      </w:r>
      <w:r w:rsidR="00642ED2">
        <w:t>ongoing</w:t>
      </w:r>
      <w:r w:rsidRPr="00642ED2" w:rsidR="00642ED2">
        <w:t xml:space="preserve"> pilots in response to this question.</w:t>
      </w:r>
    </w:p>
    <w:p w:rsidR="00577E14" w:rsidP="00E14477" w:rsidRDefault="002B0D17" w14:paraId="2F14E64F" w14:textId="75930D14">
      <w:pPr>
        <w:pStyle w:val="Header"/>
        <w:numPr>
          <w:ilvl w:val="1"/>
          <w:numId w:val="32"/>
        </w:numPr>
        <w:spacing w:after="120"/>
        <w:ind w:left="1440"/>
      </w:pPr>
      <w:r>
        <w:lastRenderedPageBreak/>
        <w:t>I</w:t>
      </w:r>
      <w:r w:rsidR="00A138AB">
        <w:t>n</w:t>
      </w:r>
      <w:r>
        <w:t xml:space="preserve"> what ways should</w:t>
      </w:r>
      <w:r w:rsidR="00577E14">
        <w:t xml:space="preserve"> </w:t>
      </w:r>
      <w:r w:rsidR="00270CCB">
        <w:t>m</w:t>
      </w:r>
      <w:r w:rsidR="00577E14">
        <w:t>ultiple-</w:t>
      </w:r>
      <w:r w:rsidR="00270CCB">
        <w:t>u</w:t>
      </w:r>
      <w:r w:rsidR="00577E14">
        <w:t xml:space="preserve">se </w:t>
      </w:r>
      <w:r w:rsidR="00270CCB">
        <w:t>a</w:t>
      </w:r>
      <w:r w:rsidR="00577E14">
        <w:t xml:space="preserve">pplication </w:t>
      </w:r>
      <w:r w:rsidR="00AD3C4F">
        <w:t xml:space="preserve">rules </w:t>
      </w:r>
      <w:r w:rsidR="00577E14">
        <w:t xml:space="preserve">be </w:t>
      </w:r>
      <w:r w:rsidR="007B2060">
        <w:t>updated</w:t>
      </w:r>
      <w:r w:rsidR="00577E14">
        <w:t xml:space="preserve"> to </w:t>
      </w:r>
      <w:r w:rsidR="00B53D09">
        <w:t xml:space="preserve">maximize </w:t>
      </w:r>
      <w:r w:rsidR="008568F6">
        <w:t xml:space="preserve">the value of </w:t>
      </w:r>
      <w:r w:rsidR="00B53D09">
        <w:t>provid</w:t>
      </w:r>
      <w:r w:rsidR="008568F6">
        <w:t xml:space="preserve">ing </w:t>
      </w:r>
      <w:r w:rsidR="00891C88">
        <w:t xml:space="preserve">both </w:t>
      </w:r>
      <w:r w:rsidR="00AD3C4F">
        <w:t xml:space="preserve">RA </w:t>
      </w:r>
      <w:r w:rsidR="00891C88">
        <w:t xml:space="preserve">and distribution deferral </w:t>
      </w:r>
      <w:r w:rsidR="008568F6">
        <w:t>services</w:t>
      </w:r>
      <w:r w:rsidR="007E0DEA">
        <w:t>?</w:t>
      </w:r>
      <w:r w:rsidR="00F60294">
        <w:rPr>
          <w:rStyle w:val="FootnoteReference"/>
        </w:rPr>
        <w:footnoteReference w:id="57"/>
      </w:r>
    </w:p>
    <w:p w:rsidR="00C050EF" w:rsidP="00372EAC" w:rsidRDefault="1C497051" w14:paraId="12732BF1" w14:textId="696B90EB">
      <w:pPr>
        <w:pStyle w:val="paragraph"/>
        <w:spacing w:before="240" w:beforeAutospacing="0" w:after="120" w:afterAutospacing="0"/>
        <w:ind w:right="86"/>
        <w:textAlignment w:val="baseline"/>
        <w:rPr>
          <w:rStyle w:val="normaltextrun"/>
          <w:rFonts w:ascii="Book Antiqua" w:hAnsi="Book Antiqua" w:cs="Segoe UI"/>
          <w:b/>
          <w:bCs/>
          <w:sz w:val="26"/>
          <w:szCs w:val="26"/>
        </w:rPr>
      </w:pPr>
      <w:r w:rsidRPr="12B90869">
        <w:rPr>
          <w:rStyle w:val="normaltextrun"/>
          <w:rFonts w:ascii="Book Antiqua" w:hAnsi="Book Antiqua" w:cs="Segoe UI"/>
          <w:b/>
          <w:bCs/>
          <w:sz w:val="26"/>
          <w:szCs w:val="26"/>
        </w:rPr>
        <w:t>Track</w:t>
      </w:r>
      <w:r w:rsidR="00612ECF">
        <w:rPr>
          <w:rStyle w:val="normaltextrun"/>
          <w:rFonts w:ascii="Book Antiqua" w:hAnsi="Book Antiqua" w:cs="Segoe UI"/>
          <w:b/>
          <w:bCs/>
          <w:sz w:val="26"/>
          <w:szCs w:val="26"/>
        </w:rPr>
        <w:t xml:space="preserve"> </w:t>
      </w:r>
      <w:r w:rsidR="00F46993">
        <w:rPr>
          <w:rStyle w:val="normaltextrun"/>
          <w:rFonts w:ascii="Book Antiqua" w:hAnsi="Book Antiqua" w:cs="Segoe UI"/>
          <w:b/>
          <w:bCs/>
          <w:sz w:val="26"/>
          <w:szCs w:val="26"/>
        </w:rPr>
        <w:t>3</w:t>
      </w:r>
      <w:r w:rsidR="00612ECF">
        <w:rPr>
          <w:rStyle w:val="normaltextrun"/>
          <w:rFonts w:ascii="Book Antiqua" w:hAnsi="Book Antiqua" w:cs="Segoe UI"/>
          <w:b/>
          <w:bCs/>
          <w:sz w:val="26"/>
          <w:szCs w:val="26"/>
        </w:rPr>
        <w:t xml:space="preserve">: </w:t>
      </w:r>
      <w:r w:rsidRPr="6A89617B" w:rsidR="4F63A1C5">
        <w:rPr>
          <w:rStyle w:val="normaltextrun"/>
          <w:rFonts w:ascii="Book Antiqua" w:hAnsi="Book Antiqua" w:cs="Segoe UI"/>
          <w:b/>
          <w:bCs/>
          <w:sz w:val="26"/>
          <w:szCs w:val="26"/>
        </w:rPr>
        <w:t>Smart Inverter Operationalization</w:t>
      </w:r>
      <w:r w:rsidR="009C1326">
        <w:rPr>
          <w:rStyle w:val="normaltextrun"/>
          <w:rFonts w:ascii="Book Antiqua" w:hAnsi="Book Antiqua" w:cs="Segoe UI"/>
          <w:b/>
          <w:bCs/>
          <w:sz w:val="26"/>
          <w:szCs w:val="26"/>
        </w:rPr>
        <w:t xml:space="preserve">, </w:t>
      </w:r>
      <w:r w:rsidRPr="00612ECF" w:rsidR="009C1326">
        <w:rPr>
          <w:rStyle w:val="normaltextrun"/>
          <w:rFonts w:ascii="Book Antiqua" w:hAnsi="Book Antiqua" w:cs="Segoe UI"/>
          <w:b/>
          <w:bCs/>
          <w:sz w:val="26"/>
          <w:szCs w:val="26"/>
        </w:rPr>
        <w:t>Grid Modernization</w:t>
      </w:r>
      <w:r w:rsidRPr="6A89617B" w:rsidR="009C1326">
        <w:rPr>
          <w:rStyle w:val="normaltextrun"/>
          <w:rFonts w:ascii="Book Antiqua" w:hAnsi="Book Antiqua" w:cs="Segoe UI"/>
          <w:b/>
          <w:bCs/>
          <w:sz w:val="26"/>
          <w:szCs w:val="26"/>
        </w:rPr>
        <w:t xml:space="preserve">, </w:t>
      </w:r>
      <w:r w:rsidR="009C1326">
        <w:rPr>
          <w:rStyle w:val="normaltextrun"/>
          <w:rFonts w:ascii="Book Antiqua" w:hAnsi="Book Antiqua" w:cs="Segoe UI"/>
          <w:b/>
          <w:bCs/>
          <w:sz w:val="26"/>
          <w:szCs w:val="26"/>
        </w:rPr>
        <w:t>and GRCs</w:t>
      </w:r>
    </w:p>
    <w:p w:rsidRPr="00E14477" w:rsidR="6E7536B3" w:rsidP="00E14477" w:rsidRDefault="5AE9BFCB" w14:paraId="7D5EE70A" w14:textId="4FFC09C9">
      <w:pPr>
        <w:pStyle w:val="ListAlpha"/>
        <w:numPr>
          <w:ilvl w:val="7"/>
          <w:numId w:val="42"/>
        </w:numPr>
        <w:rPr>
          <w:rFonts w:asciiTheme="minorHAnsi" w:hAnsiTheme="minorHAnsi" w:eastAsiaTheme="minorEastAsia"/>
        </w:rPr>
      </w:pPr>
      <w:r>
        <w:t xml:space="preserve">Should the </w:t>
      </w:r>
      <w:r w:rsidR="311A6DAE">
        <w:t xml:space="preserve">framework for </w:t>
      </w:r>
      <w:r w:rsidR="5FE812DA">
        <w:t>g</w:t>
      </w:r>
      <w:r>
        <w:t xml:space="preserve">rid </w:t>
      </w:r>
      <w:r w:rsidR="1812E455">
        <w:t>m</w:t>
      </w:r>
      <w:r>
        <w:t xml:space="preserve">odernization adopted </w:t>
      </w:r>
      <w:r w:rsidR="2A8D2830">
        <w:t>in D.18-03-023</w:t>
      </w:r>
      <w:r w:rsidR="492D5E06">
        <w:t xml:space="preserve">, </w:t>
      </w:r>
      <w:r w:rsidRPr="00DF1666" w:rsidR="492D5E06">
        <w:t>including Grid Modernization Plans,</w:t>
      </w:r>
      <w:r w:rsidRPr="00DF1666" w:rsidR="2A8D2830">
        <w:t xml:space="preserve"> </w:t>
      </w:r>
      <w:r w:rsidRPr="00DF1666" w:rsidR="0CC1374A">
        <w:t xml:space="preserve">be </w:t>
      </w:r>
      <w:proofErr w:type="gramStart"/>
      <w:r w:rsidRPr="00DF1666" w:rsidR="0CC1374A">
        <w:t>revisited</w:t>
      </w:r>
      <w:proofErr w:type="gramEnd"/>
      <w:r w:rsidRPr="00DF1666" w:rsidR="0CC1374A">
        <w:t xml:space="preserve"> and updated</w:t>
      </w:r>
      <w:r w:rsidRPr="00DF1666" w:rsidR="75ACDB2F">
        <w:t>, and if so, what updates are needed</w:t>
      </w:r>
      <w:r w:rsidRPr="00DF1666" w:rsidR="0CC1374A">
        <w:t>?</w:t>
      </w:r>
    </w:p>
    <w:p w:rsidRPr="00DF1666" w:rsidR="00DB7A71" w:rsidP="00E14477" w:rsidRDefault="00DB7A71" w14:paraId="13103911" w14:textId="089811F3">
      <w:pPr>
        <w:pStyle w:val="ListAlpha"/>
        <w:numPr>
          <w:ilvl w:val="7"/>
          <w:numId w:val="42"/>
        </w:numPr>
      </w:pPr>
      <w:r w:rsidRPr="00DF1666">
        <w:t xml:space="preserve">Should </w:t>
      </w:r>
      <w:r w:rsidRPr="00DF1666" w:rsidR="009906CE">
        <w:t xml:space="preserve">TE </w:t>
      </w:r>
      <w:r w:rsidRPr="00DF1666" w:rsidR="00B02938">
        <w:t xml:space="preserve">needs be updated in the </w:t>
      </w:r>
      <w:r w:rsidRPr="00DF1666" w:rsidR="009906CE">
        <w:t xml:space="preserve">IOU </w:t>
      </w:r>
      <w:r w:rsidRPr="00DF1666" w:rsidR="00B02938">
        <w:t>Grid Modernization Plans? If so, how</w:t>
      </w:r>
      <w:r w:rsidRPr="00DF1666" w:rsidR="00511124">
        <w:t xml:space="preserve">, and in what ways should the Grid Modernization Plans be coordinated with IOU </w:t>
      </w:r>
      <w:r w:rsidRPr="00DF1666" w:rsidR="00754C89">
        <w:t xml:space="preserve">TE </w:t>
      </w:r>
      <w:r w:rsidRPr="00DF1666" w:rsidR="00B52FC8">
        <w:t>plan filings</w:t>
      </w:r>
      <w:r w:rsidRPr="00DF1666" w:rsidR="00511124">
        <w:t>?</w:t>
      </w:r>
      <w:r w:rsidRPr="00DF1666" w:rsidR="00352AC1">
        <w:rPr>
          <w:rStyle w:val="FootnoteReference"/>
        </w:rPr>
        <w:footnoteReference w:id="58"/>
      </w:r>
    </w:p>
    <w:p w:rsidR="060BCB1E" w:rsidP="00E14477" w:rsidRDefault="060BCB1E" w14:paraId="75CB126E" w14:textId="1B1890A1">
      <w:pPr>
        <w:pStyle w:val="ListAlpha"/>
        <w:numPr>
          <w:ilvl w:val="7"/>
          <w:numId w:val="42"/>
        </w:numPr>
      </w:pPr>
      <w:r w:rsidRPr="00DF1666">
        <w:t>The aforementioned framework for grid modernization provides gu</w:t>
      </w:r>
      <w:r w:rsidRPr="00DF1666" w:rsidR="15FF28B5">
        <w:t>idance for how grid modernization requests should be presented</w:t>
      </w:r>
      <w:r w:rsidRPr="00DF1666" w:rsidR="4EB7EB44">
        <w:t xml:space="preserve"> </w:t>
      </w:r>
      <w:r w:rsidRPr="00DF1666" w:rsidR="15FF28B5">
        <w:t>in GRCs. It stops short of</w:t>
      </w:r>
      <w:r w:rsidR="15FF28B5">
        <w:t xml:space="preserve"> recommending which technologies to adopt</w:t>
      </w:r>
      <w:r w:rsidR="449C68A5">
        <w:t>.  Should the framework develop specific investment priorities and functional needs for grid modernization?</w:t>
      </w:r>
      <w:r w:rsidR="00E027F2">
        <w:rPr>
          <w:rStyle w:val="FootnoteReference"/>
        </w:rPr>
        <w:footnoteReference w:id="59"/>
      </w:r>
    </w:p>
    <w:p w:rsidRPr="002B5A8A" w:rsidR="00151823" w:rsidP="00E14477" w:rsidRDefault="0CC1374A" w14:paraId="6F95544D" w14:textId="55F08D42">
      <w:pPr>
        <w:pStyle w:val="ListAlpha"/>
        <w:numPr>
          <w:ilvl w:val="7"/>
          <w:numId w:val="42"/>
        </w:numPr>
      </w:pPr>
      <w:r>
        <w:t xml:space="preserve">How should </w:t>
      </w:r>
      <w:r w:rsidR="5CDE14F1">
        <w:t>the</w:t>
      </w:r>
      <w:r w:rsidR="00537C69">
        <w:t xml:space="preserve"> development and enactment of</w:t>
      </w:r>
      <w:r w:rsidR="5CDE14F1">
        <w:t xml:space="preserve"> </w:t>
      </w:r>
      <w:r w:rsidR="35084594">
        <w:t>s</w:t>
      </w:r>
      <w:r w:rsidR="00151823">
        <w:t>mart inverter operationalization</w:t>
      </w:r>
      <w:r w:rsidR="5A07102E">
        <w:t xml:space="preserve"> </w:t>
      </w:r>
      <w:r w:rsidR="00537C69">
        <w:t>ca</w:t>
      </w:r>
      <w:r w:rsidR="005E7E6D">
        <w:t xml:space="preserve">pabilities </w:t>
      </w:r>
      <w:r w:rsidR="02FA74DE">
        <w:t>(i.e., advanced function</w:t>
      </w:r>
      <w:r w:rsidR="00EB1D88">
        <w:t>s</w:t>
      </w:r>
      <w:r w:rsidR="02FA74DE">
        <w:t xml:space="preserve">) </w:t>
      </w:r>
      <w:r w:rsidR="70B71228">
        <w:t>as defined in D.</w:t>
      </w:r>
      <w:r w:rsidR="1413FE13">
        <w:t>20-09-035</w:t>
      </w:r>
      <w:r w:rsidR="003D7707">
        <w:rPr>
          <w:rStyle w:val="FootnoteReference"/>
        </w:rPr>
        <w:footnoteReference w:id="60"/>
      </w:r>
      <w:r w:rsidR="1413FE13">
        <w:t xml:space="preserve"> and </w:t>
      </w:r>
      <w:r w:rsidR="2F0F5BC4">
        <w:t xml:space="preserve">Working Group </w:t>
      </w:r>
      <w:r w:rsidR="3E252BF3">
        <w:t>Four</w:t>
      </w:r>
      <w:r w:rsidR="00973FDC">
        <w:rPr>
          <w:rStyle w:val="FootnoteReference"/>
        </w:rPr>
        <w:footnoteReference w:id="61"/>
      </w:r>
      <w:r w:rsidR="2F0F5BC4">
        <w:t xml:space="preserve"> </w:t>
      </w:r>
      <w:r w:rsidR="35084594">
        <w:t xml:space="preserve">be </w:t>
      </w:r>
      <w:r w:rsidR="005E7E6D">
        <w:t xml:space="preserve">accomplished </w:t>
      </w:r>
      <w:r w:rsidR="019C73A4">
        <w:t xml:space="preserve">such that </w:t>
      </w:r>
      <w:r w:rsidR="019C73A4">
        <w:lastRenderedPageBreak/>
        <w:t>DERs</w:t>
      </w:r>
      <w:r w:rsidR="36060D22">
        <w:t xml:space="preserve">, </w:t>
      </w:r>
      <w:r w:rsidR="4739BCA4">
        <w:t>utilities</w:t>
      </w:r>
      <w:r w:rsidR="36060D22">
        <w:t>,</w:t>
      </w:r>
      <w:r w:rsidR="019C73A4">
        <w:t xml:space="preserve"> </w:t>
      </w:r>
      <w:r w:rsidR="00E424B2">
        <w:t xml:space="preserve">and aggregators </w:t>
      </w:r>
      <w:r w:rsidR="00AF4901">
        <w:t xml:space="preserve">fully </w:t>
      </w:r>
      <w:r w:rsidR="56F52D6C">
        <w:t xml:space="preserve">leverage </w:t>
      </w:r>
      <w:r w:rsidR="00C307E1">
        <w:t xml:space="preserve">smart inverter </w:t>
      </w:r>
      <w:r w:rsidR="56F52D6C">
        <w:t>advanced function</w:t>
      </w:r>
      <w:r w:rsidR="00241B47">
        <w:t>ality</w:t>
      </w:r>
      <w:r w:rsidR="56F52D6C">
        <w:t xml:space="preserve"> </w:t>
      </w:r>
      <w:r w:rsidR="019C73A4">
        <w:t xml:space="preserve">to </w:t>
      </w:r>
      <w:r w:rsidR="242F6866">
        <w:t>provide grid services</w:t>
      </w:r>
      <w:r w:rsidR="4487147E">
        <w:t xml:space="preserve"> </w:t>
      </w:r>
      <w:r w:rsidR="0013324C">
        <w:t xml:space="preserve">that </w:t>
      </w:r>
      <w:r w:rsidR="000C4E41">
        <w:t xml:space="preserve">are safe and </w:t>
      </w:r>
      <w:r w:rsidR="4487147E">
        <w:t>improve reliability</w:t>
      </w:r>
      <w:r w:rsidR="000C4E41">
        <w:t xml:space="preserve"> </w:t>
      </w:r>
      <w:r w:rsidR="4487147E">
        <w:t>and resiliency?</w:t>
      </w:r>
    </w:p>
    <w:p w:rsidR="040B208E" w:rsidP="00E14477" w:rsidRDefault="040B208E" w14:paraId="2EEBE4D6" w14:textId="26BAD244">
      <w:pPr>
        <w:pStyle w:val="ListAlpha"/>
        <w:numPr>
          <w:ilvl w:val="7"/>
          <w:numId w:val="42"/>
        </w:numPr>
      </w:pPr>
      <w:r>
        <w:t xml:space="preserve">How </w:t>
      </w:r>
      <w:r w:rsidR="539C7D58">
        <w:t xml:space="preserve">can </w:t>
      </w:r>
      <w:r w:rsidR="43FCA083">
        <w:t xml:space="preserve">the </w:t>
      </w:r>
      <w:r>
        <w:t xml:space="preserve">planned investments </w:t>
      </w:r>
      <w:r w:rsidR="05E3ECC0">
        <w:t>i</w:t>
      </w:r>
      <w:r w:rsidR="735FFF92">
        <w:t xml:space="preserve">dentified </w:t>
      </w:r>
      <w:r>
        <w:t xml:space="preserve">in the </w:t>
      </w:r>
      <w:r w:rsidR="35887955">
        <w:t xml:space="preserve">annual </w:t>
      </w:r>
      <w:r w:rsidR="00FB09DC">
        <w:t xml:space="preserve">DDOR </w:t>
      </w:r>
      <w:r>
        <w:t xml:space="preserve">be </w:t>
      </w:r>
      <w:r w:rsidR="1CB4179B">
        <w:t xml:space="preserve">further </w:t>
      </w:r>
      <w:r>
        <w:t>al</w:t>
      </w:r>
      <w:r w:rsidR="74C97EBB">
        <w:t>i</w:t>
      </w:r>
      <w:r>
        <w:t xml:space="preserve">gned with investments </w:t>
      </w:r>
      <w:r w:rsidR="1BDAC6B4">
        <w:t xml:space="preserve">proposed and </w:t>
      </w:r>
      <w:r>
        <w:t xml:space="preserve">approved </w:t>
      </w:r>
      <w:r w:rsidR="3BF0857C">
        <w:t>in</w:t>
      </w:r>
      <w:r>
        <w:t xml:space="preserve"> </w:t>
      </w:r>
      <w:r w:rsidR="6A68FA76">
        <w:t xml:space="preserve">the </w:t>
      </w:r>
      <w:r w:rsidR="006545FA">
        <w:t xml:space="preserve">quadrennial </w:t>
      </w:r>
      <w:r w:rsidR="001D75FE">
        <w:t xml:space="preserve">GRCs </w:t>
      </w:r>
      <w:r>
        <w:t>to re</w:t>
      </w:r>
      <w:r w:rsidR="12408408">
        <w:t xml:space="preserve">duce </w:t>
      </w:r>
      <w:r w:rsidR="24DB507D">
        <w:t>ratepayer</w:t>
      </w:r>
      <w:r w:rsidR="34B1E837">
        <w:t xml:space="preserve"> </w:t>
      </w:r>
      <w:r w:rsidR="0A896062">
        <w:t>co</w:t>
      </w:r>
      <w:r w:rsidR="34B1E837">
        <w:t>s</w:t>
      </w:r>
      <w:r w:rsidR="0A896062">
        <w:t>ts</w:t>
      </w:r>
      <w:r w:rsidR="547B5461">
        <w:t xml:space="preserve"> and provide maximum value to ratepayers</w:t>
      </w:r>
      <w:r w:rsidR="24DB507D">
        <w:t>?</w:t>
      </w:r>
    </w:p>
    <w:p w:rsidR="008C71CE" w:rsidP="0082654E" w:rsidRDefault="007631D5" w14:paraId="1E75DA0F" w14:textId="228958BB">
      <w:pPr>
        <w:pStyle w:val="Heading2"/>
      </w:pPr>
      <w:bookmarkStart w:name="_Toc71038947" w:id="19"/>
      <w:r>
        <w:t xml:space="preserve">Anticipated </w:t>
      </w:r>
      <w:r w:rsidR="0082654E">
        <w:t>Technical Support</w:t>
      </w:r>
      <w:r w:rsidR="00C067B4">
        <w:t xml:space="preserve"> Needs</w:t>
      </w:r>
      <w:bookmarkEnd w:id="19"/>
    </w:p>
    <w:p w:rsidR="0095142C" w:rsidP="008C71CE" w:rsidRDefault="008C71CE" w14:paraId="7D6735E1" w14:textId="7532A610">
      <w:pPr>
        <w:pStyle w:val="Standard"/>
      </w:pPr>
      <w:r>
        <w:t xml:space="preserve">The April 13, 2020, </w:t>
      </w:r>
      <w:r w:rsidRPr="008C71CE">
        <w:rPr>
          <w:i/>
          <w:iCs/>
        </w:rPr>
        <w:t>ALJ’s</w:t>
      </w:r>
      <w:r>
        <w:t xml:space="preserve"> </w:t>
      </w:r>
      <w:r w:rsidRPr="00E258D6">
        <w:rPr>
          <w:i/>
          <w:iCs/>
        </w:rPr>
        <w:t>Ruling Modifying the Distribution Investment Deferral Framework Process</w:t>
      </w:r>
      <w:r>
        <w:t xml:space="preserve"> for proceeding R.</w:t>
      </w:r>
      <w:r w:rsidRPr="00D75150">
        <w:t>14</w:t>
      </w:r>
      <w:r>
        <w:t>-</w:t>
      </w:r>
      <w:r w:rsidRPr="00D75150">
        <w:t>08</w:t>
      </w:r>
      <w:r>
        <w:t>-</w:t>
      </w:r>
      <w:r w:rsidRPr="00D75150">
        <w:t>013</w:t>
      </w:r>
      <w:r>
        <w:t xml:space="preserve"> authorized the use of reimbursable funds for Energy Division to hire consultant</w:t>
      </w:r>
      <w:r w:rsidR="3B2D4285">
        <w:t>s</w:t>
      </w:r>
      <w:r>
        <w:t xml:space="preserve"> to support the DRP proceeding. </w:t>
      </w:r>
      <w:r w:rsidR="00E14477">
        <w:t xml:space="preserve"> </w:t>
      </w:r>
      <w:r>
        <w:t xml:space="preserve">Up to $4,000,000 over four years was authorized, but the funds were not spent and </w:t>
      </w:r>
      <w:r w:rsidR="00593F2C">
        <w:t xml:space="preserve">would </w:t>
      </w:r>
      <w:r>
        <w:t xml:space="preserve">be applied to </w:t>
      </w:r>
      <w:r w:rsidR="66577E01">
        <w:t>a consultant support contract primarily for</w:t>
      </w:r>
      <w:r>
        <w:t xml:space="preserve"> </w:t>
      </w:r>
      <w:r w:rsidR="0058696E">
        <w:t xml:space="preserve">this </w:t>
      </w:r>
      <w:r>
        <w:t xml:space="preserve">proceeding. </w:t>
      </w:r>
    </w:p>
    <w:p w:rsidR="008C71CE" w:rsidP="00693698" w:rsidRDefault="240B49C9" w14:paraId="64D004EF" w14:textId="0AF53F54">
      <w:pPr>
        <w:pStyle w:val="Standard"/>
      </w:pPr>
      <w:r>
        <w:t>C</w:t>
      </w:r>
      <w:r w:rsidR="2B9E77D0">
        <w:t>onsultant</w:t>
      </w:r>
      <w:r>
        <w:t>s</w:t>
      </w:r>
      <w:r w:rsidR="2B9E77D0">
        <w:t xml:space="preserve"> would </w:t>
      </w:r>
      <w:r w:rsidR="2CAB830D">
        <w:t xml:space="preserve">be expected to </w:t>
      </w:r>
      <w:r w:rsidR="2B9E77D0">
        <w:t xml:space="preserve">support DPP/DIDF </w:t>
      </w:r>
      <w:r w:rsidR="001D6354">
        <w:t>improvement</w:t>
      </w:r>
      <w:r w:rsidR="002636FF">
        <w:t xml:space="preserve"> activities</w:t>
      </w:r>
      <w:r w:rsidR="2B9E77D0">
        <w:t xml:space="preserve">, annual implementation, and </w:t>
      </w:r>
      <w:r w:rsidR="000B5CA1">
        <w:t xml:space="preserve">TE and other </w:t>
      </w:r>
      <w:r w:rsidR="2B9E77D0">
        <w:t>cross</w:t>
      </w:r>
      <w:r w:rsidR="7434005A">
        <w:t>-</w:t>
      </w:r>
      <w:r w:rsidR="2B9E77D0">
        <w:t xml:space="preserve">proceeding coordination; evaluate and test complex DPP/DIDF process standardization and reform concepts; </w:t>
      </w:r>
      <w:r w:rsidR="00E14477">
        <w:t xml:space="preserve"> </w:t>
      </w:r>
      <w:r w:rsidR="2B9E77D0">
        <w:t xml:space="preserve">support community outreach efforts; </w:t>
      </w:r>
      <w:r w:rsidR="000802E2">
        <w:t>make technical recommendations for updating and improving various IOU data portals</w:t>
      </w:r>
      <w:r w:rsidRPr="376CDA5F" w:rsidR="000802E2">
        <w:rPr>
          <w:rStyle w:val="FootnoteReference"/>
          <w:rFonts w:eastAsiaTheme="majorEastAsia"/>
        </w:rPr>
        <w:footnoteReference w:id="62"/>
      </w:r>
      <w:r w:rsidR="000802E2">
        <w:t xml:space="preserve"> and track resultant portal improvements; </w:t>
      </w:r>
      <w:r w:rsidR="00E14477">
        <w:t xml:space="preserve"> </w:t>
      </w:r>
      <w:r w:rsidR="00196518">
        <w:t xml:space="preserve">provide GRC technical support including grid modernization plan development and review; </w:t>
      </w:r>
      <w:r w:rsidR="00E14477">
        <w:t xml:space="preserve"> </w:t>
      </w:r>
      <w:r w:rsidR="00A6398C">
        <w:t xml:space="preserve">provide TE-specific technical support; </w:t>
      </w:r>
      <w:r w:rsidR="00196518">
        <w:t xml:space="preserve">consider </w:t>
      </w:r>
      <w:r w:rsidR="003043AE">
        <w:t xml:space="preserve">complex </w:t>
      </w:r>
      <w:r w:rsidR="005B63B7">
        <w:t xml:space="preserve">resiliency planning </w:t>
      </w:r>
      <w:r w:rsidR="003043AE">
        <w:t xml:space="preserve">and infrastructure siting </w:t>
      </w:r>
      <w:r w:rsidR="005B63B7">
        <w:t xml:space="preserve">issues; </w:t>
      </w:r>
      <w:r w:rsidR="2B9E77D0">
        <w:t>and investigate and develop the means for optimizing the siting</w:t>
      </w:r>
      <w:r w:rsidR="39E70978">
        <w:t xml:space="preserve">, </w:t>
      </w:r>
      <w:r w:rsidR="2B9E77D0">
        <w:t>sizing</w:t>
      </w:r>
      <w:r w:rsidR="4602D7B2">
        <w:t xml:space="preserve">, </w:t>
      </w:r>
      <w:r w:rsidR="4602D7B2">
        <w:lastRenderedPageBreak/>
        <w:t>interconnection</w:t>
      </w:r>
      <w:r w:rsidR="4A9B3B72">
        <w:t>, and dispatch</w:t>
      </w:r>
      <w:r w:rsidR="00A931A8">
        <w:t xml:space="preserve"> </w:t>
      </w:r>
      <w:r w:rsidR="2B9E77D0">
        <w:t xml:space="preserve">of DERs, which may include </w:t>
      </w:r>
      <w:r w:rsidRPr="001334AF" w:rsidR="2B9E77D0">
        <w:t>accessing and analyzing large datasets from the utilities and other sources</w:t>
      </w:r>
      <w:r w:rsidRPr="001334AF" w:rsidR="563D8015">
        <w:t xml:space="preserve"> and facilitating </w:t>
      </w:r>
      <w:r w:rsidRPr="001334AF" w:rsidR="78E2FE29">
        <w:t xml:space="preserve">the development of </w:t>
      </w:r>
      <w:r w:rsidR="29EDAE0B">
        <w:t>IOU capabilities</w:t>
      </w:r>
      <w:r w:rsidRPr="001334AF" w:rsidR="29EDAE0B">
        <w:t xml:space="preserve"> to </w:t>
      </w:r>
      <w:r w:rsidRPr="001334AF" w:rsidR="563D8015">
        <w:t xml:space="preserve">dispatch </w:t>
      </w:r>
      <w:r w:rsidRPr="001334AF" w:rsidR="3B65DF21">
        <w:t>DERs to provide grid services</w:t>
      </w:r>
      <w:r w:rsidR="2B9E77D0">
        <w:t>.</w:t>
      </w:r>
      <w:r w:rsidR="00566B65">
        <w:t xml:space="preserve"> </w:t>
      </w:r>
      <w:r w:rsidR="003A2E8A">
        <w:t>C</w:t>
      </w:r>
      <w:r w:rsidR="37C2FF60">
        <w:t>onsultant</w:t>
      </w:r>
      <w:r w:rsidR="003A2E8A">
        <w:t>s</w:t>
      </w:r>
      <w:r w:rsidR="37C2FF60">
        <w:t xml:space="preserve"> </w:t>
      </w:r>
      <w:r w:rsidR="00CC1D59">
        <w:t xml:space="preserve">also </w:t>
      </w:r>
      <w:r w:rsidR="37C2FF60">
        <w:t xml:space="preserve">would conduct </w:t>
      </w:r>
      <w:r w:rsidR="00B04F7A">
        <w:t xml:space="preserve">an in-depth </w:t>
      </w:r>
      <w:r w:rsidR="37C2FF60">
        <w:t>study</w:t>
      </w:r>
      <w:r w:rsidR="00B66624">
        <w:t xml:space="preserve"> and facilitate workshops</w:t>
      </w:r>
      <w:r w:rsidR="37C2FF60">
        <w:t xml:space="preserve"> on </w:t>
      </w:r>
      <w:r w:rsidR="00CC1B15">
        <w:t xml:space="preserve">distribution operator </w:t>
      </w:r>
      <w:r w:rsidR="00B04F7A">
        <w:t>r</w:t>
      </w:r>
      <w:r w:rsidR="37C2FF60">
        <w:t xml:space="preserve">oles and </w:t>
      </w:r>
      <w:r w:rsidR="00B04F7A">
        <w:t>r</w:t>
      </w:r>
      <w:r w:rsidR="37C2FF60">
        <w:t>esponsibilities</w:t>
      </w:r>
      <w:r w:rsidR="00643A2D">
        <w:t xml:space="preserve">, </w:t>
      </w:r>
      <w:r w:rsidR="00CC1B15">
        <w:t xml:space="preserve">DSO models, </w:t>
      </w:r>
      <w:r w:rsidR="00643A2D">
        <w:t xml:space="preserve">grid architecture, </w:t>
      </w:r>
      <w:r w:rsidR="00CC1B15">
        <w:t xml:space="preserve">and associated </w:t>
      </w:r>
      <w:r w:rsidR="00937E99">
        <w:t xml:space="preserve">topics as described in </w:t>
      </w:r>
      <w:r w:rsidR="00F67793">
        <w:t>the preliminary scope section of this OIR</w:t>
      </w:r>
      <w:r w:rsidR="37C2FF60">
        <w:t>.</w:t>
      </w:r>
      <w:r w:rsidR="00566B65">
        <w:t xml:space="preserve"> </w:t>
      </w:r>
      <w:r w:rsidRPr="001334AF" w:rsidR="00566B65">
        <w:t>The analysis and development of DER sourcing mechanisms and</w:t>
      </w:r>
      <w:r w:rsidR="00566B65">
        <w:t xml:space="preserve"> general</w:t>
      </w:r>
      <w:r w:rsidRPr="001334AF" w:rsidR="00566B65">
        <w:t xml:space="preserve"> technical support related to </w:t>
      </w:r>
      <w:r w:rsidR="005060C6">
        <w:t xml:space="preserve">DER and TE </w:t>
      </w:r>
      <w:r w:rsidRPr="001334AF" w:rsidR="00566B65">
        <w:t xml:space="preserve">planning </w:t>
      </w:r>
      <w:r w:rsidR="00EF4076">
        <w:t>and</w:t>
      </w:r>
      <w:r w:rsidR="00BF0079">
        <w:t xml:space="preserve"> </w:t>
      </w:r>
      <w:r w:rsidR="00565424">
        <w:t xml:space="preserve">other aspects of </w:t>
      </w:r>
      <w:r w:rsidR="0075383C">
        <w:t xml:space="preserve">this proceedings scope </w:t>
      </w:r>
      <w:r w:rsidR="005060C6">
        <w:t xml:space="preserve">(Tracks 1, 2, and 3) </w:t>
      </w:r>
      <w:r w:rsidR="005F0791">
        <w:t xml:space="preserve">would also be </w:t>
      </w:r>
      <w:r w:rsidR="005A2784">
        <w:t>supported by consultants</w:t>
      </w:r>
      <w:r w:rsidR="00693698">
        <w:t>.</w:t>
      </w:r>
    </w:p>
    <w:p w:rsidR="009951BA" w:rsidP="00C07C94" w:rsidRDefault="009951BA" w14:paraId="3330CCEA" w14:textId="36F6203E">
      <w:pPr>
        <w:pStyle w:val="Heading2"/>
        <w:ind w:right="180"/>
      </w:pPr>
      <w:bookmarkStart w:name="_Toc71038948" w:id="20"/>
      <w:r w:rsidRPr="00A549F4">
        <w:t>Coordination with California Energy Commission</w:t>
      </w:r>
      <w:r w:rsidR="00C07C94">
        <w:t xml:space="preserve"> Data Gathering and Analytic</w:t>
      </w:r>
      <w:r w:rsidR="4F93FB9B">
        <w:t>s</w:t>
      </w:r>
      <w:r w:rsidR="00C07C94">
        <w:t xml:space="preserve"> Activities</w:t>
      </w:r>
      <w:bookmarkEnd w:id="20"/>
      <w:r w:rsidRPr="00A549F4">
        <w:t xml:space="preserve"> </w:t>
      </w:r>
    </w:p>
    <w:p w:rsidR="0003143F" w:rsidP="001633C3" w:rsidRDefault="00E369AF" w14:paraId="01DCFDD9" w14:textId="0BD4DB95">
      <w:pPr>
        <w:pStyle w:val="Standard"/>
      </w:pPr>
      <w:r>
        <w:t xml:space="preserve">The work contemplated in this OIR aligns with </w:t>
      </w:r>
      <w:r w:rsidR="00AE115B">
        <w:t xml:space="preserve">analytics </w:t>
      </w:r>
      <w:r w:rsidR="00323451">
        <w:t xml:space="preserve">activities </w:t>
      </w:r>
      <w:r w:rsidR="00AE115B">
        <w:t xml:space="preserve">underway at </w:t>
      </w:r>
      <w:r w:rsidR="00EC7BF4">
        <w:t xml:space="preserve">the CEC </w:t>
      </w:r>
      <w:r w:rsidRPr="002A7AA5" w:rsidR="002A7AA5">
        <w:t>to increase understanding about plausible levels of DER deployment and their grid implications, the value and scope of services DER can provide to address reliability and S</w:t>
      </w:r>
      <w:r w:rsidR="00D264B2">
        <w:t xml:space="preserve">enate </w:t>
      </w:r>
      <w:r w:rsidRPr="002A7AA5" w:rsidR="002A7AA5">
        <w:t>B</w:t>
      </w:r>
      <w:r w:rsidR="00D264B2">
        <w:t>ill</w:t>
      </w:r>
      <w:r w:rsidRPr="002A7AA5" w:rsidR="002A7AA5">
        <w:t xml:space="preserve"> 100 goals,</w:t>
      </w:r>
      <w:r w:rsidR="000F0B14">
        <w:rPr>
          <w:rStyle w:val="FootnoteReference"/>
        </w:rPr>
        <w:footnoteReference w:id="63"/>
      </w:r>
      <w:r w:rsidRPr="002A7AA5" w:rsidR="002A7AA5">
        <w:t xml:space="preserve"> and </w:t>
      </w:r>
      <w:r w:rsidR="00D264B2">
        <w:t xml:space="preserve">anticipated </w:t>
      </w:r>
      <w:r w:rsidRPr="002A7AA5" w:rsidR="002A7AA5">
        <w:t>levels of transportation electrification and its grid implications.</w:t>
      </w:r>
      <w:r w:rsidR="003C3F08">
        <w:t xml:space="preserve"> </w:t>
      </w:r>
      <w:r w:rsidR="00BC199B">
        <w:t xml:space="preserve"> </w:t>
      </w:r>
      <w:r w:rsidR="001345DA">
        <w:t>C</w:t>
      </w:r>
      <w:r w:rsidR="00BC199B">
        <w:t>ollaboration with the CEC</w:t>
      </w:r>
      <w:r w:rsidR="001345DA">
        <w:t xml:space="preserve"> throughout the course of the proceeding is anticipated</w:t>
      </w:r>
      <w:r w:rsidRPr="0003143F" w:rsidR="0003143F">
        <w:t xml:space="preserve"> </w:t>
      </w:r>
      <w:r w:rsidR="0003143F">
        <w:t>to support decision making in each track</w:t>
      </w:r>
      <w:r w:rsidR="009E2013">
        <w:t xml:space="preserve"> </w:t>
      </w:r>
      <w:r w:rsidR="001633C3">
        <w:t xml:space="preserve">as appropriate based on </w:t>
      </w:r>
      <w:r w:rsidR="00C70924">
        <w:t xml:space="preserve">the </w:t>
      </w:r>
      <w:r w:rsidR="002E7290">
        <w:t xml:space="preserve">contents of CEC </w:t>
      </w:r>
      <w:r w:rsidR="001633C3">
        <w:t>independent research and development efforts</w:t>
      </w:r>
      <w:r w:rsidR="009E2013">
        <w:t xml:space="preserve">. </w:t>
      </w:r>
      <w:r w:rsidR="003C3F08">
        <w:t xml:space="preserve"> </w:t>
      </w:r>
      <w:r w:rsidR="00B95156">
        <w:t xml:space="preserve">In coordination with Commission staff, CEC reports may be circulated to the </w:t>
      </w:r>
      <w:r w:rsidR="004F538E">
        <w:t xml:space="preserve">proceeding </w:t>
      </w:r>
      <w:r w:rsidR="00B95156">
        <w:t>service list</w:t>
      </w:r>
      <w:r w:rsidR="004F538E">
        <w:t xml:space="preserve">, </w:t>
      </w:r>
      <w:r w:rsidR="00B95156">
        <w:t xml:space="preserve">and CEC staff may </w:t>
      </w:r>
      <w:r w:rsidR="002E7290">
        <w:t xml:space="preserve">present at proceeding </w:t>
      </w:r>
      <w:r w:rsidR="00B95156">
        <w:t>workshops.</w:t>
      </w:r>
      <w:r w:rsidR="00CE38E4">
        <w:t xml:space="preserve"> </w:t>
      </w:r>
    </w:p>
    <w:p w:rsidR="00CE38E4" w:rsidP="001633C3" w:rsidRDefault="00CE38E4" w14:paraId="325E88B7" w14:textId="4FD60D37">
      <w:pPr>
        <w:pStyle w:val="Standard"/>
      </w:pPr>
      <w:r>
        <w:lastRenderedPageBreak/>
        <w:t xml:space="preserve">In addition, the CEC </w:t>
      </w:r>
      <w:r w:rsidRPr="00AB18B9" w:rsidR="00AB18B9">
        <w:t xml:space="preserve">is in the process of assembling a large amount of data to analyze the impacts of DER on reliability. </w:t>
      </w:r>
      <w:r w:rsidR="003C3F08">
        <w:t xml:space="preserve"> </w:t>
      </w:r>
      <w:r w:rsidRPr="00AB18B9" w:rsidR="00AB18B9">
        <w:t xml:space="preserve">The CEC has developed the capability to retrieve, organize, store, and govern access to </w:t>
      </w:r>
      <w:r w:rsidR="00AA0A7F">
        <w:t xml:space="preserve">the </w:t>
      </w:r>
      <w:r w:rsidRPr="00AB18B9" w:rsidR="00AB18B9">
        <w:t>data</w:t>
      </w:r>
      <w:r w:rsidR="00AA0A7F">
        <w:t xml:space="preserve"> and </w:t>
      </w:r>
      <w:r w:rsidRPr="00AB18B9" w:rsidR="00AB18B9">
        <w:t xml:space="preserve">is positioned to act as a central repository </w:t>
      </w:r>
      <w:r w:rsidR="00FF0684">
        <w:t xml:space="preserve">for </w:t>
      </w:r>
      <w:r w:rsidRPr="00AB18B9" w:rsidR="00AB18B9">
        <w:t xml:space="preserve">energy data and provide access to </w:t>
      </w:r>
      <w:r w:rsidR="00AB18B9">
        <w:t xml:space="preserve">Commission staff </w:t>
      </w:r>
      <w:r w:rsidRPr="00AB18B9" w:rsidR="00AB18B9">
        <w:t>and others.</w:t>
      </w:r>
      <w:r w:rsidR="00194B3E">
        <w:rPr>
          <w:rStyle w:val="FootnoteReference"/>
        </w:rPr>
        <w:footnoteReference w:id="64"/>
      </w:r>
      <w:r w:rsidRPr="00AB18B9" w:rsidR="00AB18B9">
        <w:t xml:space="preserve"> </w:t>
      </w:r>
      <w:r w:rsidR="003C3F08">
        <w:t xml:space="preserve"> </w:t>
      </w:r>
      <w:r w:rsidRPr="00AB18B9" w:rsidR="00AB18B9">
        <w:t xml:space="preserve">The CEC and </w:t>
      </w:r>
      <w:r w:rsidR="00AB18B9">
        <w:t xml:space="preserve">Commission </w:t>
      </w:r>
      <w:r w:rsidR="23A2846E">
        <w:t>are</w:t>
      </w:r>
      <w:r w:rsidRPr="00AB18B9" w:rsidR="00AB18B9">
        <w:t xml:space="preserve"> collaborating on </w:t>
      </w:r>
      <w:r w:rsidR="50AE7D1A">
        <w:t>gathering</w:t>
      </w:r>
      <w:r w:rsidRPr="00AB18B9" w:rsidR="00AB18B9">
        <w:t xml:space="preserve"> and organizing </w:t>
      </w:r>
      <w:r w:rsidR="00AB18B9">
        <w:t>data</w:t>
      </w:r>
      <w:r w:rsidRPr="00AB18B9" w:rsidR="00AB18B9">
        <w:t xml:space="preserve"> into the central repository. </w:t>
      </w:r>
      <w:r w:rsidR="003C3F08">
        <w:t xml:space="preserve"> </w:t>
      </w:r>
      <w:r w:rsidRPr="00AB18B9" w:rsidR="00AB18B9">
        <w:t xml:space="preserve">Assembling </w:t>
      </w:r>
      <w:r w:rsidR="02F4F707">
        <w:t>the</w:t>
      </w:r>
      <w:r w:rsidRPr="00AB18B9" w:rsidR="00AB18B9">
        <w:t xml:space="preserve"> data in one place will facilitate the use of big</w:t>
      </w:r>
      <w:r w:rsidR="005252C8">
        <w:t>-</w:t>
      </w:r>
      <w:r w:rsidRPr="00AB18B9" w:rsidR="00AB18B9">
        <w:t>data analytical techniques that could produce information that benefit</w:t>
      </w:r>
      <w:r w:rsidR="00101B52">
        <w:t>s</w:t>
      </w:r>
      <w:r w:rsidRPr="00AB18B9" w:rsidR="00AB18B9">
        <w:t xml:space="preserve"> </w:t>
      </w:r>
      <w:r w:rsidR="00133B7A">
        <w:t xml:space="preserve">Track </w:t>
      </w:r>
      <w:r w:rsidR="006700C1">
        <w:t>2</w:t>
      </w:r>
      <w:r w:rsidR="009741FE">
        <w:t xml:space="preserve"> (DPP)</w:t>
      </w:r>
      <w:r w:rsidR="00133B7A">
        <w:t xml:space="preserve"> decision making and</w:t>
      </w:r>
      <w:r w:rsidR="005252C8">
        <w:t xml:space="preserve">, </w:t>
      </w:r>
      <w:r w:rsidR="00133B7A">
        <w:t xml:space="preserve">potentially, decision making </w:t>
      </w:r>
      <w:r w:rsidR="006700C1">
        <w:t>for</w:t>
      </w:r>
      <w:r w:rsidR="00133B7A">
        <w:t xml:space="preserve"> the other two tracks</w:t>
      </w:r>
      <w:r w:rsidR="00E7458A">
        <w:t>.</w:t>
      </w:r>
    </w:p>
    <w:p w:rsidR="004E23AF" w:rsidP="004E23AF" w:rsidRDefault="004E23AF" w14:paraId="2F364401" w14:textId="77777777">
      <w:pPr>
        <w:pStyle w:val="Heading1"/>
      </w:pPr>
      <w:bookmarkStart w:name="_Toc71038949" w:id="21"/>
      <w:r>
        <w:t xml:space="preserve">Categorization; </w:t>
      </w:r>
      <w:r w:rsidRPr="4BC4E672">
        <w:rPr>
          <w:i/>
          <w:iCs/>
        </w:rPr>
        <w:t>Ex Parte</w:t>
      </w:r>
      <w:r>
        <w:t xml:space="preserve"> Communications; </w:t>
      </w:r>
      <w:r>
        <w:br/>
        <w:t>Need for Hearing</w:t>
      </w:r>
      <w:bookmarkEnd w:id="21"/>
    </w:p>
    <w:p w:rsidR="00195B74" w:rsidP="001A7644" w:rsidRDefault="001A7644" w14:paraId="6E10B7C9" w14:textId="77777777">
      <w:pPr>
        <w:pStyle w:val="Standard"/>
      </w:pPr>
      <w:r>
        <w:t xml:space="preserve">Rule 7.1(d) provides that </w:t>
      </w:r>
      <w:r w:rsidR="004B390D">
        <w:t xml:space="preserve">an </w:t>
      </w:r>
      <w:r>
        <w:t>OIR shall preliminarily determine the category and need for hearin</w:t>
      </w:r>
      <w:r w:rsidR="00DF0323">
        <w:t xml:space="preserve">g. </w:t>
      </w:r>
      <w:r>
        <w:t xml:space="preserve"> This rulemaking is preliminarily determined to be </w:t>
      </w:r>
      <w:r w:rsidR="00187841">
        <w:t>q</w:t>
      </w:r>
      <w:r w:rsidRPr="00187841" w:rsidR="00187841">
        <w:t>uasi-legislative</w:t>
      </w:r>
      <w:r>
        <w:t xml:space="preserve"> as defined in Rule 1.3(e).  </w:t>
      </w:r>
      <w:r w:rsidRPr="00195B74" w:rsidR="00195B74">
        <w:t xml:space="preserve">Accordingly, </w:t>
      </w:r>
      <w:r w:rsidRPr="00195B74" w:rsidR="00195B74">
        <w:rPr>
          <w:i/>
        </w:rPr>
        <w:t>ex parte</w:t>
      </w:r>
      <w:r w:rsidRPr="00195B74" w:rsidR="00195B74">
        <w:t xml:space="preserve"> communications are permitted without restriction or reporting requirement pursuant to Article 8 of the Rules</w:t>
      </w:r>
      <w:r w:rsidR="00195B74">
        <w:t>.</w:t>
      </w:r>
      <w:r w:rsidRPr="00195B74" w:rsidR="00195B74">
        <w:t xml:space="preserve"> </w:t>
      </w:r>
      <w:r w:rsidR="00195B74">
        <w:t xml:space="preserve"> </w:t>
      </w:r>
    </w:p>
    <w:p w:rsidR="004E23AF" w:rsidP="001A7644" w:rsidRDefault="00187841" w14:paraId="4FDBAA89" w14:textId="7FF257A4">
      <w:pPr>
        <w:pStyle w:val="Standard"/>
      </w:pPr>
      <w:r>
        <w:t>It appears that the issues may be resolved through comments and workshops without the need for evidentiary hearings.</w:t>
      </w:r>
      <w:r w:rsidR="00052181">
        <w:t xml:space="preserve"> </w:t>
      </w:r>
      <w:r w:rsidR="003C3F08">
        <w:t xml:space="preserve"> </w:t>
      </w:r>
      <w:r w:rsidR="001A7644">
        <w:t>Any person who objects to the preliminary hearing determination shall state the objections in their comments on this OIR.</w:t>
      </w:r>
      <w:r w:rsidR="00052181">
        <w:t xml:space="preserve"> </w:t>
      </w:r>
      <w:r w:rsidR="00195B74">
        <w:t xml:space="preserve"> </w:t>
      </w:r>
      <w:r w:rsidR="001A7644">
        <w:t xml:space="preserve">The assigned Commissioner will </w:t>
      </w:r>
      <w:r w:rsidR="00DF0323">
        <w:t xml:space="preserve">make a final </w:t>
      </w:r>
      <w:r w:rsidR="00DF0323">
        <w:lastRenderedPageBreak/>
        <w:t xml:space="preserve">determination on </w:t>
      </w:r>
      <w:r w:rsidR="001A7644">
        <w:t xml:space="preserve">the need for hearing in the Scoping </w:t>
      </w:r>
      <w:r w:rsidR="00DF0323">
        <w:t xml:space="preserve">Memo and </w:t>
      </w:r>
      <w:r w:rsidR="001A7644">
        <w:t xml:space="preserve">Ruling issued following a </w:t>
      </w:r>
      <w:r w:rsidR="00EA6501">
        <w:t>p</w:t>
      </w:r>
      <w:r w:rsidR="001A7644">
        <w:t xml:space="preserve">rehearing </w:t>
      </w:r>
      <w:r w:rsidR="00EA6501">
        <w:t>c</w:t>
      </w:r>
      <w:r w:rsidR="001A7644">
        <w:t>onference</w:t>
      </w:r>
      <w:r w:rsidR="00EA6501">
        <w:t xml:space="preserve"> (PHC)</w:t>
      </w:r>
      <w:r w:rsidR="004E23AF">
        <w:t xml:space="preserve">. </w:t>
      </w:r>
    </w:p>
    <w:p w:rsidR="006341D0" w:rsidP="006341D0" w:rsidRDefault="006341D0" w14:paraId="1D34552A" w14:textId="055817C4">
      <w:pPr>
        <w:pStyle w:val="Heading1"/>
      </w:pPr>
      <w:bookmarkStart w:name="_Toc71038950" w:id="22"/>
      <w:r>
        <w:t>Preliminary Schedule</w:t>
      </w:r>
      <w:bookmarkEnd w:id="22"/>
    </w:p>
    <w:p w:rsidR="004E23AF" w:rsidP="004E23AF" w:rsidRDefault="001A7644" w14:paraId="22B011CF" w14:textId="7A05561A">
      <w:pPr>
        <w:pStyle w:val="Standard"/>
      </w:pPr>
      <w:r w:rsidRPr="001A7644">
        <w:t>The preliminary schedule for this proceeding is set forth below and includes the provisions for the filing of comments on the OIR.  The assigned Commissioner or ALJ may change the schedule and scope as necessary to provide full and fair development of the record</w:t>
      </w:r>
      <w:r>
        <w:t>.</w:t>
      </w:r>
      <w:r w:rsidR="008B7D5A">
        <w:t xml:space="preserve"> </w:t>
      </w:r>
      <w:r w:rsidR="00BF68CF">
        <w:t xml:space="preserve">Potential </w:t>
      </w:r>
      <w:r w:rsidR="00F63A0F">
        <w:t xml:space="preserve">workshops, </w:t>
      </w:r>
      <w:r w:rsidR="00205547">
        <w:t xml:space="preserve">working groups, consultant </w:t>
      </w:r>
      <w:r w:rsidR="00F63A0F">
        <w:t>reports,</w:t>
      </w:r>
      <w:r w:rsidR="00205547">
        <w:t xml:space="preserve"> </w:t>
      </w:r>
      <w:r w:rsidR="00F63A0F">
        <w:t>staff proposals</w:t>
      </w:r>
      <w:r w:rsidR="00205547">
        <w:t>, and decisions</w:t>
      </w:r>
      <w:r w:rsidR="004E64D2">
        <w:t xml:space="preserve"> are identified</w:t>
      </w:r>
      <w:r w:rsidR="39A8CC29">
        <w:t xml:space="preserve"> in the table below</w:t>
      </w:r>
      <w:r w:rsidR="004E64D2">
        <w:t>.</w:t>
      </w:r>
    </w:p>
    <w:p w:rsidRPr="00187841" w:rsidR="006A3C96" w:rsidP="004E23AF" w:rsidRDefault="006A3C96" w14:paraId="61A213A3" w14:textId="0A60AE67">
      <w:pPr>
        <w:pStyle w:val="Standard"/>
        <w:rPr>
          <w:sz w:val="6"/>
          <w:szCs w:val="6"/>
          <w:highlight w:val="yellow"/>
        </w:rPr>
      </w:pP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04"/>
        <w:gridCol w:w="3346"/>
      </w:tblGrid>
      <w:tr w:rsidR="2DE403F5" w:rsidTr="0068405A" w14:paraId="1656A9F1" w14:textId="77777777">
        <w:trPr>
          <w:jc w:val="center"/>
        </w:trPr>
        <w:tc>
          <w:tcPr>
            <w:tcW w:w="6004" w:type="dxa"/>
            <w:shd w:val="clear" w:color="auto" w:fill="D9D9D9" w:themeFill="background1" w:themeFillShade="D9"/>
          </w:tcPr>
          <w:p w:rsidR="2DE403F5" w:rsidP="2DE403F5" w:rsidRDefault="2DE403F5" w14:paraId="7D3DEB1C" w14:textId="6CBA3A1C">
            <w:pPr>
              <w:pStyle w:val="Standard"/>
              <w:ind w:firstLine="0"/>
              <w:rPr>
                <w:b/>
                <w:bCs/>
              </w:rPr>
            </w:pPr>
            <w:r w:rsidRPr="2DE403F5">
              <w:rPr>
                <w:b/>
                <w:bCs/>
              </w:rPr>
              <w:t>Item</w:t>
            </w:r>
          </w:p>
        </w:tc>
        <w:tc>
          <w:tcPr>
            <w:tcW w:w="3346" w:type="dxa"/>
            <w:shd w:val="clear" w:color="auto" w:fill="D9D9D9" w:themeFill="background1" w:themeFillShade="D9"/>
          </w:tcPr>
          <w:p w:rsidR="2DE403F5" w:rsidP="2DE403F5" w:rsidRDefault="2DE403F5" w14:paraId="3FD4ED28" w14:textId="77777777">
            <w:pPr>
              <w:pStyle w:val="Standard"/>
              <w:ind w:firstLine="0"/>
              <w:rPr>
                <w:b/>
                <w:bCs/>
              </w:rPr>
            </w:pPr>
            <w:r w:rsidRPr="2DE403F5">
              <w:rPr>
                <w:b/>
                <w:bCs/>
              </w:rPr>
              <w:t>Date</w:t>
            </w:r>
          </w:p>
        </w:tc>
      </w:tr>
      <w:tr w:rsidR="2DE403F5" w:rsidTr="0068405A" w14:paraId="002284E9" w14:textId="77777777">
        <w:trPr>
          <w:jc w:val="center"/>
        </w:trPr>
        <w:tc>
          <w:tcPr>
            <w:tcW w:w="6004" w:type="dxa"/>
            <w:shd w:val="clear" w:color="auto" w:fill="auto"/>
          </w:tcPr>
          <w:p w:rsidR="2DE403F5" w:rsidP="2DE403F5" w:rsidRDefault="2DE403F5" w14:paraId="5629DA3A" w14:textId="77777777">
            <w:pPr>
              <w:pStyle w:val="Standard"/>
              <w:spacing w:after="120" w:line="240" w:lineRule="auto"/>
              <w:ind w:firstLine="0"/>
            </w:pPr>
            <w:r w:rsidRPr="00140012">
              <w:rPr>
                <w:b/>
                <w:bCs/>
              </w:rPr>
              <w:t>Comments</w:t>
            </w:r>
            <w:r>
              <w:t xml:space="preserve"> on the OIR filed and served</w:t>
            </w:r>
          </w:p>
        </w:tc>
        <w:tc>
          <w:tcPr>
            <w:tcW w:w="3346" w:type="dxa"/>
            <w:shd w:val="clear" w:color="auto" w:fill="auto"/>
          </w:tcPr>
          <w:p w:rsidR="2DE403F5" w:rsidP="2DE403F5" w:rsidRDefault="00DC7544" w14:paraId="51AE028B" w14:textId="0B59536C">
            <w:pPr>
              <w:pStyle w:val="Standard"/>
              <w:spacing w:after="120" w:line="240" w:lineRule="auto"/>
              <w:ind w:firstLine="0"/>
            </w:pPr>
            <w:r>
              <w:t>45</w:t>
            </w:r>
            <w:r w:rsidR="2DE403F5">
              <w:t xml:space="preserve"> days </w:t>
            </w:r>
            <w:r w:rsidR="00EA6501">
              <w:t>after</w:t>
            </w:r>
            <w:r w:rsidR="2DE403F5">
              <w:t xml:space="preserve"> OIR </w:t>
            </w:r>
            <w:r w:rsidR="00AB5138">
              <w:t>adoption</w:t>
            </w:r>
          </w:p>
        </w:tc>
      </w:tr>
      <w:tr w:rsidR="00DC7544" w:rsidTr="0068405A" w14:paraId="4F08041B" w14:textId="77777777">
        <w:trPr>
          <w:jc w:val="center"/>
        </w:trPr>
        <w:tc>
          <w:tcPr>
            <w:tcW w:w="6004" w:type="dxa"/>
            <w:shd w:val="clear" w:color="auto" w:fill="auto"/>
          </w:tcPr>
          <w:p w:rsidR="00DC7544" w:rsidP="2DE403F5" w:rsidRDefault="00DC7544" w14:paraId="2252FDF5" w14:textId="6EBF8C47">
            <w:pPr>
              <w:pStyle w:val="Standard"/>
              <w:spacing w:after="120" w:line="240" w:lineRule="auto"/>
              <w:ind w:firstLine="0"/>
            </w:pPr>
            <w:r>
              <w:t>Prehearing Conference</w:t>
            </w:r>
          </w:p>
        </w:tc>
        <w:tc>
          <w:tcPr>
            <w:tcW w:w="3346" w:type="dxa"/>
            <w:shd w:val="clear" w:color="auto" w:fill="auto"/>
          </w:tcPr>
          <w:p w:rsidR="00DC7544" w:rsidP="2DE403F5" w:rsidRDefault="00DC7544" w14:paraId="64E562B1" w14:textId="152BDB39">
            <w:pPr>
              <w:pStyle w:val="Standard"/>
              <w:spacing w:after="120" w:line="240" w:lineRule="auto"/>
              <w:ind w:firstLine="0"/>
            </w:pPr>
            <w:r>
              <w:t>August 2021</w:t>
            </w:r>
          </w:p>
        </w:tc>
      </w:tr>
      <w:tr w:rsidR="2DE403F5" w:rsidTr="0068405A" w14:paraId="75650980" w14:textId="77777777">
        <w:trPr>
          <w:jc w:val="center"/>
        </w:trPr>
        <w:tc>
          <w:tcPr>
            <w:tcW w:w="6004" w:type="dxa"/>
            <w:shd w:val="clear" w:color="auto" w:fill="auto"/>
          </w:tcPr>
          <w:p w:rsidR="2DE403F5" w:rsidP="2DE403F5" w:rsidRDefault="5703DB1F" w14:paraId="20ABE0F6" w14:textId="6D8955E5">
            <w:pPr>
              <w:pStyle w:val="Standard"/>
              <w:spacing w:after="120" w:line="240" w:lineRule="auto"/>
              <w:ind w:firstLine="0"/>
            </w:pPr>
            <w:r>
              <w:t xml:space="preserve">Energy Division </w:t>
            </w:r>
            <w:r w:rsidRPr="0AA1DD34" w:rsidR="065B05E6">
              <w:rPr>
                <w:b/>
                <w:bCs/>
              </w:rPr>
              <w:t xml:space="preserve">Workshop </w:t>
            </w:r>
            <w:r>
              <w:t>on proceeding scope and organization</w:t>
            </w:r>
          </w:p>
        </w:tc>
        <w:tc>
          <w:tcPr>
            <w:tcW w:w="3346" w:type="dxa"/>
            <w:shd w:val="clear" w:color="auto" w:fill="auto"/>
          </w:tcPr>
          <w:p w:rsidR="2DE403F5" w:rsidP="2DE403F5" w:rsidRDefault="00DC7544" w14:paraId="1B214ED0" w14:textId="25C01E96">
            <w:pPr>
              <w:pStyle w:val="Standard"/>
              <w:spacing w:after="120" w:line="240" w:lineRule="auto"/>
              <w:ind w:firstLine="0"/>
            </w:pPr>
            <w:r>
              <w:t>September 2021</w:t>
            </w:r>
          </w:p>
        </w:tc>
      </w:tr>
      <w:tr w:rsidR="2DE403F5" w:rsidTr="0068405A" w14:paraId="0C6550C7" w14:textId="77777777">
        <w:trPr>
          <w:jc w:val="center"/>
        </w:trPr>
        <w:tc>
          <w:tcPr>
            <w:tcW w:w="6004" w:type="dxa"/>
            <w:shd w:val="clear" w:color="auto" w:fill="auto"/>
          </w:tcPr>
          <w:p w:rsidR="2DE403F5" w:rsidP="2DE403F5" w:rsidRDefault="2DE403F5" w14:paraId="0880067F" w14:textId="77777777">
            <w:pPr>
              <w:pStyle w:val="Standard"/>
              <w:spacing w:after="120" w:line="240" w:lineRule="auto"/>
              <w:ind w:firstLine="0"/>
            </w:pPr>
            <w:r w:rsidRPr="00140012">
              <w:rPr>
                <w:b/>
                <w:bCs/>
              </w:rPr>
              <w:t>Reply comments</w:t>
            </w:r>
            <w:r>
              <w:t xml:space="preserve"> on the OIR filed and served</w:t>
            </w:r>
          </w:p>
        </w:tc>
        <w:tc>
          <w:tcPr>
            <w:tcW w:w="3346" w:type="dxa"/>
            <w:shd w:val="clear" w:color="auto" w:fill="auto"/>
          </w:tcPr>
          <w:p w:rsidR="2DE403F5" w:rsidP="2DE403F5" w:rsidRDefault="00DC7544" w14:paraId="0B8C7C4B" w14:textId="4778891F">
            <w:pPr>
              <w:pStyle w:val="Standard"/>
              <w:spacing w:after="120" w:line="240" w:lineRule="auto"/>
              <w:ind w:firstLine="0"/>
            </w:pPr>
            <w:r>
              <w:t>15 days after workshop</w:t>
            </w:r>
          </w:p>
        </w:tc>
      </w:tr>
      <w:tr w:rsidR="002D4D3B" w:rsidTr="0068405A" w14:paraId="6DE7EA98" w14:textId="77777777">
        <w:trPr>
          <w:jc w:val="center"/>
        </w:trPr>
        <w:tc>
          <w:tcPr>
            <w:tcW w:w="6004" w:type="dxa"/>
            <w:shd w:val="clear" w:color="auto" w:fill="auto"/>
          </w:tcPr>
          <w:p w:rsidRPr="004074C8" w:rsidR="002D4D3B" w:rsidP="2DE403F5" w:rsidRDefault="002D4D3B" w14:paraId="0A493BF3" w14:textId="16CBC70D">
            <w:pPr>
              <w:pStyle w:val="Standard"/>
              <w:spacing w:after="120" w:line="240" w:lineRule="auto"/>
              <w:ind w:firstLine="0"/>
              <w:rPr>
                <w:b/>
                <w:bCs/>
              </w:rPr>
            </w:pPr>
            <w:r>
              <w:rPr>
                <w:b/>
                <w:bCs/>
              </w:rPr>
              <w:t>Scoping Memo and Ruling</w:t>
            </w:r>
          </w:p>
        </w:tc>
        <w:tc>
          <w:tcPr>
            <w:tcW w:w="3346" w:type="dxa"/>
            <w:shd w:val="clear" w:color="auto" w:fill="auto"/>
          </w:tcPr>
          <w:p w:rsidR="002D4D3B" w:rsidP="2DE403F5" w:rsidRDefault="00B63E34" w14:paraId="368D8303" w14:textId="5528B36D">
            <w:pPr>
              <w:pStyle w:val="Standard"/>
              <w:spacing w:after="120" w:line="240" w:lineRule="auto"/>
              <w:ind w:firstLine="0"/>
            </w:pPr>
            <w:r>
              <w:t>2021 (Quarter 4)</w:t>
            </w:r>
          </w:p>
        </w:tc>
      </w:tr>
      <w:tr w:rsidR="0068405A" w:rsidTr="0068405A" w14:paraId="2B2C0FAA" w14:textId="77777777">
        <w:trPr>
          <w:jc w:val="center"/>
        </w:trPr>
        <w:tc>
          <w:tcPr>
            <w:tcW w:w="9350" w:type="dxa"/>
            <w:gridSpan w:val="2"/>
            <w:shd w:val="clear" w:color="auto" w:fill="E7E6E6" w:themeFill="background2"/>
          </w:tcPr>
          <w:p w:rsidRPr="0068405A" w:rsidR="0068405A" w:rsidP="2DE403F5" w:rsidRDefault="0068405A" w14:paraId="3E49AAD9" w14:textId="6B88A597">
            <w:pPr>
              <w:pStyle w:val="Standard"/>
              <w:spacing w:after="120" w:line="240" w:lineRule="auto"/>
              <w:ind w:firstLine="0"/>
            </w:pPr>
            <w:r w:rsidRPr="0068405A">
              <w:t>Track 1</w:t>
            </w:r>
            <w:r w:rsidR="00B02356">
              <w:t xml:space="preserve">: </w:t>
            </w:r>
            <w:r w:rsidRPr="00B02356" w:rsidR="00B02356">
              <w:t xml:space="preserve">Distribution </w:t>
            </w:r>
            <w:r w:rsidR="004A68D6">
              <w:t xml:space="preserve">System </w:t>
            </w:r>
            <w:r w:rsidRPr="00B02356" w:rsidR="00B02356">
              <w:t>Operator Roles and Responsibilities</w:t>
            </w:r>
          </w:p>
        </w:tc>
      </w:tr>
      <w:tr w:rsidR="0068405A" w:rsidTr="0068405A" w14:paraId="38A920EF" w14:textId="77777777">
        <w:trPr>
          <w:jc w:val="center"/>
        </w:trPr>
        <w:tc>
          <w:tcPr>
            <w:tcW w:w="6004" w:type="dxa"/>
            <w:shd w:val="clear" w:color="auto" w:fill="auto"/>
          </w:tcPr>
          <w:p w:rsidR="0068405A" w:rsidP="0068405A" w:rsidRDefault="00A049D9" w14:paraId="5461B583" w14:textId="7BFB4FCD">
            <w:pPr>
              <w:pStyle w:val="Standard"/>
              <w:spacing w:after="120" w:line="240" w:lineRule="auto"/>
              <w:ind w:firstLine="0"/>
              <w:rPr>
                <w:b/>
                <w:bCs/>
              </w:rPr>
            </w:pPr>
            <w:r>
              <w:t>DSO</w:t>
            </w:r>
            <w:r w:rsidR="0068405A">
              <w:t xml:space="preserve"> roles and responsibilities</w:t>
            </w:r>
            <w:r w:rsidR="008B1A59">
              <w:t xml:space="preserve"> </w:t>
            </w:r>
            <w:r w:rsidRPr="008B1A59" w:rsidR="008B1A59">
              <w:rPr>
                <w:b/>
                <w:bCs/>
              </w:rPr>
              <w:t>White Paper and</w:t>
            </w:r>
            <w:r w:rsidR="008B1A59">
              <w:t xml:space="preserve"> </w:t>
            </w:r>
            <w:r w:rsidRPr="0068405A" w:rsidR="0068405A">
              <w:rPr>
                <w:b/>
                <w:bCs/>
              </w:rPr>
              <w:t>Workshop</w:t>
            </w:r>
            <w:r w:rsidR="0068405A">
              <w:t xml:space="preserve"> on scope of technical report</w:t>
            </w:r>
          </w:p>
        </w:tc>
        <w:tc>
          <w:tcPr>
            <w:tcW w:w="3346" w:type="dxa"/>
            <w:shd w:val="clear" w:color="auto" w:fill="auto"/>
          </w:tcPr>
          <w:p w:rsidR="0068405A" w:rsidP="0068405A" w:rsidRDefault="0068405A" w14:paraId="437D4ABE" w14:textId="1529705B">
            <w:pPr>
              <w:pStyle w:val="Standard"/>
              <w:spacing w:after="120" w:line="240" w:lineRule="auto"/>
              <w:ind w:firstLine="0"/>
            </w:pPr>
            <w:r>
              <w:t>2022 (Quarter 1)</w:t>
            </w:r>
          </w:p>
        </w:tc>
      </w:tr>
      <w:tr w:rsidR="00167EF1" w:rsidTr="0068405A" w14:paraId="33065BCA" w14:textId="77777777">
        <w:trPr>
          <w:jc w:val="center"/>
        </w:trPr>
        <w:tc>
          <w:tcPr>
            <w:tcW w:w="6004" w:type="dxa"/>
            <w:shd w:val="clear" w:color="auto" w:fill="auto"/>
          </w:tcPr>
          <w:p w:rsidRPr="004360EC" w:rsidR="00167EF1" w:rsidP="00167EF1" w:rsidRDefault="00DF6671" w14:paraId="30F1D479" w14:textId="59906712">
            <w:pPr>
              <w:pStyle w:val="Standard"/>
              <w:spacing w:after="120" w:line="240" w:lineRule="auto"/>
              <w:ind w:firstLine="0"/>
              <w:rPr>
                <w:b/>
                <w:bCs/>
              </w:rPr>
            </w:pPr>
            <w:r>
              <w:t>D</w:t>
            </w:r>
            <w:r w:rsidR="00167EF1">
              <w:t xml:space="preserve">raft </w:t>
            </w:r>
            <w:r w:rsidR="00F22513">
              <w:t>documents</w:t>
            </w:r>
            <w:r w:rsidR="00167EF1">
              <w:t xml:space="preserve"> </w:t>
            </w:r>
            <w:r>
              <w:t xml:space="preserve">and additional </w:t>
            </w:r>
            <w:r w:rsidR="00167EF1">
              <w:t>workshops may be required depending on scoping results.</w:t>
            </w:r>
          </w:p>
        </w:tc>
        <w:tc>
          <w:tcPr>
            <w:tcW w:w="3346" w:type="dxa"/>
            <w:shd w:val="clear" w:color="auto" w:fill="auto"/>
          </w:tcPr>
          <w:p w:rsidRPr="004360EC" w:rsidR="00167EF1" w:rsidP="00167EF1" w:rsidRDefault="00167EF1" w14:paraId="4871062A" w14:textId="7EE0B9AF">
            <w:pPr>
              <w:pStyle w:val="Standard"/>
              <w:spacing w:after="120" w:line="240" w:lineRule="auto"/>
              <w:ind w:firstLine="0"/>
            </w:pPr>
            <w:r>
              <w:t>TBD</w:t>
            </w:r>
          </w:p>
        </w:tc>
      </w:tr>
      <w:tr w:rsidR="00167EF1" w:rsidTr="0068405A" w14:paraId="23A395FC" w14:textId="77777777">
        <w:trPr>
          <w:jc w:val="center"/>
        </w:trPr>
        <w:tc>
          <w:tcPr>
            <w:tcW w:w="6004" w:type="dxa"/>
            <w:shd w:val="clear" w:color="auto" w:fill="auto"/>
          </w:tcPr>
          <w:p w:rsidRPr="004360EC" w:rsidR="00167EF1" w:rsidP="00167EF1" w:rsidRDefault="00167EF1" w14:paraId="4B61365B" w14:textId="518B912E">
            <w:pPr>
              <w:pStyle w:val="Standard"/>
              <w:spacing w:after="120" w:line="240" w:lineRule="auto"/>
              <w:ind w:firstLine="0"/>
              <w:rPr>
                <w:b/>
                <w:bCs/>
              </w:rPr>
            </w:pPr>
            <w:r w:rsidRPr="004360EC">
              <w:rPr>
                <w:b/>
                <w:bCs/>
              </w:rPr>
              <w:t>Technical Report</w:t>
            </w:r>
            <w:r w:rsidRPr="004360EC">
              <w:t xml:space="preserve"> on </w:t>
            </w:r>
            <w:r>
              <w:t>DSO</w:t>
            </w:r>
            <w:r w:rsidRPr="004360EC">
              <w:t xml:space="preserve"> roles and responsibilities, DSO models, grid architecture, implementation feasibility, etc. and </w:t>
            </w:r>
            <w:r w:rsidRPr="004360EC">
              <w:rPr>
                <w:b/>
                <w:bCs/>
              </w:rPr>
              <w:t>En Banc</w:t>
            </w:r>
            <w:r w:rsidRPr="004360EC">
              <w:t>.</w:t>
            </w:r>
          </w:p>
        </w:tc>
        <w:tc>
          <w:tcPr>
            <w:tcW w:w="3346" w:type="dxa"/>
            <w:shd w:val="clear" w:color="auto" w:fill="auto"/>
          </w:tcPr>
          <w:p w:rsidRPr="004360EC" w:rsidR="00167EF1" w:rsidP="00167EF1" w:rsidRDefault="00167EF1" w14:paraId="6B6F307A" w14:textId="7F385846">
            <w:pPr>
              <w:pStyle w:val="Standard"/>
              <w:spacing w:after="120" w:line="240" w:lineRule="auto"/>
              <w:ind w:firstLine="0"/>
            </w:pPr>
            <w:r w:rsidRPr="004360EC">
              <w:t>2024 (Quarter 3)</w:t>
            </w:r>
          </w:p>
        </w:tc>
      </w:tr>
      <w:tr w:rsidR="00167EF1" w:rsidTr="0068405A" w14:paraId="3B1AEC86" w14:textId="77777777">
        <w:trPr>
          <w:jc w:val="center"/>
        </w:trPr>
        <w:tc>
          <w:tcPr>
            <w:tcW w:w="6004" w:type="dxa"/>
            <w:shd w:val="clear" w:color="auto" w:fill="auto"/>
          </w:tcPr>
          <w:p w:rsidRPr="004360EC" w:rsidR="00167EF1" w:rsidP="00167EF1" w:rsidRDefault="00167EF1" w14:paraId="55BD9A1F" w14:textId="4D822A49">
            <w:pPr>
              <w:pStyle w:val="Standard"/>
              <w:spacing w:after="120" w:line="240" w:lineRule="auto"/>
              <w:ind w:firstLine="0"/>
              <w:rPr>
                <w:b/>
                <w:bCs/>
              </w:rPr>
            </w:pPr>
            <w:r w:rsidRPr="004360EC">
              <w:rPr>
                <w:b/>
                <w:bCs/>
              </w:rPr>
              <w:t>Proposed Decision</w:t>
            </w:r>
            <w:r w:rsidRPr="004360EC">
              <w:t xml:space="preserve"> on </w:t>
            </w:r>
            <w:r>
              <w:t>DSO</w:t>
            </w:r>
            <w:r w:rsidRPr="004360EC">
              <w:t xml:space="preserve"> roles and responsibilities</w:t>
            </w:r>
            <w:r>
              <w:t xml:space="preserve"> </w:t>
            </w:r>
          </w:p>
        </w:tc>
        <w:tc>
          <w:tcPr>
            <w:tcW w:w="3346" w:type="dxa"/>
            <w:shd w:val="clear" w:color="auto" w:fill="auto"/>
          </w:tcPr>
          <w:p w:rsidRPr="004360EC" w:rsidR="00167EF1" w:rsidP="00167EF1" w:rsidRDefault="00167EF1" w14:paraId="65CE6C3A" w14:textId="61E69DC8">
            <w:pPr>
              <w:pStyle w:val="Standard"/>
              <w:spacing w:after="120" w:line="240" w:lineRule="auto"/>
              <w:ind w:firstLine="0"/>
            </w:pPr>
            <w:r w:rsidRPr="004360EC">
              <w:t>2024 (Quarter 4)</w:t>
            </w:r>
          </w:p>
        </w:tc>
      </w:tr>
      <w:tr w:rsidR="00167EF1" w:rsidTr="00411CDC" w14:paraId="2C52E5E6" w14:textId="77777777">
        <w:trPr>
          <w:jc w:val="center"/>
        </w:trPr>
        <w:tc>
          <w:tcPr>
            <w:tcW w:w="9350" w:type="dxa"/>
            <w:gridSpan w:val="2"/>
            <w:shd w:val="clear" w:color="auto" w:fill="DBDBDB" w:themeFill="accent3" w:themeFillTint="66"/>
          </w:tcPr>
          <w:p w:rsidR="00167EF1" w:rsidP="00167EF1" w:rsidRDefault="00167EF1" w14:paraId="06455177" w14:textId="22C3CB28">
            <w:pPr>
              <w:pStyle w:val="Standard"/>
              <w:spacing w:after="120" w:line="240" w:lineRule="auto"/>
              <w:ind w:firstLine="0"/>
            </w:pPr>
            <w:r>
              <w:t xml:space="preserve">Track 2: </w:t>
            </w:r>
            <w:r w:rsidRPr="00B02356">
              <w:t>Distribution Planning, Data Portals, Community Engagement, and DER Integration</w:t>
            </w:r>
          </w:p>
        </w:tc>
      </w:tr>
      <w:tr w:rsidR="00167EF1" w:rsidTr="0068405A" w14:paraId="4FFF7C57" w14:textId="77777777">
        <w:trPr>
          <w:jc w:val="center"/>
        </w:trPr>
        <w:tc>
          <w:tcPr>
            <w:tcW w:w="6004" w:type="dxa"/>
            <w:shd w:val="clear" w:color="auto" w:fill="auto"/>
          </w:tcPr>
          <w:p w:rsidRPr="00571202" w:rsidR="00167EF1" w:rsidP="00167EF1" w:rsidRDefault="00167EF1" w14:paraId="19DBCF2B" w14:textId="50D74C50">
            <w:pPr>
              <w:pStyle w:val="Standard"/>
              <w:spacing w:after="120" w:line="240" w:lineRule="auto"/>
              <w:ind w:firstLine="0"/>
            </w:pPr>
            <w:r w:rsidRPr="000C427C">
              <w:rPr>
                <w:b/>
              </w:rPr>
              <w:lastRenderedPageBreak/>
              <w:t>DIDF Guidelines</w:t>
            </w:r>
            <w:r w:rsidRPr="000C427C">
              <w:rPr>
                <w:rStyle w:val="FootnoteReference"/>
                <w:b/>
                <w:bCs/>
              </w:rPr>
              <w:footnoteReference w:id="65"/>
            </w:r>
            <w:r w:rsidRPr="000C427C">
              <w:t xml:space="preserve"> document</w:t>
            </w:r>
            <w:r>
              <w:t xml:space="preserve"> circulated for comment</w:t>
            </w:r>
          </w:p>
        </w:tc>
        <w:tc>
          <w:tcPr>
            <w:tcW w:w="3346" w:type="dxa"/>
            <w:shd w:val="clear" w:color="auto" w:fill="auto"/>
          </w:tcPr>
          <w:p w:rsidR="00167EF1" w:rsidP="00167EF1" w:rsidRDefault="00167EF1" w14:paraId="20A75F4B" w14:textId="7254E69D">
            <w:pPr>
              <w:pStyle w:val="Standard"/>
              <w:spacing w:after="120" w:line="240" w:lineRule="auto"/>
              <w:ind w:firstLine="0"/>
            </w:pPr>
            <w:r>
              <w:t>2022 (Quarter 2)</w:t>
            </w:r>
          </w:p>
        </w:tc>
      </w:tr>
      <w:tr w:rsidR="00167EF1" w:rsidTr="0068405A" w14:paraId="34BE91F6" w14:textId="77777777">
        <w:trPr>
          <w:jc w:val="center"/>
        </w:trPr>
        <w:tc>
          <w:tcPr>
            <w:tcW w:w="6004" w:type="dxa"/>
            <w:shd w:val="clear" w:color="auto" w:fill="auto"/>
          </w:tcPr>
          <w:p w:rsidR="00167EF1" w:rsidP="00167EF1" w:rsidRDefault="00167EF1" w14:paraId="75428983" w14:textId="3D2F7083">
            <w:pPr>
              <w:pStyle w:val="Standard"/>
              <w:spacing w:after="120" w:line="240" w:lineRule="auto"/>
              <w:ind w:firstLine="0"/>
            </w:pPr>
            <w:r>
              <w:t>Phase 1 e</w:t>
            </w:r>
            <w:r w:rsidRPr="00571202">
              <w:t xml:space="preserve">lectrification </w:t>
            </w:r>
            <w:r>
              <w:t>i</w:t>
            </w:r>
            <w:r w:rsidRPr="00571202">
              <w:t xml:space="preserve">mpacts on </w:t>
            </w:r>
            <w:r>
              <w:t>d</w:t>
            </w:r>
            <w:r w:rsidRPr="00571202">
              <w:t xml:space="preserve">istribution </w:t>
            </w:r>
            <w:r>
              <w:t>p</w:t>
            </w:r>
            <w:r w:rsidRPr="00571202">
              <w:t xml:space="preserve">lanning </w:t>
            </w:r>
            <w:r>
              <w:rPr>
                <w:b/>
                <w:bCs/>
              </w:rPr>
              <w:t xml:space="preserve">Technical </w:t>
            </w:r>
            <w:r w:rsidRPr="00571202">
              <w:rPr>
                <w:b/>
                <w:bCs/>
              </w:rPr>
              <w:t>Report</w:t>
            </w:r>
            <w:r>
              <w:rPr>
                <w:rStyle w:val="FootnoteReference"/>
                <w:b/>
                <w:bCs/>
              </w:rPr>
              <w:footnoteReference w:id="66"/>
            </w:r>
            <w:r>
              <w:t xml:space="preserve"> and </w:t>
            </w:r>
            <w:r w:rsidRPr="00E443B1">
              <w:rPr>
                <w:b/>
                <w:bCs/>
              </w:rPr>
              <w:t>workshop</w:t>
            </w:r>
          </w:p>
        </w:tc>
        <w:tc>
          <w:tcPr>
            <w:tcW w:w="3346" w:type="dxa"/>
            <w:shd w:val="clear" w:color="auto" w:fill="auto"/>
          </w:tcPr>
          <w:p w:rsidR="00167EF1" w:rsidP="00167EF1" w:rsidRDefault="00167EF1" w14:paraId="14A2630C" w14:textId="6B4E35D3">
            <w:pPr>
              <w:pStyle w:val="Standard"/>
              <w:spacing w:after="120" w:line="240" w:lineRule="auto"/>
              <w:ind w:firstLine="0"/>
            </w:pPr>
            <w:r>
              <w:t>2022 (Quarter 3)</w:t>
            </w:r>
          </w:p>
        </w:tc>
      </w:tr>
      <w:tr w:rsidR="00167EF1" w:rsidTr="0068405A" w14:paraId="0980F04C" w14:textId="77777777">
        <w:trPr>
          <w:jc w:val="center"/>
        </w:trPr>
        <w:tc>
          <w:tcPr>
            <w:tcW w:w="6004" w:type="dxa"/>
            <w:shd w:val="clear" w:color="auto" w:fill="auto"/>
          </w:tcPr>
          <w:p w:rsidRPr="00571202" w:rsidR="00167EF1" w:rsidP="00167EF1" w:rsidRDefault="00167EF1" w14:paraId="6F63A20D" w14:textId="4B4D4CD5">
            <w:pPr>
              <w:pStyle w:val="Standard"/>
              <w:spacing w:after="120" w:line="240" w:lineRule="auto"/>
              <w:ind w:firstLine="0"/>
            </w:pPr>
            <w:r>
              <w:t xml:space="preserve">Energy Division </w:t>
            </w:r>
            <w:r w:rsidRPr="2DE403F5">
              <w:rPr>
                <w:b/>
                <w:bCs/>
              </w:rPr>
              <w:t>Workshop</w:t>
            </w:r>
            <w:r>
              <w:t xml:space="preserve"> on DPP improvement</w:t>
            </w:r>
          </w:p>
        </w:tc>
        <w:tc>
          <w:tcPr>
            <w:tcW w:w="3346" w:type="dxa"/>
            <w:shd w:val="clear" w:color="auto" w:fill="auto"/>
          </w:tcPr>
          <w:p w:rsidR="00167EF1" w:rsidP="00167EF1" w:rsidRDefault="00167EF1" w14:paraId="5C4CCDD3" w14:textId="35FDB7B3">
            <w:pPr>
              <w:pStyle w:val="Standard"/>
              <w:spacing w:after="120" w:line="240" w:lineRule="auto"/>
              <w:ind w:firstLine="0"/>
            </w:pPr>
            <w:r>
              <w:t>2022 (Quarter 4)</w:t>
            </w:r>
          </w:p>
        </w:tc>
      </w:tr>
      <w:tr w:rsidR="00167EF1" w:rsidTr="0068405A" w14:paraId="381B1B57" w14:textId="77777777">
        <w:trPr>
          <w:jc w:val="center"/>
        </w:trPr>
        <w:tc>
          <w:tcPr>
            <w:tcW w:w="6004" w:type="dxa"/>
            <w:shd w:val="clear" w:color="auto" w:fill="auto"/>
          </w:tcPr>
          <w:p w:rsidR="00167EF1" w:rsidP="00167EF1" w:rsidRDefault="00167EF1" w14:paraId="4E61019B" w14:textId="699C1B4D">
            <w:pPr>
              <w:pStyle w:val="Standard"/>
              <w:spacing w:after="120" w:line="240" w:lineRule="auto"/>
              <w:ind w:firstLine="0"/>
            </w:pPr>
            <w:r>
              <w:t>Phase 2 e</w:t>
            </w:r>
            <w:r w:rsidRPr="00571202">
              <w:t xml:space="preserve">lectrification </w:t>
            </w:r>
            <w:r>
              <w:t>i</w:t>
            </w:r>
            <w:r w:rsidRPr="00571202">
              <w:t xml:space="preserve">mpacts on </w:t>
            </w:r>
            <w:r>
              <w:t>d</w:t>
            </w:r>
            <w:r w:rsidRPr="00571202">
              <w:t xml:space="preserve">istribution </w:t>
            </w:r>
            <w:r>
              <w:t>p</w:t>
            </w:r>
            <w:r w:rsidRPr="00571202">
              <w:t xml:space="preserve">lanning </w:t>
            </w:r>
            <w:r>
              <w:rPr>
                <w:b/>
                <w:bCs/>
              </w:rPr>
              <w:t xml:space="preserve">Technical </w:t>
            </w:r>
            <w:r w:rsidRPr="00571202">
              <w:rPr>
                <w:b/>
                <w:bCs/>
              </w:rPr>
              <w:t>Report</w:t>
            </w:r>
            <w:r>
              <w:rPr>
                <w:rStyle w:val="FootnoteReference"/>
                <w:b/>
                <w:bCs/>
              </w:rPr>
              <w:footnoteReference w:id="67"/>
            </w:r>
            <w:r>
              <w:t xml:space="preserve"> and </w:t>
            </w:r>
            <w:r w:rsidRPr="00E443B1">
              <w:rPr>
                <w:b/>
                <w:bCs/>
              </w:rPr>
              <w:t>workshop</w:t>
            </w:r>
          </w:p>
        </w:tc>
        <w:tc>
          <w:tcPr>
            <w:tcW w:w="3346" w:type="dxa"/>
            <w:shd w:val="clear" w:color="auto" w:fill="auto"/>
          </w:tcPr>
          <w:p w:rsidR="00167EF1" w:rsidP="00167EF1" w:rsidRDefault="00167EF1" w14:paraId="7A876ADA" w14:textId="1CB2A2A6">
            <w:pPr>
              <w:pStyle w:val="Standard"/>
              <w:spacing w:after="120" w:line="240" w:lineRule="auto"/>
              <w:ind w:firstLine="0"/>
            </w:pPr>
            <w:r>
              <w:t>2023 (Quarter 1)</w:t>
            </w:r>
          </w:p>
        </w:tc>
      </w:tr>
      <w:tr w:rsidR="00167EF1" w:rsidTr="0068405A" w14:paraId="17DBDFC8" w14:textId="77777777">
        <w:trPr>
          <w:jc w:val="center"/>
        </w:trPr>
        <w:tc>
          <w:tcPr>
            <w:tcW w:w="6004" w:type="dxa"/>
            <w:shd w:val="clear" w:color="auto" w:fill="auto"/>
          </w:tcPr>
          <w:p w:rsidRPr="00666DF4" w:rsidR="00167EF1" w:rsidP="00167EF1" w:rsidRDefault="00167EF1" w14:paraId="6B117064" w14:textId="7914D95A">
            <w:pPr>
              <w:pStyle w:val="Standard"/>
              <w:spacing w:after="120" w:line="240" w:lineRule="auto"/>
              <w:ind w:firstLine="0"/>
              <w:rPr>
                <w:b/>
                <w:bCs/>
              </w:rPr>
            </w:pPr>
            <w:r w:rsidRPr="001153D3">
              <w:t>DRP Data Portal</w:t>
            </w:r>
            <w:r>
              <w:t>s</w:t>
            </w:r>
            <w:r w:rsidRPr="001153D3">
              <w:t xml:space="preserve"> Improvement</w:t>
            </w:r>
            <w:r w:rsidRPr="001153D3">
              <w:rPr>
                <w:b/>
                <w:bCs/>
              </w:rPr>
              <w:t xml:space="preserve"> </w:t>
            </w:r>
            <w:r>
              <w:rPr>
                <w:b/>
                <w:bCs/>
              </w:rPr>
              <w:t xml:space="preserve">Technical Report </w:t>
            </w:r>
            <w:r>
              <w:t xml:space="preserve">and </w:t>
            </w:r>
            <w:r w:rsidRPr="00FC7010">
              <w:rPr>
                <w:b/>
                <w:bCs/>
              </w:rPr>
              <w:t>Workshop</w:t>
            </w:r>
          </w:p>
        </w:tc>
        <w:tc>
          <w:tcPr>
            <w:tcW w:w="3346" w:type="dxa"/>
            <w:shd w:val="clear" w:color="auto" w:fill="auto"/>
          </w:tcPr>
          <w:p w:rsidR="00167EF1" w:rsidP="00167EF1" w:rsidRDefault="00167EF1" w14:paraId="1711905C" w14:textId="74F1E41D">
            <w:pPr>
              <w:pStyle w:val="Standard"/>
              <w:spacing w:after="120" w:line="240" w:lineRule="auto"/>
              <w:ind w:firstLine="0"/>
            </w:pPr>
            <w:r>
              <w:t>2023 (Quarter 4)</w:t>
            </w:r>
          </w:p>
        </w:tc>
      </w:tr>
      <w:tr w:rsidR="00167EF1" w:rsidTr="0068405A" w14:paraId="7428B9C2" w14:textId="77777777">
        <w:trPr>
          <w:jc w:val="center"/>
        </w:trPr>
        <w:tc>
          <w:tcPr>
            <w:tcW w:w="6004" w:type="dxa"/>
            <w:shd w:val="clear" w:color="auto" w:fill="auto"/>
          </w:tcPr>
          <w:p w:rsidR="00167EF1" w:rsidP="00167EF1" w:rsidRDefault="00167EF1" w14:paraId="1EF0F9B9" w14:textId="67E27910">
            <w:pPr>
              <w:pStyle w:val="Standard"/>
              <w:spacing w:after="120" w:line="240" w:lineRule="auto"/>
              <w:ind w:firstLine="0"/>
            </w:pPr>
            <w:r w:rsidRPr="2DE403F5">
              <w:rPr>
                <w:b/>
                <w:bCs/>
              </w:rPr>
              <w:t xml:space="preserve">Staff Proposal </w:t>
            </w:r>
            <w:r>
              <w:t xml:space="preserve">for </w:t>
            </w:r>
            <w:r w:rsidRPr="002E605C">
              <w:rPr>
                <w:b/>
                <w:bCs/>
              </w:rPr>
              <w:t>DPP Guidelines</w:t>
            </w:r>
            <w:r>
              <w:rPr>
                <w:rStyle w:val="FootnoteReference"/>
              </w:rPr>
              <w:footnoteReference w:id="68"/>
            </w:r>
            <w:r>
              <w:t xml:space="preserve"> document and </w:t>
            </w:r>
            <w:r w:rsidRPr="00DF37AC">
              <w:rPr>
                <w:b/>
                <w:bCs/>
              </w:rPr>
              <w:t>workshop</w:t>
            </w:r>
          </w:p>
        </w:tc>
        <w:tc>
          <w:tcPr>
            <w:tcW w:w="3346" w:type="dxa"/>
            <w:shd w:val="clear" w:color="auto" w:fill="auto"/>
          </w:tcPr>
          <w:p w:rsidR="00167EF1" w:rsidP="00167EF1" w:rsidRDefault="00167EF1" w14:paraId="1DA8EA14" w14:textId="0746B912">
            <w:pPr>
              <w:pStyle w:val="Standard"/>
              <w:spacing w:after="120" w:line="240" w:lineRule="auto"/>
              <w:ind w:firstLine="0"/>
            </w:pPr>
            <w:r>
              <w:t>2024 (Quarter 1)</w:t>
            </w:r>
          </w:p>
        </w:tc>
      </w:tr>
      <w:tr w:rsidR="00167EF1" w:rsidTr="0068405A" w14:paraId="43B032E7" w14:textId="77777777">
        <w:trPr>
          <w:jc w:val="center"/>
        </w:trPr>
        <w:tc>
          <w:tcPr>
            <w:tcW w:w="6004" w:type="dxa"/>
            <w:shd w:val="clear" w:color="auto" w:fill="auto"/>
          </w:tcPr>
          <w:p w:rsidRPr="2DE403F5" w:rsidR="00167EF1" w:rsidP="00167EF1" w:rsidRDefault="00167EF1" w14:paraId="6E95DF9E" w14:textId="6FD9A15F">
            <w:pPr>
              <w:pStyle w:val="Standard"/>
              <w:spacing w:after="120" w:line="240" w:lineRule="auto"/>
              <w:ind w:firstLine="0"/>
              <w:rPr>
                <w:b/>
                <w:bCs/>
              </w:rPr>
            </w:pPr>
            <w:r w:rsidRPr="2DE403F5">
              <w:rPr>
                <w:b/>
                <w:bCs/>
              </w:rPr>
              <w:t>Proposed Decision</w:t>
            </w:r>
            <w:r>
              <w:t xml:space="preserve"> on DPP Guidelines </w:t>
            </w:r>
          </w:p>
        </w:tc>
        <w:tc>
          <w:tcPr>
            <w:tcW w:w="3346" w:type="dxa"/>
            <w:shd w:val="clear" w:color="auto" w:fill="auto"/>
          </w:tcPr>
          <w:p w:rsidR="00167EF1" w:rsidP="00167EF1" w:rsidRDefault="00167EF1" w14:paraId="06B0B22E" w14:textId="0083BBD5">
            <w:pPr>
              <w:pStyle w:val="Standard"/>
              <w:spacing w:after="120" w:line="240" w:lineRule="auto"/>
              <w:ind w:firstLine="0"/>
            </w:pPr>
            <w:r>
              <w:t>2024 (Quarter 2)</w:t>
            </w:r>
          </w:p>
        </w:tc>
      </w:tr>
      <w:tr w:rsidR="00167EF1" w:rsidTr="00411CDC" w14:paraId="1FC9AC9C" w14:textId="77777777">
        <w:trPr>
          <w:jc w:val="center"/>
        </w:trPr>
        <w:tc>
          <w:tcPr>
            <w:tcW w:w="9350" w:type="dxa"/>
            <w:gridSpan w:val="2"/>
            <w:shd w:val="clear" w:color="auto" w:fill="DBDBDB" w:themeFill="accent3" w:themeFillTint="66"/>
          </w:tcPr>
          <w:p w:rsidRPr="00A25384" w:rsidR="00167EF1" w:rsidP="00167EF1" w:rsidRDefault="00167EF1" w14:paraId="43794E9D" w14:textId="19F93765">
            <w:pPr>
              <w:pStyle w:val="Standard"/>
              <w:spacing w:after="120" w:line="240" w:lineRule="auto"/>
              <w:ind w:firstLine="0"/>
            </w:pPr>
            <w:r w:rsidRPr="00A25384">
              <w:t xml:space="preserve">Track </w:t>
            </w:r>
            <w:r>
              <w:t xml:space="preserve">3: </w:t>
            </w:r>
            <w:r w:rsidRPr="00F73F57">
              <w:t>Smart Inverter Operationalization</w:t>
            </w:r>
            <w:r>
              <w:t xml:space="preserve">, </w:t>
            </w:r>
            <w:r w:rsidRPr="00F73F57">
              <w:t xml:space="preserve">Grid Modernization, </w:t>
            </w:r>
            <w:r>
              <w:t xml:space="preserve">and </w:t>
            </w:r>
            <w:r w:rsidRPr="00F73F57">
              <w:t>GRC</w:t>
            </w:r>
            <w:r>
              <w:t xml:space="preserve"> Alignment</w:t>
            </w:r>
          </w:p>
        </w:tc>
      </w:tr>
      <w:tr w:rsidR="00167EF1" w:rsidTr="0068405A" w14:paraId="70F19922" w14:textId="77777777">
        <w:trPr>
          <w:jc w:val="center"/>
        </w:trPr>
        <w:tc>
          <w:tcPr>
            <w:tcW w:w="6004" w:type="dxa"/>
            <w:shd w:val="clear" w:color="auto" w:fill="auto"/>
          </w:tcPr>
          <w:p w:rsidR="00167EF1" w:rsidP="00167EF1" w:rsidRDefault="00167EF1" w14:paraId="27E51E7B" w14:textId="56FC0455">
            <w:pPr>
              <w:pStyle w:val="Standard"/>
              <w:spacing w:after="120" w:line="240" w:lineRule="auto"/>
              <w:ind w:firstLine="0"/>
            </w:pPr>
            <w:r>
              <w:t xml:space="preserve">Smart inverter operationalization </w:t>
            </w:r>
            <w:r w:rsidRPr="0AA1DD34">
              <w:rPr>
                <w:b/>
                <w:bCs/>
              </w:rPr>
              <w:t>Working Group</w:t>
            </w:r>
            <w:r>
              <w:t xml:space="preserve"> </w:t>
            </w:r>
            <w:r w:rsidRPr="004C71EF">
              <w:t>convenes</w:t>
            </w:r>
            <w:r>
              <w:t xml:space="preserve"> for one year</w:t>
            </w:r>
          </w:p>
        </w:tc>
        <w:tc>
          <w:tcPr>
            <w:tcW w:w="3346" w:type="dxa"/>
            <w:shd w:val="clear" w:color="auto" w:fill="auto"/>
          </w:tcPr>
          <w:p w:rsidR="00167EF1" w:rsidP="00167EF1" w:rsidRDefault="00167EF1" w14:paraId="1BCF0B4F" w14:textId="687A037F">
            <w:pPr>
              <w:pStyle w:val="Standard"/>
              <w:spacing w:after="120" w:line="240" w:lineRule="auto"/>
              <w:ind w:firstLine="0"/>
            </w:pPr>
            <w:r>
              <w:t>2022 (Quarter 1)</w:t>
            </w:r>
          </w:p>
        </w:tc>
      </w:tr>
      <w:tr w:rsidR="00167EF1" w:rsidTr="0068405A" w14:paraId="0C375F6D" w14:textId="77777777">
        <w:trPr>
          <w:jc w:val="center"/>
        </w:trPr>
        <w:tc>
          <w:tcPr>
            <w:tcW w:w="6004" w:type="dxa"/>
            <w:shd w:val="clear" w:color="auto" w:fill="auto"/>
          </w:tcPr>
          <w:p w:rsidR="00167EF1" w:rsidP="00167EF1" w:rsidRDefault="00167EF1" w14:paraId="378032C5" w14:textId="2DF3040F">
            <w:pPr>
              <w:pStyle w:val="Standard"/>
              <w:numPr>
                <w:ilvl w:val="0"/>
                <w:numId w:val="38"/>
              </w:numPr>
              <w:spacing w:after="120" w:line="240" w:lineRule="auto"/>
              <w:ind w:left="330"/>
              <w:rPr>
                <w:b/>
                <w:bCs/>
              </w:rPr>
            </w:pPr>
            <w:r>
              <w:t xml:space="preserve">Smart inverter operationalization </w:t>
            </w:r>
            <w:r w:rsidRPr="0AA1DD34">
              <w:rPr>
                <w:b/>
                <w:bCs/>
              </w:rPr>
              <w:t>Working Group</w:t>
            </w:r>
            <w:r>
              <w:t xml:space="preserve"> </w:t>
            </w:r>
            <w:r w:rsidRPr="0AA1DD34">
              <w:rPr>
                <w:b/>
                <w:bCs/>
              </w:rPr>
              <w:t>Report</w:t>
            </w:r>
          </w:p>
          <w:p w:rsidRPr="00244CE2" w:rsidR="00167EF1" w:rsidP="00167EF1" w:rsidRDefault="00167EF1" w14:paraId="63B0089C" w14:textId="59402B5D">
            <w:pPr>
              <w:pStyle w:val="Standard"/>
              <w:numPr>
                <w:ilvl w:val="0"/>
                <w:numId w:val="38"/>
              </w:numPr>
              <w:spacing w:after="120" w:line="240" w:lineRule="auto"/>
              <w:ind w:left="330"/>
            </w:pPr>
            <w:r>
              <w:rPr>
                <w:b/>
                <w:bCs/>
              </w:rPr>
              <w:t>Staff Proposal</w:t>
            </w:r>
            <w:r>
              <w:t xml:space="preserve"> </w:t>
            </w:r>
            <w:r w:rsidRPr="00E43DDB">
              <w:t>and</w:t>
            </w:r>
            <w:r w:rsidRPr="00E43DDB">
              <w:rPr>
                <w:b/>
                <w:bCs/>
              </w:rPr>
              <w:t xml:space="preserve"> Workshop</w:t>
            </w:r>
            <w:r w:rsidRPr="00E43DDB">
              <w:t xml:space="preserve"> </w:t>
            </w:r>
            <w:r>
              <w:t xml:space="preserve">on smart inverter operationalization </w:t>
            </w:r>
          </w:p>
        </w:tc>
        <w:tc>
          <w:tcPr>
            <w:tcW w:w="3346" w:type="dxa"/>
            <w:shd w:val="clear" w:color="auto" w:fill="auto"/>
          </w:tcPr>
          <w:p w:rsidR="00167EF1" w:rsidP="00167EF1" w:rsidRDefault="00167EF1" w14:paraId="73472A87" w14:textId="32EEFA00">
            <w:pPr>
              <w:pStyle w:val="Standard"/>
              <w:spacing w:after="120" w:line="240" w:lineRule="auto"/>
              <w:ind w:firstLine="0"/>
            </w:pPr>
            <w:r>
              <w:t>2023 (Quarter 2)</w:t>
            </w:r>
          </w:p>
        </w:tc>
      </w:tr>
      <w:tr w:rsidR="00167EF1" w:rsidTr="0068405A" w14:paraId="5898F6CE" w14:textId="77777777">
        <w:trPr>
          <w:jc w:val="center"/>
        </w:trPr>
        <w:tc>
          <w:tcPr>
            <w:tcW w:w="6004" w:type="dxa"/>
            <w:shd w:val="clear" w:color="auto" w:fill="auto"/>
          </w:tcPr>
          <w:p w:rsidR="00167EF1" w:rsidP="00167EF1" w:rsidRDefault="00167EF1" w14:paraId="00D3DD73" w14:textId="03CE03E2">
            <w:pPr>
              <w:pStyle w:val="Standard"/>
              <w:spacing w:after="120" w:line="240" w:lineRule="auto"/>
              <w:ind w:firstLine="0"/>
            </w:pPr>
            <w:r>
              <w:rPr>
                <w:b/>
                <w:bCs/>
              </w:rPr>
              <w:t>Staff Proposal</w:t>
            </w:r>
            <w:r>
              <w:t xml:space="preserve"> </w:t>
            </w:r>
            <w:r w:rsidRPr="00E43DDB">
              <w:t>and</w:t>
            </w:r>
            <w:r w:rsidRPr="00E43DDB">
              <w:rPr>
                <w:b/>
                <w:bCs/>
              </w:rPr>
              <w:t xml:space="preserve"> Workshop</w:t>
            </w:r>
            <w:r w:rsidRPr="00E43DDB">
              <w:t xml:space="preserve"> </w:t>
            </w:r>
            <w:r>
              <w:t>on grid modernization improvement and GRC alignment</w:t>
            </w:r>
          </w:p>
        </w:tc>
        <w:tc>
          <w:tcPr>
            <w:tcW w:w="3346" w:type="dxa"/>
            <w:shd w:val="clear" w:color="auto" w:fill="auto"/>
          </w:tcPr>
          <w:p w:rsidRPr="007C53B0" w:rsidR="00167EF1" w:rsidP="00167EF1" w:rsidRDefault="00167EF1" w14:paraId="5AE32F43" w14:textId="6DA39860">
            <w:pPr>
              <w:pStyle w:val="Standard"/>
              <w:spacing w:after="120" w:line="240" w:lineRule="auto"/>
              <w:ind w:firstLine="0"/>
            </w:pPr>
            <w:r w:rsidRPr="007C53B0">
              <w:t xml:space="preserve">2023 (Quarter </w:t>
            </w:r>
            <w:r>
              <w:t>3</w:t>
            </w:r>
            <w:r w:rsidRPr="007C53B0">
              <w:t>)</w:t>
            </w:r>
          </w:p>
        </w:tc>
      </w:tr>
      <w:tr w:rsidR="00167EF1" w:rsidTr="0068405A" w14:paraId="69AA9F05" w14:textId="77777777">
        <w:trPr>
          <w:jc w:val="center"/>
        </w:trPr>
        <w:tc>
          <w:tcPr>
            <w:tcW w:w="6004" w:type="dxa"/>
            <w:shd w:val="clear" w:color="auto" w:fill="auto"/>
          </w:tcPr>
          <w:p w:rsidRPr="2DE403F5" w:rsidR="00167EF1" w:rsidP="00167EF1" w:rsidRDefault="00167EF1" w14:paraId="43549F1B" w14:textId="5FF67221">
            <w:pPr>
              <w:pStyle w:val="Standard"/>
              <w:spacing w:after="120" w:line="240" w:lineRule="auto"/>
              <w:ind w:firstLine="0"/>
              <w:rPr>
                <w:b/>
                <w:bCs/>
              </w:rPr>
            </w:pPr>
            <w:r w:rsidRPr="2DE403F5">
              <w:rPr>
                <w:b/>
                <w:bCs/>
              </w:rPr>
              <w:lastRenderedPageBreak/>
              <w:t>Proposed Decision</w:t>
            </w:r>
            <w:r>
              <w:t xml:space="preserve"> on smart inverter operationalization, grid modernization improvement, and GRCs</w:t>
            </w:r>
          </w:p>
        </w:tc>
        <w:tc>
          <w:tcPr>
            <w:tcW w:w="3346" w:type="dxa"/>
            <w:shd w:val="clear" w:color="auto" w:fill="auto"/>
          </w:tcPr>
          <w:p w:rsidRPr="0027587A" w:rsidR="00167EF1" w:rsidP="00167EF1" w:rsidRDefault="00167EF1" w14:paraId="2068A5BA" w14:textId="092EA97F">
            <w:pPr>
              <w:pStyle w:val="Standard"/>
              <w:spacing w:after="120" w:line="240" w:lineRule="auto"/>
              <w:ind w:firstLine="0"/>
              <w:rPr>
                <w:highlight w:val="yellow"/>
              </w:rPr>
            </w:pPr>
            <w:r w:rsidRPr="007C53B0">
              <w:t xml:space="preserve">2023 (Quarter </w:t>
            </w:r>
            <w:r>
              <w:t>4</w:t>
            </w:r>
            <w:r w:rsidRPr="007C53B0">
              <w:t>)</w:t>
            </w:r>
          </w:p>
        </w:tc>
      </w:tr>
    </w:tbl>
    <w:p w:rsidRPr="00122C32" w:rsidR="00195C06" w:rsidP="00195C06" w:rsidRDefault="00195C06" w14:paraId="586121E5" w14:textId="3BCEA270">
      <w:pPr>
        <w:pStyle w:val="Standard"/>
        <w:spacing w:before="120"/>
      </w:pPr>
      <w:r>
        <w:t xml:space="preserve">A listing of </w:t>
      </w:r>
      <w:r w:rsidRPr="00122C32">
        <w:t xml:space="preserve">expected </w:t>
      </w:r>
      <w:r w:rsidRPr="00122C32" w:rsidR="00C150AB">
        <w:t xml:space="preserve">technical </w:t>
      </w:r>
      <w:r w:rsidRPr="00122C32">
        <w:t xml:space="preserve">reports and staff proposals </w:t>
      </w:r>
      <w:r w:rsidRPr="00122C32" w:rsidR="00C150AB">
        <w:t xml:space="preserve">identified in the schedule </w:t>
      </w:r>
      <w:r w:rsidRPr="00122C32">
        <w:t>is provided here:</w:t>
      </w:r>
    </w:p>
    <w:p w:rsidRPr="00122C32" w:rsidR="0005104F" w:rsidP="003C3F08" w:rsidRDefault="000634C7" w14:paraId="5DD1F37B" w14:textId="5DFE019F">
      <w:pPr>
        <w:pStyle w:val="ListAlpha"/>
      </w:pPr>
      <w:r w:rsidRPr="00122C32">
        <w:t xml:space="preserve">White </w:t>
      </w:r>
      <w:r w:rsidR="00426D9B">
        <w:t>p</w:t>
      </w:r>
      <w:r w:rsidRPr="00122C32">
        <w:t xml:space="preserve">aper on </w:t>
      </w:r>
      <w:r w:rsidR="00426D9B">
        <w:t>international and national g</w:t>
      </w:r>
      <w:r w:rsidRPr="00122C32" w:rsidR="00AB5CEC">
        <w:t xml:space="preserve">rid </w:t>
      </w:r>
      <w:r w:rsidR="00426D9B">
        <w:t>m</w:t>
      </w:r>
      <w:r w:rsidRPr="00122C32" w:rsidR="00AB5CEC">
        <w:t>odels</w:t>
      </w:r>
      <w:r w:rsidR="00426D9B">
        <w:t xml:space="preserve">, DER integration approaches, </w:t>
      </w:r>
      <w:r w:rsidR="007F1978">
        <w:t xml:space="preserve">grid architecture, </w:t>
      </w:r>
      <w:r w:rsidR="00426D9B">
        <w:t>DSO c</w:t>
      </w:r>
      <w:r w:rsidRPr="00122C32" w:rsidR="0061503D">
        <w:t>oncepts</w:t>
      </w:r>
      <w:r w:rsidR="007411CE">
        <w:t>, and planning for California’s future grid</w:t>
      </w:r>
    </w:p>
    <w:p w:rsidR="00195C06" w:rsidP="003C3F08" w:rsidRDefault="00195C06" w14:paraId="215E3FC9" w14:textId="3D1EB351">
      <w:pPr>
        <w:pStyle w:val="ListAlpha"/>
      </w:pPr>
      <w:r w:rsidRPr="00122C32">
        <w:t>DIDF Guidelines (to</w:t>
      </w:r>
      <w:r>
        <w:t xml:space="preserve"> document existing DIDF requirements)</w:t>
      </w:r>
    </w:p>
    <w:p w:rsidR="00195C06" w:rsidP="003C3F08" w:rsidRDefault="00195C06" w14:paraId="37C1C395" w14:textId="77777777">
      <w:pPr>
        <w:pStyle w:val="ListAlpha"/>
      </w:pPr>
      <w:r>
        <w:t>Phase 1 and 2 Electrification Impacts on Distribution Planning reports</w:t>
      </w:r>
    </w:p>
    <w:p w:rsidR="00195C06" w:rsidP="003C3F08" w:rsidRDefault="00195C06" w14:paraId="1F79027F" w14:textId="77777777">
      <w:pPr>
        <w:pStyle w:val="ListAlpha"/>
      </w:pPr>
      <w:r>
        <w:t>DRP Data Portal Improvement Technical Report</w:t>
      </w:r>
    </w:p>
    <w:p w:rsidR="00195C06" w:rsidP="003C3F08" w:rsidRDefault="00195C06" w14:paraId="0061940A" w14:textId="77777777">
      <w:pPr>
        <w:pStyle w:val="ListAlpha"/>
      </w:pPr>
      <w:r>
        <w:t>Staff Proposal for DPP Guidelines (will supersede DIDF Guidelines)</w:t>
      </w:r>
    </w:p>
    <w:p w:rsidR="00195C06" w:rsidP="003C3F08" w:rsidRDefault="00195C06" w14:paraId="3A78E534" w14:textId="77777777">
      <w:pPr>
        <w:pStyle w:val="ListAlpha"/>
      </w:pPr>
      <w:r>
        <w:t>Smart Inverter Operationalization Working Group Report</w:t>
      </w:r>
    </w:p>
    <w:p w:rsidRPr="003C3F08" w:rsidR="00E96174" w:rsidP="003C3F08" w:rsidRDefault="00E96174" w14:paraId="16568B4F" w14:textId="6B0BD101">
      <w:pPr>
        <w:pStyle w:val="ListAlpha"/>
      </w:pPr>
      <w:r w:rsidRPr="003C3F08">
        <w:t>Smart Inverter Operationalization Staff Proposal</w:t>
      </w:r>
    </w:p>
    <w:p w:rsidRPr="003C3F08" w:rsidR="00195C06" w:rsidP="003C3F08" w:rsidRDefault="00195C06" w14:paraId="4AFDBDC1" w14:textId="5EEF7F33">
      <w:pPr>
        <w:pStyle w:val="ListAlpha"/>
      </w:pPr>
      <w:r w:rsidRPr="003C3F08">
        <w:t xml:space="preserve">Grid Modernization Plan Improvement and </w:t>
      </w:r>
      <w:r w:rsidRPr="003C3F08" w:rsidR="00E96174">
        <w:t xml:space="preserve">GRC Alignment </w:t>
      </w:r>
      <w:r w:rsidRPr="003C3F08">
        <w:t>Staff Proposal</w:t>
      </w:r>
    </w:p>
    <w:p w:rsidRPr="003C3F08" w:rsidR="00195C06" w:rsidP="003C3F08" w:rsidRDefault="00195C06" w14:paraId="03657061" w14:textId="77777777">
      <w:pPr>
        <w:pStyle w:val="ListAlpha"/>
      </w:pPr>
      <w:r w:rsidRPr="003C3F08">
        <w:t>Technical Report on Distribution Operator Roles and Responsibilities</w:t>
      </w:r>
    </w:p>
    <w:p w:rsidR="00C150AB" w:rsidP="003C3F08" w:rsidRDefault="00C150AB" w14:paraId="6B455DB2" w14:textId="0C398E9E">
      <w:pPr>
        <w:pStyle w:val="Standard"/>
      </w:pPr>
      <w:r>
        <w:t>Most of the technical reports and staff proposals are anticipated to include a workshop.</w:t>
      </w:r>
      <w:r w:rsidR="003C3F08">
        <w:t xml:space="preserve"> </w:t>
      </w:r>
      <w:r>
        <w:t xml:space="preserve"> The workshop purpose may be to receive input on report/proposal scope or to present findings. Party </w:t>
      </w:r>
      <w:r w:rsidRPr="003C3F08">
        <w:t>comments</w:t>
      </w:r>
      <w:r>
        <w:t xml:space="preserve"> would be solicited on all reports and staff proposals.</w:t>
      </w:r>
    </w:p>
    <w:p w:rsidRPr="001B282A" w:rsidR="001A7644" w:rsidP="003C3F08" w:rsidRDefault="00B07269" w14:paraId="3A0F5C6B" w14:textId="6569CF88">
      <w:pPr>
        <w:pStyle w:val="Standard"/>
      </w:pPr>
      <w:r>
        <w:t>This proceeding will conform to the statutory case management deadline</w:t>
      </w:r>
      <w:r w:rsidR="00132FDD">
        <w:t xml:space="preserve"> </w:t>
      </w:r>
      <w:r>
        <w:t xml:space="preserve">for quasi-legislative matters set forth in Section 1701.5. </w:t>
      </w:r>
      <w:r w:rsidR="003C3F08">
        <w:t xml:space="preserve"> </w:t>
      </w:r>
      <w:r w:rsidR="005C7554">
        <w:t xml:space="preserve">In particular, it is our intention to resolve all relevant issues within </w:t>
      </w:r>
      <w:r w:rsidRPr="000F0B41" w:rsidR="2EF3C2C3">
        <w:t xml:space="preserve">36 </w:t>
      </w:r>
      <w:r w:rsidRPr="000F0B41" w:rsidR="005C7554">
        <w:t>months</w:t>
      </w:r>
      <w:r w:rsidR="005C7554">
        <w:t xml:space="preserve"> </w:t>
      </w:r>
      <w:r w:rsidR="00024850">
        <w:t xml:space="preserve">from </w:t>
      </w:r>
      <w:r w:rsidR="005C7554">
        <w:t xml:space="preserve">the date </w:t>
      </w:r>
      <w:r w:rsidR="003D7418">
        <w:t xml:space="preserve">that the scoping memo </w:t>
      </w:r>
      <w:r w:rsidR="00E42BE9">
        <w:t xml:space="preserve">for </w:t>
      </w:r>
      <w:r w:rsidR="003D7418">
        <w:t xml:space="preserve">this proceeding </w:t>
      </w:r>
      <w:r w:rsidR="671D0184">
        <w:t>circulates</w:t>
      </w:r>
      <w:r w:rsidR="005C7554">
        <w:t>.</w:t>
      </w:r>
      <w:r w:rsidR="003C3F08">
        <w:t xml:space="preserve"> </w:t>
      </w:r>
      <w:r w:rsidR="005C7554">
        <w:t xml:space="preserve"> In using the authority granted in </w:t>
      </w:r>
      <w:r w:rsidR="006F1240">
        <w:t>Section</w:t>
      </w:r>
      <w:r w:rsidR="005C7554">
        <w:t xml:space="preserve"> 1701.5(b) to set a time longer than 18 months, we</w:t>
      </w:r>
      <w:r w:rsidR="000465B1">
        <w:t xml:space="preserve"> consider the number and complexity of the tasks</w:t>
      </w:r>
      <w:r w:rsidR="00737025">
        <w:t xml:space="preserve">, including sufficient time to develop white papers </w:t>
      </w:r>
      <w:r w:rsidR="00737025">
        <w:lastRenderedPageBreak/>
        <w:t>and staff proposals on technically complex matters,</w:t>
      </w:r>
      <w:r w:rsidR="000465B1">
        <w:t xml:space="preserve"> and the need to coordinate with multiple other proceedings</w:t>
      </w:r>
      <w:r w:rsidR="003239DA">
        <w:t xml:space="preserve"> and working groups</w:t>
      </w:r>
      <w:r w:rsidR="000465B1">
        <w:t>.</w:t>
      </w:r>
    </w:p>
    <w:p w:rsidRPr="001B282A" w:rsidR="004E3114" w:rsidP="006B5C99" w:rsidRDefault="00BA1D1F" w14:paraId="000F225F" w14:textId="688CBA19">
      <w:r w:rsidRPr="001B282A">
        <w:t xml:space="preserve">This schedule </w:t>
      </w:r>
      <w:r w:rsidR="00D83033">
        <w:t>will</w:t>
      </w:r>
      <w:r w:rsidR="003D7418">
        <w:t xml:space="preserve"> be set forth in the scoping memo and </w:t>
      </w:r>
      <w:r w:rsidRPr="001B282A">
        <w:t xml:space="preserve">may be revised </w:t>
      </w:r>
      <w:r w:rsidR="00A111C0">
        <w:t xml:space="preserve">by </w:t>
      </w:r>
      <w:r w:rsidRPr="001B282A">
        <w:t>t</w:t>
      </w:r>
      <w:r w:rsidRPr="001B282A" w:rsidR="004E3114">
        <w:t>he assigned Commissioner or the assigned ALJ to promote efficient and fair administration of this proceeding.</w:t>
      </w:r>
    </w:p>
    <w:p w:rsidRPr="001B282A" w:rsidR="001A7644" w:rsidP="001A7644" w:rsidRDefault="001A7644" w14:paraId="3AE743F8" w14:textId="69A45AD5">
      <w:pPr>
        <w:pStyle w:val="Heading1"/>
      </w:pPr>
      <w:bookmarkStart w:name="_Toc71038951" w:id="23"/>
      <w:r>
        <w:t>Invitation to Comment on Preliminary Scoping Memo and Schedule</w:t>
      </w:r>
      <w:bookmarkEnd w:id="23"/>
    </w:p>
    <w:p w:rsidR="00432CF0" w:rsidP="004C4E2F" w:rsidRDefault="004D2217" w14:paraId="4F7EB757" w14:textId="274B6EFF">
      <w:pPr>
        <w:pStyle w:val="Standard"/>
      </w:pPr>
      <w:r>
        <w:t>Stakeholders</w:t>
      </w:r>
      <w:r w:rsidRPr="001B282A" w:rsidR="00400983">
        <w:t xml:space="preserve"> </w:t>
      </w:r>
      <w:r w:rsidRPr="001B282A" w:rsidR="004C4E2F">
        <w:t xml:space="preserve">are invited to comment on the </w:t>
      </w:r>
      <w:r w:rsidR="00177DFA">
        <w:t xml:space="preserve">OIR as described in the </w:t>
      </w:r>
      <w:r w:rsidRPr="001B282A" w:rsidR="004C4E2F">
        <w:t xml:space="preserve">schedule </w:t>
      </w:r>
      <w:r w:rsidR="00177DFA">
        <w:t>above.</w:t>
      </w:r>
      <w:r w:rsidR="006B2DC5">
        <w:t xml:space="preserve"> All comments </w:t>
      </w:r>
      <w:r w:rsidR="00A74170">
        <w:t>will</w:t>
      </w:r>
      <w:r w:rsidR="006B2DC5">
        <w:t xml:space="preserve"> be served to the </w:t>
      </w:r>
      <w:r w:rsidR="00A74170">
        <w:t xml:space="preserve">DRP </w:t>
      </w:r>
      <w:r w:rsidRPr="00A74170" w:rsidR="00A74170">
        <w:t>(R.14-08-013) and IDER (R.14-10-003</w:t>
      </w:r>
      <w:r w:rsidR="00A74170">
        <w:t xml:space="preserve">) </w:t>
      </w:r>
      <w:r w:rsidRPr="00A74170" w:rsidR="00A74170">
        <w:t xml:space="preserve">proceeding </w:t>
      </w:r>
      <w:r w:rsidR="00A74170">
        <w:t>service lists.</w:t>
      </w:r>
      <w:r w:rsidR="00696C47">
        <w:t xml:space="preserve"> </w:t>
      </w:r>
      <w:r w:rsidR="003C3F08">
        <w:t xml:space="preserve"> </w:t>
      </w:r>
      <w:r w:rsidRPr="001B282A" w:rsidR="004C4E2F">
        <w:t xml:space="preserve">We direct </w:t>
      </w:r>
      <w:r>
        <w:t xml:space="preserve">stakeholders </w:t>
      </w:r>
      <w:r w:rsidRPr="001B282A" w:rsidR="004C4E2F">
        <w:t xml:space="preserve">to limit their comments to the schedule, the </w:t>
      </w:r>
      <w:r w:rsidR="00AB00B5">
        <w:t xml:space="preserve">appropriateness of the list of </w:t>
      </w:r>
      <w:r w:rsidRPr="001B282A" w:rsidR="004C4E2F">
        <w:t>preliminary scop</w:t>
      </w:r>
      <w:r w:rsidR="00AB00B5">
        <w:t>ing issues</w:t>
      </w:r>
      <w:r w:rsidR="00DA0AE8">
        <w:t xml:space="preserve"> set forth above</w:t>
      </w:r>
      <w:r w:rsidRPr="001B282A" w:rsidR="004C4E2F">
        <w:t>, anticipated activities in this proceeding, preliminary determinations below</w:t>
      </w:r>
      <w:r w:rsidR="005E5B7C">
        <w:t>, and</w:t>
      </w:r>
      <w:r w:rsidR="00C9029B">
        <w:t xml:space="preserve"> the following questions in their written comments and at the scoping workshop:</w:t>
      </w:r>
    </w:p>
    <w:p w:rsidRPr="00491354" w:rsidR="00432CF0" w:rsidP="003C3F08" w:rsidRDefault="00432CF0" w14:paraId="23B4642A" w14:textId="7BF99A07">
      <w:pPr>
        <w:pStyle w:val="ListAlpha"/>
      </w:pPr>
      <w:r w:rsidRPr="00491354">
        <w:t>How should the proceeding schedule and tracks be managed? Should the tracks be reorganized, and if so, how?</w:t>
      </w:r>
      <w:r w:rsidRPr="004114EA" w:rsidR="00C15C51">
        <w:t xml:space="preserve"> </w:t>
      </w:r>
      <w:r w:rsidRPr="004114EA" w:rsidR="004C4E2F">
        <w:t xml:space="preserve">Comments </w:t>
      </w:r>
      <w:r w:rsidRPr="00491354">
        <w:t>may include whether to amend the issues presented in the OIR and how to prioritize the issues to be resolved; how to procedurally address these issues; and a proposed schedule for resolving the issues that may extend beyond 36 months. Please also address to what extent the tracks should be run in parallel or sequentially, taking into consideration stakeholder capacity to participate in multiple tracks at once.</w:t>
      </w:r>
    </w:p>
    <w:p w:rsidR="00416A00" w:rsidP="003C3F08" w:rsidRDefault="00416A00" w14:paraId="7B4EC1A9" w14:textId="56AEAABC">
      <w:pPr>
        <w:pStyle w:val="ListAlpha"/>
      </w:pPr>
      <w:r w:rsidRPr="00491354">
        <w:t xml:space="preserve">Should the Commission address Track 1 </w:t>
      </w:r>
      <w:r w:rsidR="009A3AEA">
        <w:t xml:space="preserve">(DSO) </w:t>
      </w:r>
      <w:r w:rsidRPr="00D46061">
        <w:t>issues with a consultant-led process that includes a white paper followed by workshops and culminates in a third-party consultant report of recommendations? If not, how should Track 1 issues be addressed?</w:t>
      </w:r>
    </w:p>
    <w:p w:rsidR="00B52D91" w:rsidP="003C3F08" w:rsidRDefault="00B52D91" w14:paraId="1FC0C410" w14:textId="4F24FB4E">
      <w:pPr>
        <w:pStyle w:val="ListAlpha"/>
      </w:pPr>
      <w:r>
        <w:t xml:space="preserve">Should the Commission address Track 2 (DPP) issues through a series of consultant technical reports </w:t>
      </w:r>
      <w:r w:rsidR="00BB3C74">
        <w:t>supplemented</w:t>
      </w:r>
      <w:r>
        <w:t xml:space="preserve"> by workshops</w:t>
      </w:r>
      <w:r w:rsidR="0045115A">
        <w:t xml:space="preserve"> and</w:t>
      </w:r>
      <w:r w:rsidR="00BB3C74">
        <w:t xml:space="preserve"> followed by</w:t>
      </w:r>
      <w:r w:rsidR="0045115A">
        <w:t xml:space="preserve"> staff proposal</w:t>
      </w:r>
      <w:r w:rsidR="001B6D59">
        <w:t>s</w:t>
      </w:r>
      <w:r w:rsidR="0045115A">
        <w:t xml:space="preserve">? </w:t>
      </w:r>
      <w:r w:rsidR="00BE5F22">
        <w:t>If not, how should Track 2 issues be addressed?</w:t>
      </w:r>
    </w:p>
    <w:p w:rsidR="00432CF0" w:rsidP="003C3F08" w:rsidRDefault="00BE5F22" w14:paraId="4C03CAC2" w14:textId="08EBD463">
      <w:pPr>
        <w:pStyle w:val="ListAlpha"/>
      </w:pPr>
      <w:r>
        <w:lastRenderedPageBreak/>
        <w:t>Should the Commission address Track 3 (smart inverter</w:t>
      </w:r>
      <w:r w:rsidR="00372B44">
        <w:t xml:space="preserve"> operationalization</w:t>
      </w:r>
      <w:r>
        <w:t xml:space="preserve">, grid modernization, and GRC alignment) issues </w:t>
      </w:r>
      <w:r w:rsidR="00995E4D">
        <w:t>in two separate work stre</w:t>
      </w:r>
      <w:r w:rsidR="007648F7">
        <w:t>ams</w:t>
      </w:r>
      <w:r w:rsidR="008D0858">
        <w:t xml:space="preserve">: 1) </w:t>
      </w:r>
      <w:r w:rsidR="004D34CD">
        <w:t>a</w:t>
      </w:r>
      <w:r w:rsidR="007648F7">
        <w:t xml:space="preserve"> smart inverter working group</w:t>
      </w:r>
      <w:r w:rsidR="00AB5AB3">
        <w:t xml:space="preserve"> </w:t>
      </w:r>
      <w:r w:rsidR="0088092A">
        <w:t xml:space="preserve">and </w:t>
      </w:r>
      <w:r w:rsidR="00AB5AB3">
        <w:t xml:space="preserve">working group report </w:t>
      </w:r>
      <w:r w:rsidR="0088092A">
        <w:t xml:space="preserve">followed by a </w:t>
      </w:r>
      <w:r w:rsidR="00AB5AB3">
        <w:t>staff proposal</w:t>
      </w:r>
      <w:r w:rsidR="0088092A">
        <w:t xml:space="preserve"> and workshop</w:t>
      </w:r>
      <w:r w:rsidR="00C523DA">
        <w:t xml:space="preserve">, and 2) </w:t>
      </w:r>
      <w:r w:rsidR="007648F7">
        <w:t>a staf</w:t>
      </w:r>
      <w:r w:rsidR="009362F7">
        <w:t>f</w:t>
      </w:r>
      <w:r w:rsidR="00B90586">
        <w:t>-led</w:t>
      </w:r>
      <w:r w:rsidR="009362F7">
        <w:t xml:space="preserve"> proposal and workshop on </w:t>
      </w:r>
      <w:r w:rsidR="00D118E4">
        <w:t>grid modernization and GRC alignment?</w:t>
      </w:r>
      <w:r w:rsidR="001B0FC6">
        <w:t xml:space="preserve"> If not, how should Track 3 issues be addressed?</w:t>
      </w:r>
    </w:p>
    <w:p w:rsidRPr="001B282A" w:rsidR="001A7644" w:rsidP="004C4E2F" w:rsidRDefault="004C4E2F" w14:paraId="613D8AEC" w14:textId="4B4C5FCB">
      <w:pPr>
        <w:pStyle w:val="Standard"/>
      </w:pPr>
      <w:r w:rsidRPr="00531A13">
        <w:t xml:space="preserve">Comments </w:t>
      </w:r>
      <w:r w:rsidR="008922F7">
        <w:t>shall be</w:t>
      </w:r>
      <w:r w:rsidRPr="00531A13">
        <w:t xml:space="preserve"> limited to </w:t>
      </w:r>
      <w:r w:rsidRPr="00531A13" w:rsidR="008C1EA8">
        <w:t>2</w:t>
      </w:r>
      <w:r w:rsidR="008C1EA8">
        <w:t>5</w:t>
      </w:r>
      <w:r w:rsidRPr="00531A13" w:rsidR="008C1EA8">
        <w:t xml:space="preserve"> pages </w:t>
      </w:r>
      <w:r w:rsidRPr="00531A13">
        <w:t xml:space="preserve">per party and will help to inform the </w:t>
      </w:r>
      <w:r w:rsidR="00A74170">
        <w:t>Scoping Memo</w:t>
      </w:r>
      <w:r w:rsidRPr="00531A13">
        <w:t>.</w:t>
      </w:r>
    </w:p>
    <w:p w:rsidRPr="00BC44D1" w:rsidR="00CA5071" w:rsidP="00CA5071" w:rsidRDefault="00CA5071" w14:paraId="5FA6402C" w14:textId="77777777">
      <w:pPr>
        <w:pStyle w:val="Heading1"/>
      </w:pPr>
      <w:bookmarkStart w:name="_Toc71038952" w:id="24"/>
      <w:r>
        <w:t>Respondents</w:t>
      </w:r>
      <w:bookmarkEnd w:id="24"/>
    </w:p>
    <w:p w:rsidRPr="00BC44D1" w:rsidR="00044D54" w:rsidP="00BC44D1" w:rsidRDefault="004C4E2F" w14:paraId="59245047" w14:textId="13EDF745">
      <w:r w:rsidRPr="00BC44D1">
        <w:t xml:space="preserve">Pacific Gas and Electric Company, San Diego Gas &amp; Electric Company, and Southern California Edison Company, </w:t>
      </w:r>
      <w:r w:rsidRPr="00BC44D1" w:rsidR="00BC44D1">
        <w:t xml:space="preserve">shall be respondents in this proceeding. </w:t>
      </w:r>
      <w:r w:rsidR="003C3F08">
        <w:t xml:space="preserve"> </w:t>
      </w:r>
      <w:r w:rsidRPr="00BC44D1" w:rsidR="00BC44D1">
        <w:t xml:space="preserve">Within 15 days of mailing of this rulemaking, each respondent shall inform the </w:t>
      </w:r>
      <w:r w:rsidR="00F44F79">
        <w:t>Commission</w:t>
      </w:r>
      <w:r w:rsidRPr="00BC44D1" w:rsidR="00BC44D1">
        <w:t>’s Process Office of the contact information for a single representative, although other representatives and persons affiliated with the respondents may be placed on the Information Only service list</w:t>
      </w:r>
      <w:r w:rsidRPr="00BC44D1" w:rsidR="00CA5071">
        <w:t>.</w:t>
      </w:r>
      <w:r w:rsidRPr="00BC44D1" w:rsidR="0097297C">
        <w:t xml:space="preserve"> </w:t>
      </w:r>
    </w:p>
    <w:p w:rsidRPr="001B282A" w:rsidR="003C7942" w:rsidP="003C7942" w:rsidRDefault="003C7942" w14:paraId="64ABF326" w14:textId="77777777">
      <w:pPr>
        <w:pStyle w:val="Heading1"/>
      </w:pPr>
      <w:bookmarkStart w:name="_Toc71038953" w:id="25"/>
      <w:r>
        <w:t>Coordination with Related Proceedings and Service of OIR</w:t>
      </w:r>
      <w:bookmarkEnd w:id="25"/>
    </w:p>
    <w:p w:rsidR="00C5376C" w:rsidP="00CA5071" w:rsidRDefault="003723A8" w14:paraId="461C542E" w14:textId="7BAFBCDB">
      <w:pPr>
        <w:pStyle w:val="sub1"/>
        <w:rPr>
          <w:rFonts w:ascii="Book Antiqua" w:hAnsi="Book Antiqua"/>
          <w:szCs w:val="26"/>
        </w:rPr>
      </w:pPr>
      <w:r w:rsidRPr="003723A8">
        <w:rPr>
          <w:rFonts w:ascii="Book Antiqua" w:hAnsi="Book Antiqua"/>
          <w:szCs w:val="26"/>
        </w:rPr>
        <w:t>We intend to coordinate this rulemaking with other related</w:t>
      </w:r>
      <w:r>
        <w:rPr>
          <w:rFonts w:ascii="Book Antiqua" w:hAnsi="Book Antiqua"/>
          <w:szCs w:val="26"/>
        </w:rPr>
        <w:t xml:space="preserve"> </w:t>
      </w:r>
      <w:r w:rsidRPr="003723A8">
        <w:rPr>
          <w:rFonts w:ascii="Book Antiqua" w:hAnsi="Book Antiqua"/>
          <w:szCs w:val="26"/>
        </w:rPr>
        <w:t>proceedings including, but not limited to</w:t>
      </w:r>
      <w:r>
        <w:rPr>
          <w:rFonts w:ascii="Book Antiqua" w:hAnsi="Book Antiqua"/>
          <w:szCs w:val="26"/>
        </w:rPr>
        <w:t xml:space="preserve">, those identified in Table 1. </w:t>
      </w:r>
      <w:r w:rsidR="003C3F08">
        <w:rPr>
          <w:rFonts w:ascii="Book Antiqua" w:hAnsi="Book Antiqua"/>
          <w:szCs w:val="26"/>
        </w:rPr>
        <w:t xml:space="preserve"> </w:t>
      </w:r>
      <w:r w:rsidR="00986E0E">
        <w:rPr>
          <w:rFonts w:ascii="Book Antiqua" w:hAnsi="Book Antiqua"/>
          <w:szCs w:val="26"/>
        </w:rPr>
        <w:t xml:space="preserve">At this time, </w:t>
      </w:r>
      <w:r w:rsidR="003C121C">
        <w:rPr>
          <w:rFonts w:ascii="Book Antiqua" w:hAnsi="Book Antiqua"/>
          <w:szCs w:val="26"/>
        </w:rPr>
        <w:t xml:space="preserve">it </w:t>
      </w:r>
      <w:r w:rsidR="00AA0334">
        <w:rPr>
          <w:rFonts w:ascii="Book Antiqua" w:hAnsi="Book Antiqua"/>
          <w:szCs w:val="26"/>
        </w:rPr>
        <w:t xml:space="preserve">is anticipated </w:t>
      </w:r>
      <w:r w:rsidR="003C121C">
        <w:rPr>
          <w:rFonts w:ascii="Book Antiqua" w:hAnsi="Book Antiqua"/>
          <w:szCs w:val="26"/>
        </w:rPr>
        <w:t xml:space="preserve">that coordination will be prioritized </w:t>
      </w:r>
      <w:r w:rsidR="00A558B0">
        <w:rPr>
          <w:rFonts w:ascii="Book Antiqua" w:hAnsi="Book Antiqua"/>
          <w:szCs w:val="26"/>
        </w:rPr>
        <w:t>with the Transportation Electrification</w:t>
      </w:r>
      <w:r w:rsidR="00757DF7">
        <w:rPr>
          <w:rFonts w:ascii="Book Antiqua" w:hAnsi="Book Antiqua"/>
          <w:szCs w:val="26"/>
        </w:rPr>
        <w:t xml:space="preserve"> (</w:t>
      </w:r>
      <w:r w:rsidRPr="00AE04EF" w:rsidR="00757DF7">
        <w:rPr>
          <w:rFonts w:ascii="Book Antiqua" w:hAnsi="Book Antiqua"/>
          <w:szCs w:val="26"/>
        </w:rPr>
        <w:t>R</w:t>
      </w:r>
      <w:r w:rsidR="00757DF7">
        <w:rPr>
          <w:rFonts w:ascii="Book Antiqua" w:hAnsi="Book Antiqua"/>
          <w:szCs w:val="26"/>
        </w:rPr>
        <w:t>.</w:t>
      </w:r>
      <w:r w:rsidRPr="00AE04EF" w:rsidR="00757DF7">
        <w:rPr>
          <w:rFonts w:ascii="Book Antiqua" w:hAnsi="Book Antiqua"/>
          <w:szCs w:val="26"/>
        </w:rPr>
        <w:t>18</w:t>
      </w:r>
      <w:r w:rsidR="00757DF7">
        <w:rPr>
          <w:rFonts w:ascii="Book Antiqua" w:hAnsi="Book Antiqua"/>
          <w:szCs w:val="26"/>
        </w:rPr>
        <w:t>-</w:t>
      </w:r>
      <w:r w:rsidRPr="00AE04EF" w:rsidR="00757DF7">
        <w:rPr>
          <w:rFonts w:ascii="Book Antiqua" w:hAnsi="Book Antiqua"/>
          <w:szCs w:val="26"/>
        </w:rPr>
        <w:t>12</w:t>
      </w:r>
      <w:r w:rsidR="00757DF7">
        <w:rPr>
          <w:rFonts w:ascii="Book Antiqua" w:hAnsi="Book Antiqua"/>
          <w:szCs w:val="26"/>
        </w:rPr>
        <w:t>-</w:t>
      </w:r>
      <w:r w:rsidRPr="00AE04EF" w:rsidR="00757DF7">
        <w:rPr>
          <w:rFonts w:ascii="Book Antiqua" w:hAnsi="Book Antiqua"/>
          <w:szCs w:val="26"/>
        </w:rPr>
        <w:t>006</w:t>
      </w:r>
      <w:r w:rsidR="00757DF7">
        <w:rPr>
          <w:rFonts w:ascii="Book Antiqua" w:hAnsi="Book Antiqua"/>
          <w:szCs w:val="26"/>
        </w:rPr>
        <w:t>)</w:t>
      </w:r>
      <w:r w:rsidR="00A558B0">
        <w:rPr>
          <w:rFonts w:ascii="Book Antiqua" w:hAnsi="Book Antiqua"/>
          <w:szCs w:val="26"/>
        </w:rPr>
        <w:t>, Mic</w:t>
      </w:r>
      <w:r w:rsidR="00296611">
        <w:rPr>
          <w:rFonts w:ascii="Book Antiqua" w:hAnsi="Book Antiqua"/>
          <w:szCs w:val="26"/>
        </w:rPr>
        <w:t xml:space="preserve">rogrids and </w:t>
      </w:r>
      <w:r w:rsidR="00380D0C">
        <w:rPr>
          <w:rFonts w:ascii="Book Antiqua" w:hAnsi="Book Antiqua"/>
          <w:szCs w:val="26"/>
        </w:rPr>
        <w:t>Resiliency</w:t>
      </w:r>
      <w:r w:rsidR="00757DF7">
        <w:rPr>
          <w:rFonts w:ascii="Book Antiqua" w:hAnsi="Book Antiqua"/>
          <w:szCs w:val="26"/>
        </w:rPr>
        <w:t xml:space="preserve"> (</w:t>
      </w:r>
      <w:r w:rsidRPr="00757DF7" w:rsidR="00757DF7">
        <w:rPr>
          <w:rFonts w:ascii="Book Antiqua" w:hAnsi="Book Antiqua"/>
          <w:szCs w:val="26"/>
        </w:rPr>
        <w:t>R.19-09-009</w:t>
      </w:r>
      <w:r w:rsidR="00757DF7">
        <w:rPr>
          <w:rFonts w:ascii="Book Antiqua" w:hAnsi="Book Antiqua"/>
          <w:szCs w:val="26"/>
        </w:rPr>
        <w:t>)</w:t>
      </w:r>
      <w:r w:rsidR="00296611">
        <w:rPr>
          <w:rFonts w:ascii="Book Antiqua" w:hAnsi="Book Antiqua"/>
          <w:szCs w:val="26"/>
        </w:rPr>
        <w:t>, and Interconnection proceedings</w:t>
      </w:r>
      <w:r w:rsidR="00757DF7">
        <w:rPr>
          <w:rFonts w:ascii="Book Antiqua" w:hAnsi="Book Antiqua"/>
          <w:szCs w:val="26"/>
        </w:rPr>
        <w:t xml:space="preserve"> (</w:t>
      </w:r>
      <w:r w:rsidRPr="00C62030" w:rsidR="00757DF7">
        <w:rPr>
          <w:rFonts w:ascii="Book Antiqua" w:hAnsi="Book Antiqua"/>
          <w:szCs w:val="26"/>
        </w:rPr>
        <w:t>R.17-07-007</w:t>
      </w:r>
      <w:r w:rsidR="00757DF7">
        <w:rPr>
          <w:rFonts w:ascii="Book Antiqua" w:hAnsi="Book Antiqua"/>
          <w:szCs w:val="26"/>
        </w:rPr>
        <w:t>)</w:t>
      </w:r>
      <w:r w:rsidR="00380D0C">
        <w:rPr>
          <w:rFonts w:ascii="Book Antiqua" w:hAnsi="Book Antiqua"/>
          <w:szCs w:val="26"/>
        </w:rPr>
        <w:t>.</w:t>
      </w:r>
      <w:r w:rsidR="00757DF7">
        <w:rPr>
          <w:rFonts w:ascii="Book Antiqua" w:hAnsi="Book Antiqua"/>
          <w:szCs w:val="26"/>
        </w:rPr>
        <w:t xml:space="preserve"> </w:t>
      </w:r>
      <w:r w:rsidR="003C3F08">
        <w:rPr>
          <w:rFonts w:ascii="Book Antiqua" w:hAnsi="Book Antiqua"/>
          <w:szCs w:val="26"/>
        </w:rPr>
        <w:t xml:space="preserve"> </w:t>
      </w:r>
      <w:r w:rsidR="00AC21D1">
        <w:rPr>
          <w:rFonts w:ascii="Book Antiqua" w:hAnsi="Book Antiqua"/>
          <w:szCs w:val="26"/>
        </w:rPr>
        <w:t xml:space="preserve">Coordination </w:t>
      </w:r>
      <w:r w:rsidR="00B27380">
        <w:rPr>
          <w:rFonts w:ascii="Book Antiqua" w:hAnsi="Book Antiqua"/>
          <w:szCs w:val="26"/>
        </w:rPr>
        <w:t xml:space="preserve">needs and </w:t>
      </w:r>
      <w:r w:rsidR="00AC21D1">
        <w:rPr>
          <w:rFonts w:ascii="Book Antiqua" w:hAnsi="Book Antiqua"/>
          <w:szCs w:val="26"/>
        </w:rPr>
        <w:t xml:space="preserve">priorities are </w:t>
      </w:r>
      <w:r w:rsidR="00956264">
        <w:rPr>
          <w:rFonts w:ascii="Book Antiqua" w:hAnsi="Book Antiqua"/>
          <w:szCs w:val="26"/>
        </w:rPr>
        <w:t xml:space="preserve">expected </w:t>
      </w:r>
      <w:r w:rsidR="00AC21D1">
        <w:rPr>
          <w:rFonts w:ascii="Book Antiqua" w:hAnsi="Book Antiqua"/>
          <w:szCs w:val="26"/>
        </w:rPr>
        <w:t xml:space="preserve">to change </w:t>
      </w:r>
      <w:r w:rsidR="00603506">
        <w:rPr>
          <w:rFonts w:ascii="Book Antiqua" w:hAnsi="Book Antiqua"/>
          <w:szCs w:val="26"/>
        </w:rPr>
        <w:t>thr</w:t>
      </w:r>
      <w:r w:rsidR="007A534A">
        <w:rPr>
          <w:rFonts w:ascii="Book Antiqua" w:hAnsi="Book Antiqua"/>
          <w:szCs w:val="26"/>
        </w:rPr>
        <w:t>ou</w:t>
      </w:r>
      <w:r w:rsidR="00603506">
        <w:rPr>
          <w:rFonts w:ascii="Book Antiqua" w:hAnsi="Book Antiqua"/>
          <w:szCs w:val="26"/>
        </w:rPr>
        <w:t>gh</w:t>
      </w:r>
      <w:r w:rsidR="00956264">
        <w:rPr>
          <w:rFonts w:ascii="Book Antiqua" w:hAnsi="Book Antiqua"/>
          <w:szCs w:val="26"/>
        </w:rPr>
        <w:t>ou</w:t>
      </w:r>
      <w:r w:rsidR="00603506">
        <w:rPr>
          <w:rFonts w:ascii="Book Antiqua" w:hAnsi="Book Antiqua"/>
          <w:szCs w:val="26"/>
        </w:rPr>
        <w:t xml:space="preserve">t the proceeding. </w:t>
      </w:r>
    </w:p>
    <w:p w:rsidRPr="001B282A" w:rsidR="00431174" w:rsidP="00CA5071" w:rsidRDefault="004C4E2F" w14:paraId="14A2C5EA" w14:textId="0BA14D3A">
      <w:pPr>
        <w:pStyle w:val="sub1"/>
        <w:rPr>
          <w:rFonts w:ascii="Book Antiqua" w:hAnsi="Book Antiqua"/>
          <w:szCs w:val="26"/>
        </w:rPr>
      </w:pPr>
      <w:r w:rsidRPr="001B282A">
        <w:rPr>
          <w:rFonts w:ascii="Book Antiqua" w:hAnsi="Book Antiqua"/>
          <w:szCs w:val="26"/>
        </w:rPr>
        <w:t xml:space="preserve">This OIR shall be served on all respondents.  In addition, in the interest of broad notice, this </w:t>
      </w:r>
      <w:r w:rsidRPr="001B282A" w:rsidR="00431174">
        <w:rPr>
          <w:rFonts w:ascii="Book Antiqua" w:hAnsi="Book Antiqua"/>
          <w:szCs w:val="26"/>
        </w:rPr>
        <w:t>OIR</w:t>
      </w:r>
      <w:r w:rsidRPr="001B282A">
        <w:rPr>
          <w:rFonts w:ascii="Book Antiqua" w:hAnsi="Book Antiqua"/>
          <w:szCs w:val="26"/>
        </w:rPr>
        <w:t xml:space="preserve"> will be served on the official service lists </w:t>
      </w:r>
      <w:r w:rsidRPr="001B282A" w:rsidR="00431174">
        <w:rPr>
          <w:rFonts w:ascii="Book Antiqua" w:hAnsi="Book Antiqua"/>
          <w:szCs w:val="26"/>
        </w:rPr>
        <w:t xml:space="preserve">for the following proceedings: </w:t>
      </w:r>
    </w:p>
    <w:tbl>
      <w:tblPr>
        <w:tblStyle w:val="TableGrid"/>
        <w:tblW w:w="0" w:type="auto"/>
        <w:tblLook w:val="04A0" w:firstRow="1" w:lastRow="0" w:firstColumn="1" w:lastColumn="0" w:noHBand="0" w:noVBand="1"/>
      </w:tblPr>
      <w:tblGrid>
        <w:gridCol w:w="630"/>
        <w:gridCol w:w="6030"/>
        <w:gridCol w:w="2690"/>
      </w:tblGrid>
      <w:tr w:rsidR="009F73C3" w:rsidTr="009F73C3" w14:paraId="6B1CBA13" w14:textId="77777777">
        <w:tc>
          <w:tcPr>
            <w:tcW w:w="9350" w:type="dxa"/>
            <w:gridSpan w:val="3"/>
            <w:tcBorders>
              <w:top w:val="nil"/>
              <w:left w:val="nil"/>
              <w:right w:val="nil"/>
            </w:tcBorders>
          </w:tcPr>
          <w:p w:rsidRPr="00894407" w:rsidR="009F73C3" w:rsidP="00431174" w:rsidRDefault="009F73C3" w14:paraId="362CAE05" w14:textId="3C434525">
            <w:pPr>
              <w:pStyle w:val="sub1"/>
              <w:ind w:firstLine="0"/>
              <w:rPr>
                <w:rFonts w:ascii="Book Antiqua" w:hAnsi="Book Antiqua"/>
                <w:b/>
                <w:bCs/>
                <w:szCs w:val="26"/>
              </w:rPr>
            </w:pPr>
            <w:r>
              <w:rPr>
                <w:rFonts w:ascii="Book Antiqua" w:hAnsi="Book Antiqua"/>
                <w:b/>
                <w:bCs/>
                <w:szCs w:val="26"/>
              </w:rPr>
              <w:t xml:space="preserve">Table 1. Related </w:t>
            </w:r>
            <w:r w:rsidR="00552D61">
              <w:rPr>
                <w:rFonts w:ascii="Book Antiqua" w:hAnsi="Book Antiqua"/>
                <w:b/>
                <w:bCs/>
                <w:szCs w:val="26"/>
              </w:rPr>
              <w:t>Proceedings</w:t>
            </w:r>
            <w:r>
              <w:rPr>
                <w:rFonts w:ascii="Book Antiqua" w:hAnsi="Book Antiqua"/>
                <w:b/>
                <w:bCs/>
                <w:szCs w:val="26"/>
              </w:rPr>
              <w:t xml:space="preserve"> </w:t>
            </w:r>
            <w:r w:rsidR="00552D61">
              <w:rPr>
                <w:rFonts w:ascii="Book Antiqua" w:hAnsi="Book Antiqua"/>
                <w:b/>
                <w:bCs/>
                <w:szCs w:val="26"/>
              </w:rPr>
              <w:t>and Service of OIR</w:t>
            </w:r>
          </w:p>
        </w:tc>
      </w:tr>
      <w:tr w:rsidR="00431174" w:rsidTr="00002F9F" w14:paraId="2F2EED39" w14:textId="77777777">
        <w:tc>
          <w:tcPr>
            <w:tcW w:w="630" w:type="dxa"/>
          </w:tcPr>
          <w:p w:rsidRPr="00894407" w:rsidR="00431174" w:rsidP="00431174" w:rsidRDefault="00431174" w14:paraId="10360614" w14:textId="77777777">
            <w:pPr>
              <w:pStyle w:val="sub1"/>
              <w:ind w:firstLine="0"/>
              <w:rPr>
                <w:rFonts w:ascii="Book Antiqua" w:hAnsi="Book Antiqua"/>
                <w:szCs w:val="26"/>
              </w:rPr>
            </w:pPr>
          </w:p>
        </w:tc>
        <w:tc>
          <w:tcPr>
            <w:tcW w:w="6030" w:type="dxa"/>
          </w:tcPr>
          <w:p w:rsidRPr="00894407" w:rsidR="00431174" w:rsidP="00431174" w:rsidRDefault="00B95C5F" w14:paraId="0393F5E0" w14:textId="2F529108">
            <w:pPr>
              <w:pStyle w:val="sub1"/>
              <w:ind w:firstLine="0"/>
              <w:rPr>
                <w:rFonts w:ascii="Book Antiqua" w:hAnsi="Book Antiqua"/>
                <w:b/>
                <w:bCs/>
                <w:szCs w:val="26"/>
              </w:rPr>
            </w:pPr>
            <w:r w:rsidRPr="00894407">
              <w:rPr>
                <w:rFonts w:ascii="Book Antiqua" w:hAnsi="Book Antiqua"/>
                <w:b/>
                <w:bCs/>
                <w:szCs w:val="26"/>
              </w:rPr>
              <w:t>Docket</w:t>
            </w:r>
          </w:p>
        </w:tc>
        <w:tc>
          <w:tcPr>
            <w:tcW w:w="2690" w:type="dxa"/>
          </w:tcPr>
          <w:p w:rsidRPr="00894407" w:rsidR="00431174" w:rsidP="00431174" w:rsidRDefault="00431174" w14:paraId="5E4C4639" w14:textId="610F8EA1">
            <w:pPr>
              <w:pStyle w:val="sub1"/>
              <w:ind w:firstLine="0"/>
              <w:rPr>
                <w:rFonts w:ascii="Book Antiqua" w:hAnsi="Book Antiqua"/>
                <w:b/>
                <w:bCs/>
                <w:szCs w:val="26"/>
              </w:rPr>
            </w:pPr>
            <w:r w:rsidRPr="00894407">
              <w:rPr>
                <w:rFonts w:ascii="Book Antiqua" w:hAnsi="Book Antiqua"/>
                <w:b/>
                <w:bCs/>
                <w:szCs w:val="26"/>
              </w:rPr>
              <w:t>Proceeding Number</w:t>
            </w:r>
          </w:p>
        </w:tc>
      </w:tr>
      <w:tr w:rsidR="005C3384" w:rsidTr="00002F9F" w14:paraId="1C063D9C" w14:textId="77777777">
        <w:tc>
          <w:tcPr>
            <w:tcW w:w="630" w:type="dxa"/>
          </w:tcPr>
          <w:p w:rsidR="005C3384" w:rsidP="005C3384" w:rsidRDefault="005C3384" w14:paraId="7BB33DCE" w14:textId="26A7C958">
            <w:pPr>
              <w:pStyle w:val="sub1"/>
              <w:spacing w:line="240" w:lineRule="auto"/>
              <w:ind w:firstLine="0"/>
              <w:rPr>
                <w:rFonts w:ascii="Book Antiqua" w:hAnsi="Book Antiqua"/>
                <w:szCs w:val="26"/>
              </w:rPr>
            </w:pPr>
            <w:r>
              <w:rPr>
                <w:rFonts w:ascii="Book Antiqua" w:hAnsi="Book Antiqua"/>
                <w:szCs w:val="26"/>
              </w:rPr>
              <w:lastRenderedPageBreak/>
              <w:t>1</w:t>
            </w:r>
          </w:p>
        </w:tc>
        <w:tc>
          <w:tcPr>
            <w:tcW w:w="6030" w:type="dxa"/>
          </w:tcPr>
          <w:p w:rsidRPr="00BC7AE0" w:rsidR="005C3384" w:rsidP="005C3384" w:rsidRDefault="005C3384" w14:paraId="2656F9BB" w14:textId="36346B6F">
            <w:pPr>
              <w:pStyle w:val="sub1"/>
              <w:tabs>
                <w:tab w:val="left" w:pos="1695"/>
              </w:tabs>
              <w:spacing w:line="240" w:lineRule="auto"/>
              <w:ind w:firstLine="0"/>
              <w:rPr>
                <w:rFonts w:ascii="Book Antiqua" w:hAnsi="Book Antiqua"/>
              </w:rPr>
            </w:pPr>
            <w:r>
              <w:rPr>
                <w:rFonts w:ascii="Book Antiqua" w:hAnsi="Book Antiqua"/>
              </w:rPr>
              <w:t>E</w:t>
            </w:r>
            <w:r w:rsidRPr="005C3384">
              <w:rPr>
                <w:rFonts w:ascii="Book Antiqua" w:hAnsi="Book Antiqua"/>
              </w:rPr>
              <w:t>mergency Summer</w:t>
            </w:r>
            <w:r>
              <w:rPr>
                <w:rFonts w:ascii="Book Antiqua" w:hAnsi="Book Antiqua"/>
              </w:rPr>
              <w:t xml:space="preserve"> </w:t>
            </w:r>
            <w:r w:rsidRPr="005C3384">
              <w:rPr>
                <w:rFonts w:ascii="Book Antiqua" w:hAnsi="Book Antiqua"/>
              </w:rPr>
              <w:t>Reliability</w:t>
            </w:r>
            <w:r w:rsidR="00AF4BEC">
              <w:rPr>
                <w:rFonts w:ascii="Book Antiqua" w:hAnsi="Book Antiqua"/>
              </w:rPr>
              <w:t>, Extreme Weather</w:t>
            </w:r>
          </w:p>
        </w:tc>
        <w:tc>
          <w:tcPr>
            <w:tcW w:w="2690" w:type="dxa"/>
          </w:tcPr>
          <w:p w:rsidRPr="00417B89" w:rsidR="005C3384" w:rsidP="005C3384" w:rsidRDefault="005C3384" w14:paraId="71B73201" w14:textId="7C57DDFA">
            <w:pPr>
              <w:pStyle w:val="sub1"/>
              <w:spacing w:line="240" w:lineRule="auto"/>
              <w:ind w:firstLine="0"/>
              <w:rPr>
                <w:rFonts w:ascii="Book Antiqua" w:hAnsi="Book Antiqua"/>
                <w:szCs w:val="26"/>
              </w:rPr>
            </w:pPr>
            <w:r w:rsidRPr="00A86523">
              <w:rPr>
                <w:rFonts w:ascii="Book Antiqua" w:hAnsi="Book Antiqua"/>
                <w:szCs w:val="26"/>
              </w:rPr>
              <w:t>R.20-11-003</w:t>
            </w:r>
          </w:p>
        </w:tc>
      </w:tr>
      <w:tr w:rsidR="005C3384" w:rsidTr="00002F9F" w14:paraId="4C29CDD4" w14:textId="77777777">
        <w:tc>
          <w:tcPr>
            <w:tcW w:w="630" w:type="dxa"/>
          </w:tcPr>
          <w:p w:rsidRPr="00894407" w:rsidR="005C3384" w:rsidP="005C3384" w:rsidRDefault="005C3384" w14:paraId="279AF645" w14:textId="7C70028A">
            <w:pPr>
              <w:pStyle w:val="sub1"/>
              <w:spacing w:line="240" w:lineRule="auto"/>
              <w:ind w:firstLine="0"/>
              <w:rPr>
                <w:rFonts w:ascii="Book Antiqua" w:hAnsi="Book Antiqua"/>
                <w:szCs w:val="26"/>
              </w:rPr>
            </w:pPr>
            <w:r>
              <w:rPr>
                <w:rFonts w:ascii="Book Antiqua" w:hAnsi="Book Antiqua"/>
                <w:szCs w:val="26"/>
              </w:rPr>
              <w:t>2</w:t>
            </w:r>
          </w:p>
        </w:tc>
        <w:tc>
          <w:tcPr>
            <w:tcW w:w="6030" w:type="dxa"/>
          </w:tcPr>
          <w:p w:rsidRPr="00BC7AE0" w:rsidR="005C3384" w:rsidP="005C3384" w:rsidRDefault="005C3384" w14:paraId="3BCCE2CE" w14:textId="77777777">
            <w:pPr>
              <w:pStyle w:val="sub1"/>
              <w:spacing w:line="240" w:lineRule="auto"/>
              <w:ind w:firstLine="0"/>
              <w:rPr>
                <w:rFonts w:ascii="Book Antiqua" w:hAnsi="Book Antiqua"/>
              </w:rPr>
            </w:pPr>
            <w:r w:rsidRPr="00BC7AE0">
              <w:rPr>
                <w:rFonts w:ascii="Book Antiqua" w:hAnsi="Book Antiqua"/>
              </w:rPr>
              <w:t>Clean Energy Financing Options</w:t>
            </w:r>
          </w:p>
          <w:p w:rsidRPr="00C5684A" w:rsidR="005C3384" w:rsidP="005C3384" w:rsidRDefault="005C3384" w14:paraId="7EE679D9" w14:textId="3E25CACF">
            <w:pPr>
              <w:pStyle w:val="sub1"/>
              <w:spacing w:line="240" w:lineRule="auto"/>
              <w:ind w:firstLine="0"/>
              <w:rPr>
                <w:rFonts w:ascii="Book Antiqua" w:hAnsi="Book Antiqua"/>
              </w:rPr>
            </w:pPr>
            <w:r w:rsidRPr="00BC7AE0">
              <w:rPr>
                <w:rFonts w:ascii="Book Antiqua" w:hAnsi="Book Antiqua"/>
              </w:rPr>
              <w:t>for Electricity and Natural Gas Customers</w:t>
            </w:r>
          </w:p>
        </w:tc>
        <w:tc>
          <w:tcPr>
            <w:tcW w:w="2690" w:type="dxa"/>
          </w:tcPr>
          <w:p w:rsidRPr="00F3006D" w:rsidR="005C3384" w:rsidP="005C3384" w:rsidRDefault="005C3384" w14:paraId="6ADD704B" w14:textId="3EF349C0">
            <w:pPr>
              <w:pStyle w:val="sub1"/>
              <w:spacing w:line="240" w:lineRule="auto"/>
              <w:ind w:firstLine="0"/>
              <w:rPr>
                <w:rFonts w:ascii="Book Antiqua" w:hAnsi="Book Antiqua"/>
                <w:szCs w:val="26"/>
              </w:rPr>
            </w:pPr>
            <w:r w:rsidRPr="00417B89">
              <w:rPr>
                <w:rFonts w:ascii="Book Antiqua" w:hAnsi="Book Antiqua"/>
                <w:szCs w:val="26"/>
              </w:rPr>
              <w:t>R.20-08-022</w:t>
            </w:r>
          </w:p>
        </w:tc>
      </w:tr>
      <w:tr w:rsidR="005C3384" w:rsidTr="00002F9F" w14:paraId="0C59132A" w14:textId="77777777">
        <w:tc>
          <w:tcPr>
            <w:tcW w:w="630" w:type="dxa"/>
          </w:tcPr>
          <w:p w:rsidRPr="00894407" w:rsidR="005C3384" w:rsidP="005C3384" w:rsidRDefault="005C3384" w14:paraId="05769018" w14:textId="571A39A5">
            <w:pPr>
              <w:pStyle w:val="sub1"/>
              <w:spacing w:line="240" w:lineRule="auto"/>
              <w:ind w:firstLine="0"/>
              <w:rPr>
                <w:rFonts w:ascii="Book Antiqua" w:hAnsi="Book Antiqua"/>
                <w:szCs w:val="26"/>
              </w:rPr>
            </w:pPr>
            <w:r>
              <w:rPr>
                <w:rFonts w:ascii="Book Antiqua" w:hAnsi="Book Antiqua"/>
                <w:szCs w:val="26"/>
              </w:rPr>
              <w:t>3</w:t>
            </w:r>
          </w:p>
        </w:tc>
        <w:tc>
          <w:tcPr>
            <w:tcW w:w="6030" w:type="dxa"/>
          </w:tcPr>
          <w:p w:rsidRPr="00894407" w:rsidR="005C3384" w:rsidP="005C3384" w:rsidRDefault="005C3384" w14:paraId="308298C0" w14:textId="2D4DB5D7">
            <w:pPr>
              <w:pStyle w:val="sub1"/>
              <w:spacing w:line="240" w:lineRule="auto"/>
              <w:ind w:firstLine="0"/>
              <w:rPr>
                <w:rFonts w:ascii="Book Antiqua" w:hAnsi="Book Antiqua"/>
              </w:rPr>
            </w:pPr>
            <w:r w:rsidRPr="00C5684A">
              <w:rPr>
                <w:rFonts w:ascii="Book Antiqua" w:hAnsi="Book Antiqua"/>
              </w:rPr>
              <w:t xml:space="preserve">Net Energy Metering </w:t>
            </w:r>
          </w:p>
        </w:tc>
        <w:tc>
          <w:tcPr>
            <w:tcW w:w="2690" w:type="dxa"/>
          </w:tcPr>
          <w:p w:rsidRPr="00894407" w:rsidR="005C3384" w:rsidP="005C3384" w:rsidRDefault="005C3384" w14:paraId="1D2AC1CA" w14:textId="36188203">
            <w:pPr>
              <w:pStyle w:val="sub1"/>
              <w:spacing w:line="240" w:lineRule="auto"/>
              <w:ind w:firstLine="0"/>
              <w:rPr>
                <w:rFonts w:ascii="Book Antiqua" w:hAnsi="Book Antiqua"/>
                <w:szCs w:val="26"/>
              </w:rPr>
            </w:pPr>
            <w:r w:rsidRPr="00F3006D">
              <w:rPr>
                <w:rFonts w:ascii="Book Antiqua" w:hAnsi="Book Antiqua"/>
                <w:szCs w:val="26"/>
              </w:rPr>
              <w:t>R</w:t>
            </w:r>
            <w:r>
              <w:rPr>
                <w:rFonts w:ascii="Book Antiqua" w:hAnsi="Book Antiqua"/>
                <w:szCs w:val="26"/>
              </w:rPr>
              <w:t>.</w:t>
            </w:r>
            <w:r w:rsidRPr="00F3006D">
              <w:rPr>
                <w:rFonts w:ascii="Book Antiqua" w:hAnsi="Book Antiqua"/>
                <w:szCs w:val="26"/>
              </w:rPr>
              <w:t>20</w:t>
            </w:r>
            <w:r>
              <w:rPr>
                <w:rFonts w:ascii="Book Antiqua" w:hAnsi="Book Antiqua"/>
                <w:szCs w:val="26"/>
              </w:rPr>
              <w:t>-</w:t>
            </w:r>
            <w:r w:rsidRPr="00F3006D">
              <w:rPr>
                <w:rFonts w:ascii="Book Antiqua" w:hAnsi="Book Antiqua"/>
                <w:szCs w:val="26"/>
              </w:rPr>
              <w:t>08</w:t>
            </w:r>
            <w:r>
              <w:rPr>
                <w:rFonts w:ascii="Book Antiqua" w:hAnsi="Book Antiqua"/>
                <w:szCs w:val="26"/>
              </w:rPr>
              <w:t>-</w:t>
            </w:r>
            <w:r w:rsidRPr="00F3006D">
              <w:rPr>
                <w:rFonts w:ascii="Book Antiqua" w:hAnsi="Book Antiqua"/>
                <w:szCs w:val="26"/>
              </w:rPr>
              <w:t>020</w:t>
            </w:r>
          </w:p>
        </w:tc>
      </w:tr>
      <w:tr w:rsidR="005C3384" w:rsidTr="00002F9F" w14:paraId="7DB2DF7C" w14:textId="77777777">
        <w:tc>
          <w:tcPr>
            <w:tcW w:w="630" w:type="dxa"/>
          </w:tcPr>
          <w:p w:rsidR="005C3384" w:rsidP="005C3384" w:rsidRDefault="005C3384" w14:paraId="29A9B450" w14:textId="52D8EC1F">
            <w:pPr>
              <w:pStyle w:val="sub1"/>
              <w:spacing w:line="240" w:lineRule="auto"/>
              <w:ind w:firstLine="0"/>
              <w:rPr>
                <w:rFonts w:ascii="Book Antiqua" w:hAnsi="Book Antiqua"/>
                <w:szCs w:val="26"/>
              </w:rPr>
            </w:pPr>
            <w:r>
              <w:rPr>
                <w:rFonts w:ascii="Book Antiqua" w:hAnsi="Book Antiqua"/>
                <w:szCs w:val="26"/>
              </w:rPr>
              <w:t>4</w:t>
            </w:r>
          </w:p>
        </w:tc>
        <w:tc>
          <w:tcPr>
            <w:tcW w:w="6030" w:type="dxa"/>
          </w:tcPr>
          <w:p w:rsidRPr="00896FD9" w:rsidR="005C3384" w:rsidP="005C3384" w:rsidRDefault="005C3384" w14:paraId="6E7733EE" w14:textId="1375B5E4">
            <w:pPr>
              <w:pStyle w:val="sub1"/>
              <w:spacing w:line="240" w:lineRule="auto"/>
              <w:ind w:firstLine="0"/>
              <w:rPr>
                <w:rFonts w:ascii="Book Antiqua" w:hAnsi="Book Antiqua"/>
                <w:szCs w:val="26"/>
              </w:rPr>
            </w:pPr>
            <w:r w:rsidRPr="002E1C96">
              <w:rPr>
                <w:rFonts w:ascii="Book Antiqua" w:hAnsi="Book Antiqua"/>
                <w:szCs w:val="26"/>
              </w:rPr>
              <w:t>Self-Generation Incentive Program</w:t>
            </w:r>
          </w:p>
        </w:tc>
        <w:tc>
          <w:tcPr>
            <w:tcW w:w="2690" w:type="dxa"/>
          </w:tcPr>
          <w:p w:rsidRPr="003D113C" w:rsidR="005C3384" w:rsidP="005C3384" w:rsidRDefault="005C3384" w14:paraId="6E102D9D" w14:textId="7C20B97D">
            <w:pPr>
              <w:pStyle w:val="sub1"/>
              <w:spacing w:line="240" w:lineRule="auto"/>
              <w:ind w:firstLine="0"/>
              <w:rPr>
                <w:rFonts w:ascii="Book Antiqua" w:hAnsi="Book Antiqua"/>
                <w:szCs w:val="26"/>
              </w:rPr>
            </w:pPr>
            <w:r w:rsidRPr="000D4369">
              <w:rPr>
                <w:rFonts w:ascii="Book Antiqua" w:hAnsi="Book Antiqua"/>
                <w:szCs w:val="26"/>
              </w:rPr>
              <w:t>R</w:t>
            </w:r>
            <w:r>
              <w:rPr>
                <w:rFonts w:ascii="Book Antiqua" w:hAnsi="Book Antiqua"/>
                <w:szCs w:val="26"/>
              </w:rPr>
              <w:t>.</w:t>
            </w:r>
            <w:r w:rsidRPr="000D4369">
              <w:rPr>
                <w:rFonts w:ascii="Book Antiqua" w:hAnsi="Book Antiqua"/>
                <w:szCs w:val="26"/>
              </w:rPr>
              <w:t>20</w:t>
            </w:r>
            <w:r>
              <w:rPr>
                <w:rFonts w:ascii="Book Antiqua" w:hAnsi="Book Antiqua"/>
                <w:szCs w:val="26"/>
              </w:rPr>
              <w:t>-</w:t>
            </w:r>
            <w:r w:rsidRPr="000D4369">
              <w:rPr>
                <w:rFonts w:ascii="Book Antiqua" w:hAnsi="Book Antiqua"/>
                <w:szCs w:val="26"/>
              </w:rPr>
              <w:t>05</w:t>
            </w:r>
            <w:r>
              <w:rPr>
                <w:rFonts w:ascii="Book Antiqua" w:hAnsi="Book Antiqua"/>
                <w:szCs w:val="26"/>
              </w:rPr>
              <w:t>-</w:t>
            </w:r>
            <w:r w:rsidRPr="000D4369">
              <w:rPr>
                <w:rFonts w:ascii="Book Antiqua" w:hAnsi="Book Antiqua"/>
                <w:szCs w:val="26"/>
              </w:rPr>
              <w:t>012</w:t>
            </w:r>
          </w:p>
        </w:tc>
      </w:tr>
      <w:tr w:rsidR="005C3384" w:rsidTr="00002F9F" w14:paraId="3937AB57" w14:textId="77777777">
        <w:tc>
          <w:tcPr>
            <w:tcW w:w="630" w:type="dxa"/>
          </w:tcPr>
          <w:p w:rsidRPr="00894407" w:rsidR="005C3384" w:rsidP="005C3384" w:rsidRDefault="005C3384" w14:paraId="6590313C" w14:textId="4EDBF13D">
            <w:pPr>
              <w:pStyle w:val="sub1"/>
              <w:spacing w:line="240" w:lineRule="auto"/>
              <w:ind w:firstLine="0"/>
              <w:rPr>
                <w:rFonts w:ascii="Book Antiqua" w:hAnsi="Book Antiqua"/>
                <w:szCs w:val="26"/>
              </w:rPr>
            </w:pPr>
            <w:r>
              <w:rPr>
                <w:rFonts w:ascii="Book Antiqua" w:hAnsi="Book Antiqua"/>
                <w:szCs w:val="26"/>
              </w:rPr>
              <w:t>5</w:t>
            </w:r>
          </w:p>
        </w:tc>
        <w:tc>
          <w:tcPr>
            <w:tcW w:w="6030" w:type="dxa"/>
          </w:tcPr>
          <w:p w:rsidRPr="00A208E0" w:rsidR="005C3384" w:rsidP="005C3384" w:rsidRDefault="005C3384" w14:paraId="67BDA65B" w14:textId="7755AA24">
            <w:pPr>
              <w:pStyle w:val="sub1"/>
              <w:spacing w:line="240" w:lineRule="auto"/>
              <w:ind w:firstLine="0"/>
              <w:rPr>
                <w:rFonts w:ascii="Book Antiqua" w:hAnsi="Book Antiqua"/>
                <w:szCs w:val="26"/>
              </w:rPr>
            </w:pPr>
            <w:r w:rsidRPr="00896FD9">
              <w:rPr>
                <w:rFonts w:ascii="Book Antiqua" w:hAnsi="Book Antiqua"/>
                <w:szCs w:val="26"/>
              </w:rPr>
              <w:t>Integrated Resource Planning</w:t>
            </w:r>
          </w:p>
        </w:tc>
        <w:tc>
          <w:tcPr>
            <w:tcW w:w="2690" w:type="dxa"/>
          </w:tcPr>
          <w:p w:rsidRPr="00A101A6" w:rsidR="005C3384" w:rsidP="005C3384" w:rsidRDefault="005C3384" w14:paraId="71A3EFE9" w14:textId="381789D6">
            <w:pPr>
              <w:pStyle w:val="sub1"/>
              <w:spacing w:line="240" w:lineRule="auto"/>
              <w:ind w:firstLine="0"/>
              <w:rPr>
                <w:rFonts w:ascii="Book Antiqua" w:hAnsi="Book Antiqua"/>
                <w:szCs w:val="26"/>
              </w:rPr>
            </w:pPr>
            <w:r w:rsidRPr="003D113C">
              <w:rPr>
                <w:rFonts w:ascii="Book Antiqua" w:hAnsi="Book Antiqua"/>
                <w:szCs w:val="26"/>
              </w:rPr>
              <w:t>R.20-05-003</w:t>
            </w:r>
          </w:p>
        </w:tc>
      </w:tr>
      <w:tr w:rsidR="005C3384" w:rsidTr="00002F9F" w14:paraId="24B99609" w14:textId="77777777">
        <w:tc>
          <w:tcPr>
            <w:tcW w:w="630" w:type="dxa"/>
          </w:tcPr>
          <w:p w:rsidR="005C3384" w:rsidP="005C3384" w:rsidRDefault="005C3384" w14:paraId="69CCEE4A" w14:textId="51A8C1AB">
            <w:pPr>
              <w:pStyle w:val="sub1"/>
              <w:spacing w:line="240" w:lineRule="auto"/>
              <w:ind w:firstLine="0"/>
              <w:rPr>
                <w:rFonts w:ascii="Book Antiqua" w:hAnsi="Book Antiqua"/>
                <w:szCs w:val="26"/>
              </w:rPr>
            </w:pPr>
            <w:r>
              <w:rPr>
                <w:rFonts w:ascii="Book Antiqua" w:hAnsi="Book Antiqua"/>
                <w:szCs w:val="26"/>
              </w:rPr>
              <w:t>6</w:t>
            </w:r>
          </w:p>
        </w:tc>
        <w:tc>
          <w:tcPr>
            <w:tcW w:w="6030" w:type="dxa"/>
          </w:tcPr>
          <w:p w:rsidRPr="00D7091E" w:rsidR="005C3384" w:rsidP="005C3384" w:rsidRDefault="005C3384" w14:paraId="75DE73E8" w14:textId="3863FACA">
            <w:pPr>
              <w:pStyle w:val="sub1"/>
              <w:spacing w:line="240" w:lineRule="auto"/>
              <w:ind w:firstLine="0"/>
              <w:rPr>
                <w:rFonts w:ascii="Book Antiqua" w:hAnsi="Book Antiqua"/>
                <w:szCs w:val="26"/>
              </w:rPr>
            </w:pPr>
            <w:r w:rsidRPr="00111BDA">
              <w:rPr>
                <w:rFonts w:ascii="Book Antiqua" w:hAnsi="Book Antiqua"/>
                <w:szCs w:val="26"/>
              </w:rPr>
              <w:t>Long-Term Gas System Planning</w:t>
            </w:r>
          </w:p>
        </w:tc>
        <w:tc>
          <w:tcPr>
            <w:tcW w:w="2690" w:type="dxa"/>
          </w:tcPr>
          <w:p w:rsidRPr="002A3A8F" w:rsidR="005C3384" w:rsidP="005C3384" w:rsidRDefault="005C3384" w14:paraId="7211821D" w14:textId="0487E064">
            <w:pPr>
              <w:pStyle w:val="sub1"/>
              <w:spacing w:line="240" w:lineRule="auto"/>
              <w:ind w:firstLine="0"/>
              <w:rPr>
                <w:rFonts w:ascii="Book Antiqua" w:hAnsi="Book Antiqua"/>
                <w:szCs w:val="26"/>
              </w:rPr>
            </w:pPr>
            <w:r>
              <w:rPr>
                <w:rFonts w:ascii="Book Antiqua" w:hAnsi="Book Antiqua"/>
                <w:szCs w:val="26"/>
              </w:rPr>
              <w:t>R.20-01-007</w:t>
            </w:r>
          </w:p>
        </w:tc>
      </w:tr>
      <w:tr w:rsidR="005C3384" w:rsidTr="00002F9F" w14:paraId="69C9EF70" w14:textId="77777777">
        <w:tc>
          <w:tcPr>
            <w:tcW w:w="630" w:type="dxa"/>
          </w:tcPr>
          <w:p w:rsidR="005C3384" w:rsidP="005C3384" w:rsidRDefault="005C3384" w14:paraId="7E812271" w14:textId="64264A1F">
            <w:pPr>
              <w:pStyle w:val="sub1"/>
              <w:spacing w:line="240" w:lineRule="auto"/>
              <w:ind w:firstLine="0"/>
              <w:rPr>
                <w:rFonts w:ascii="Book Antiqua" w:hAnsi="Book Antiqua"/>
                <w:szCs w:val="26"/>
              </w:rPr>
            </w:pPr>
            <w:r>
              <w:rPr>
                <w:rFonts w:ascii="Book Antiqua" w:hAnsi="Book Antiqua"/>
                <w:szCs w:val="26"/>
              </w:rPr>
              <w:t>7</w:t>
            </w:r>
          </w:p>
        </w:tc>
        <w:tc>
          <w:tcPr>
            <w:tcW w:w="6030" w:type="dxa"/>
          </w:tcPr>
          <w:p w:rsidRPr="00A208E0" w:rsidR="005C3384" w:rsidP="005C3384" w:rsidRDefault="005C3384" w14:paraId="3B133BB1" w14:textId="761C6005">
            <w:pPr>
              <w:pStyle w:val="sub1"/>
              <w:spacing w:line="240" w:lineRule="auto"/>
              <w:ind w:firstLine="0"/>
              <w:rPr>
                <w:rFonts w:ascii="Book Antiqua" w:hAnsi="Book Antiqua"/>
                <w:szCs w:val="26"/>
              </w:rPr>
            </w:pPr>
            <w:r w:rsidRPr="00D7091E">
              <w:rPr>
                <w:rFonts w:ascii="Book Antiqua" w:hAnsi="Book Antiqua"/>
                <w:szCs w:val="26"/>
              </w:rPr>
              <w:t>Electric Program Investment Charge</w:t>
            </w:r>
          </w:p>
        </w:tc>
        <w:tc>
          <w:tcPr>
            <w:tcW w:w="2690" w:type="dxa"/>
          </w:tcPr>
          <w:p w:rsidRPr="00A101A6" w:rsidR="005C3384" w:rsidP="005C3384" w:rsidRDefault="005C3384" w14:paraId="6BE5CBD7" w14:textId="265F8D0E">
            <w:pPr>
              <w:pStyle w:val="sub1"/>
              <w:spacing w:line="240" w:lineRule="auto"/>
              <w:ind w:firstLine="0"/>
              <w:rPr>
                <w:rFonts w:ascii="Book Antiqua" w:hAnsi="Book Antiqua"/>
                <w:szCs w:val="26"/>
              </w:rPr>
            </w:pPr>
            <w:r w:rsidRPr="002A3A8F">
              <w:rPr>
                <w:rFonts w:ascii="Book Antiqua" w:hAnsi="Book Antiqua"/>
                <w:szCs w:val="26"/>
              </w:rPr>
              <w:t>R</w:t>
            </w:r>
            <w:r>
              <w:rPr>
                <w:rFonts w:ascii="Book Antiqua" w:hAnsi="Book Antiqua"/>
                <w:szCs w:val="26"/>
              </w:rPr>
              <w:t>.</w:t>
            </w:r>
            <w:r w:rsidRPr="002A3A8F">
              <w:rPr>
                <w:rFonts w:ascii="Book Antiqua" w:hAnsi="Book Antiqua"/>
                <w:szCs w:val="26"/>
              </w:rPr>
              <w:t>19</w:t>
            </w:r>
            <w:r>
              <w:rPr>
                <w:rFonts w:ascii="Book Antiqua" w:hAnsi="Book Antiqua"/>
                <w:szCs w:val="26"/>
              </w:rPr>
              <w:t>-</w:t>
            </w:r>
            <w:r w:rsidRPr="002A3A8F">
              <w:rPr>
                <w:rFonts w:ascii="Book Antiqua" w:hAnsi="Book Antiqua"/>
                <w:szCs w:val="26"/>
              </w:rPr>
              <w:t>10</w:t>
            </w:r>
            <w:r>
              <w:rPr>
                <w:rFonts w:ascii="Book Antiqua" w:hAnsi="Book Antiqua"/>
                <w:szCs w:val="26"/>
              </w:rPr>
              <w:t>-</w:t>
            </w:r>
            <w:r w:rsidRPr="002A3A8F">
              <w:rPr>
                <w:rFonts w:ascii="Book Antiqua" w:hAnsi="Book Antiqua"/>
                <w:szCs w:val="26"/>
              </w:rPr>
              <w:t>005</w:t>
            </w:r>
          </w:p>
        </w:tc>
      </w:tr>
      <w:tr w:rsidR="005C3384" w:rsidTr="00002F9F" w14:paraId="6123E00E" w14:textId="77777777">
        <w:tc>
          <w:tcPr>
            <w:tcW w:w="630" w:type="dxa"/>
          </w:tcPr>
          <w:p w:rsidRPr="00894407" w:rsidR="005C3384" w:rsidP="005C3384" w:rsidRDefault="005C3384" w14:paraId="1EA9E52C" w14:textId="25E0F527">
            <w:pPr>
              <w:pStyle w:val="sub1"/>
              <w:spacing w:line="240" w:lineRule="auto"/>
              <w:ind w:firstLine="0"/>
              <w:rPr>
                <w:rFonts w:ascii="Book Antiqua" w:hAnsi="Book Antiqua"/>
                <w:szCs w:val="26"/>
              </w:rPr>
            </w:pPr>
            <w:r>
              <w:rPr>
                <w:rFonts w:ascii="Book Antiqua" w:hAnsi="Book Antiqua"/>
                <w:szCs w:val="26"/>
              </w:rPr>
              <w:t>8</w:t>
            </w:r>
          </w:p>
        </w:tc>
        <w:tc>
          <w:tcPr>
            <w:tcW w:w="6030" w:type="dxa"/>
          </w:tcPr>
          <w:p w:rsidRPr="00757DF7" w:rsidR="005C3384" w:rsidP="005C3384" w:rsidRDefault="005C3384" w14:paraId="76C98B38" w14:textId="610FDCBC">
            <w:pPr>
              <w:pStyle w:val="sub1"/>
              <w:spacing w:line="240" w:lineRule="auto"/>
              <w:ind w:firstLine="0"/>
              <w:rPr>
                <w:rFonts w:ascii="Book Antiqua" w:hAnsi="Book Antiqua"/>
                <w:szCs w:val="26"/>
              </w:rPr>
            </w:pPr>
            <w:r w:rsidRPr="00757DF7">
              <w:rPr>
                <w:rFonts w:ascii="Book Antiqua" w:hAnsi="Book Antiqua"/>
                <w:szCs w:val="26"/>
              </w:rPr>
              <w:t>Microgrids and Resiliency</w:t>
            </w:r>
          </w:p>
        </w:tc>
        <w:tc>
          <w:tcPr>
            <w:tcW w:w="2690" w:type="dxa"/>
          </w:tcPr>
          <w:p w:rsidRPr="00894407" w:rsidR="005C3384" w:rsidP="005C3384" w:rsidRDefault="005C3384" w14:paraId="2CEED310" w14:textId="71C62CEF">
            <w:pPr>
              <w:pStyle w:val="sub1"/>
              <w:spacing w:line="240" w:lineRule="auto"/>
              <w:ind w:firstLine="0"/>
              <w:rPr>
                <w:rFonts w:ascii="Book Antiqua" w:hAnsi="Book Antiqua"/>
                <w:szCs w:val="26"/>
              </w:rPr>
            </w:pPr>
            <w:r w:rsidRPr="00A101A6">
              <w:rPr>
                <w:rFonts w:ascii="Book Antiqua" w:hAnsi="Book Antiqua"/>
                <w:szCs w:val="26"/>
              </w:rPr>
              <w:t>R</w:t>
            </w:r>
            <w:r>
              <w:rPr>
                <w:rFonts w:ascii="Book Antiqua" w:hAnsi="Book Antiqua"/>
                <w:szCs w:val="26"/>
              </w:rPr>
              <w:t>.</w:t>
            </w:r>
            <w:r w:rsidRPr="00A101A6">
              <w:rPr>
                <w:rFonts w:ascii="Book Antiqua" w:hAnsi="Book Antiqua"/>
                <w:szCs w:val="26"/>
              </w:rPr>
              <w:t>19</w:t>
            </w:r>
            <w:r>
              <w:rPr>
                <w:rFonts w:ascii="Book Antiqua" w:hAnsi="Book Antiqua"/>
                <w:szCs w:val="26"/>
              </w:rPr>
              <w:t>-</w:t>
            </w:r>
            <w:r w:rsidRPr="00A101A6">
              <w:rPr>
                <w:rFonts w:ascii="Book Antiqua" w:hAnsi="Book Antiqua"/>
                <w:szCs w:val="26"/>
              </w:rPr>
              <w:t>09</w:t>
            </w:r>
            <w:r>
              <w:rPr>
                <w:rFonts w:ascii="Book Antiqua" w:hAnsi="Book Antiqua"/>
                <w:szCs w:val="26"/>
              </w:rPr>
              <w:t>-</w:t>
            </w:r>
            <w:r w:rsidRPr="00A101A6">
              <w:rPr>
                <w:rFonts w:ascii="Book Antiqua" w:hAnsi="Book Antiqua"/>
                <w:szCs w:val="26"/>
              </w:rPr>
              <w:t>009</w:t>
            </w:r>
          </w:p>
        </w:tc>
      </w:tr>
      <w:tr w:rsidR="005C3384" w:rsidTr="00002F9F" w14:paraId="69B09F7F" w14:textId="77777777">
        <w:tc>
          <w:tcPr>
            <w:tcW w:w="630" w:type="dxa"/>
          </w:tcPr>
          <w:p w:rsidR="005C3384" w:rsidP="005C3384" w:rsidRDefault="005C3384" w14:paraId="5DCD3C40" w14:textId="53E4EF7C">
            <w:pPr>
              <w:pStyle w:val="sub1"/>
              <w:spacing w:line="240" w:lineRule="auto"/>
              <w:ind w:firstLine="0"/>
              <w:rPr>
                <w:rFonts w:ascii="Book Antiqua" w:hAnsi="Book Antiqua"/>
                <w:szCs w:val="26"/>
              </w:rPr>
            </w:pPr>
            <w:r>
              <w:rPr>
                <w:rFonts w:ascii="Book Antiqua" w:hAnsi="Book Antiqua"/>
                <w:szCs w:val="26"/>
              </w:rPr>
              <w:t>9</w:t>
            </w:r>
          </w:p>
        </w:tc>
        <w:tc>
          <w:tcPr>
            <w:tcW w:w="6030" w:type="dxa"/>
          </w:tcPr>
          <w:p w:rsidRPr="007718F6" w:rsidR="005C3384" w:rsidP="005C3384" w:rsidRDefault="005C3384" w14:paraId="258D4230" w14:textId="7B6E5262">
            <w:pPr>
              <w:pStyle w:val="sub1"/>
              <w:spacing w:line="240" w:lineRule="auto"/>
              <w:ind w:firstLine="0"/>
              <w:rPr>
                <w:rFonts w:ascii="Book Antiqua" w:hAnsi="Book Antiqua"/>
                <w:szCs w:val="26"/>
              </w:rPr>
            </w:pPr>
            <w:r>
              <w:rPr>
                <w:rFonts w:ascii="Book Antiqua" w:hAnsi="Book Antiqua"/>
                <w:szCs w:val="26"/>
              </w:rPr>
              <w:t>Direct Access</w:t>
            </w:r>
          </w:p>
        </w:tc>
        <w:tc>
          <w:tcPr>
            <w:tcW w:w="2690" w:type="dxa"/>
          </w:tcPr>
          <w:p w:rsidRPr="00DE5BC2" w:rsidR="005C3384" w:rsidP="005C3384" w:rsidRDefault="005C3384" w14:paraId="3730E43C" w14:textId="1FC43D84">
            <w:pPr>
              <w:pStyle w:val="sub1"/>
              <w:spacing w:line="240" w:lineRule="auto"/>
              <w:ind w:firstLine="0"/>
              <w:rPr>
                <w:rFonts w:ascii="Book Antiqua" w:hAnsi="Book Antiqua"/>
                <w:szCs w:val="26"/>
              </w:rPr>
            </w:pPr>
            <w:r w:rsidRPr="00490494">
              <w:rPr>
                <w:rFonts w:ascii="Book Antiqua" w:hAnsi="Book Antiqua"/>
                <w:szCs w:val="26"/>
              </w:rPr>
              <w:t>R.19-03-009</w:t>
            </w:r>
          </w:p>
        </w:tc>
      </w:tr>
      <w:tr w:rsidR="005C3384" w:rsidTr="00002F9F" w14:paraId="6986C590" w14:textId="77777777">
        <w:tc>
          <w:tcPr>
            <w:tcW w:w="630" w:type="dxa"/>
          </w:tcPr>
          <w:p w:rsidRPr="00894407" w:rsidR="005C3384" w:rsidP="005C3384" w:rsidRDefault="005C3384" w14:paraId="385771B9" w14:textId="563CDAD3">
            <w:pPr>
              <w:pStyle w:val="sub1"/>
              <w:spacing w:line="240" w:lineRule="auto"/>
              <w:ind w:firstLine="0"/>
              <w:rPr>
                <w:rFonts w:ascii="Book Antiqua" w:hAnsi="Book Antiqua"/>
                <w:szCs w:val="26"/>
              </w:rPr>
            </w:pPr>
            <w:r>
              <w:rPr>
                <w:rFonts w:ascii="Book Antiqua" w:hAnsi="Book Antiqua"/>
                <w:szCs w:val="26"/>
              </w:rPr>
              <w:t>10</w:t>
            </w:r>
          </w:p>
        </w:tc>
        <w:tc>
          <w:tcPr>
            <w:tcW w:w="6030" w:type="dxa"/>
          </w:tcPr>
          <w:p w:rsidRPr="00894407" w:rsidR="005C3384" w:rsidP="005C3384" w:rsidRDefault="005C3384" w14:paraId="0DB28A9F" w14:textId="4E571923">
            <w:pPr>
              <w:pStyle w:val="sub1"/>
              <w:spacing w:line="240" w:lineRule="auto"/>
              <w:ind w:firstLine="0"/>
              <w:rPr>
                <w:rFonts w:ascii="Book Antiqua" w:hAnsi="Book Antiqua"/>
                <w:szCs w:val="26"/>
              </w:rPr>
            </w:pPr>
            <w:r w:rsidRPr="007718F6">
              <w:rPr>
                <w:rFonts w:ascii="Book Antiqua" w:hAnsi="Book Antiqua"/>
                <w:szCs w:val="26"/>
              </w:rPr>
              <w:t>Building Decarbonization</w:t>
            </w:r>
          </w:p>
        </w:tc>
        <w:tc>
          <w:tcPr>
            <w:tcW w:w="2690" w:type="dxa"/>
          </w:tcPr>
          <w:p w:rsidRPr="00894407" w:rsidR="005C3384" w:rsidP="005C3384" w:rsidRDefault="005C3384" w14:paraId="157CA305" w14:textId="17F6389C">
            <w:pPr>
              <w:pStyle w:val="sub1"/>
              <w:spacing w:line="240" w:lineRule="auto"/>
              <w:ind w:firstLine="0"/>
              <w:rPr>
                <w:rFonts w:ascii="Book Antiqua" w:hAnsi="Book Antiqua"/>
                <w:szCs w:val="26"/>
              </w:rPr>
            </w:pPr>
            <w:r w:rsidRPr="00DE5BC2">
              <w:rPr>
                <w:rFonts w:ascii="Book Antiqua" w:hAnsi="Book Antiqua"/>
                <w:szCs w:val="26"/>
              </w:rPr>
              <w:t>R.19-01-011</w:t>
            </w:r>
          </w:p>
        </w:tc>
      </w:tr>
      <w:tr w:rsidR="005C3384" w:rsidTr="00002F9F" w14:paraId="4CEE5445" w14:textId="77777777">
        <w:tc>
          <w:tcPr>
            <w:tcW w:w="630" w:type="dxa"/>
          </w:tcPr>
          <w:p w:rsidRPr="00894407" w:rsidR="005C3384" w:rsidP="005C3384" w:rsidRDefault="005C3384" w14:paraId="4FC0BEFE" w14:textId="5B9FC327">
            <w:pPr>
              <w:pStyle w:val="sub1"/>
              <w:spacing w:line="240" w:lineRule="auto"/>
              <w:ind w:firstLine="0"/>
              <w:rPr>
                <w:rFonts w:ascii="Book Antiqua" w:hAnsi="Book Antiqua"/>
                <w:szCs w:val="26"/>
              </w:rPr>
            </w:pPr>
            <w:r>
              <w:rPr>
                <w:rFonts w:ascii="Book Antiqua" w:hAnsi="Book Antiqua"/>
                <w:szCs w:val="26"/>
              </w:rPr>
              <w:t>11</w:t>
            </w:r>
          </w:p>
        </w:tc>
        <w:tc>
          <w:tcPr>
            <w:tcW w:w="6030" w:type="dxa"/>
          </w:tcPr>
          <w:p w:rsidRPr="00757DF7" w:rsidR="005C3384" w:rsidP="005C3384" w:rsidRDefault="005C3384" w14:paraId="306BFF15" w14:textId="1D35DAE5">
            <w:pPr>
              <w:pStyle w:val="sub1"/>
              <w:spacing w:line="240" w:lineRule="auto"/>
              <w:ind w:firstLine="0"/>
              <w:rPr>
                <w:rFonts w:ascii="Book Antiqua" w:hAnsi="Book Antiqua"/>
                <w:szCs w:val="26"/>
              </w:rPr>
            </w:pPr>
            <w:r w:rsidRPr="00757DF7">
              <w:rPr>
                <w:rFonts w:ascii="Book Antiqua" w:hAnsi="Book Antiqua"/>
                <w:szCs w:val="26"/>
              </w:rPr>
              <w:t>Transportation Electrification</w:t>
            </w:r>
          </w:p>
        </w:tc>
        <w:tc>
          <w:tcPr>
            <w:tcW w:w="2690" w:type="dxa"/>
          </w:tcPr>
          <w:p w:rsidRPr="00894407" w:rsidR="005C3384" w:rsidP="005C3384" w:rsidRDefault="005C3384" w14:paraId="3A258865" w14:textId="48EFC1A1">
            <w:pPr>
              <w:pStyle w:val="sub1"/>
              <w:spacing w:line="240" w:lineRule="auto"/>
              <w:ind w:firstLine="0"/>
              <w:rPr>
                <w:rFonts w:ascii="Book Antiqua" w:hAnsi="Book Antiqua"/>
                <w:szCs w:val="26"/>
              </w:rPr>
            </w:pPr>
            <w:r w:rsidRPr="00AE04EF">
              <w:rPr>
                <w:rFonts w:ascii="Book Antiqua" w:hAnsi="Book Antiqua"/>
                <w:szCs w:val="26"/>
              </w:rPr>
              <w:t>R</w:t>
            </w:r>
            <w:r>
              <w:rPr>
                <w:rFonts w:ascii="Book Antiqua" w:hAnsi="Book Antiqua"/>
                <w:szCs w:val="26"/>
              </w:rPr>
              <w:t>.</w:t>
            </w:r>
            <w:r w:rsidRPr="00AE04EF">
              <w:rPr>
                <w:rFonts w:ascii="Book Antiqua" w:hAnsi="Book Antiqua"/>
                <w:szCs w:val="26"/>
              </w:rPr>
              <w:t>18</w:t>
            </w:r>
            <w:r>
              <w:rPr>
                <w:rFonts w:ascii="Book Antiqua" w:hAnsi="Book Antiqua"/>
                <w:szCs w:val="26"/>
              </w:rPr>
              <w:t>-</w:t>
            </w:r>
            <w:r w:rsidRPr="00AE04EF">
              <w:rPr>
                <w:rFonts w:ascii="Book Antiqua" w:hAnsi="Book Antiqua"/>
                <w:szCs w:val="26"/>
              </w:rPr>
              <w:t>12</w:t>
            </w:r>
            <w:r>
              <w:rPr>
                <w:rFonts w:ascii="Book Antiqua" w:hAnsi="Book Antiqua"/>
                <w:szCs w:val="26"/>
              </w:rPr>
              <w:t>-</w:t>
            </w:r>
            <w:r w:rsidRPr="00AE04EF">
              <w:rPr>
                <w:rFonts w:ascii="Book Antiqua" w:hAnsi="Book Antiqua"/>
                <w:szCs w:val="26"/>
              </w:rPr>
              <w:t>006</w:t>
            </w:r>
          </w:p>
        </w:tc>
      </w:tr>
      <w:tr w:rsidR="005C3384" w:rsidTr="00002F9F" w14:paraId="67294F28" w14:textId="77777777">
        <w:tc>
          <w:tcPr>
            <w:tcW w:w="630" w:type="dxa"/>
          </w:tcPr>
          <w:p w:rsidRPr="00894407" w:rsidR="005C3384" w:rsidP="005C3384" w:rsidRDefault="005C3384" w14:paraId="15EA29B3" w14:textId="19D2CA92">
            <w:pPr>
              <w:pStyle w:val="sub1"/>
              <w:spacing w:line="240" w:lineRule="auto"/>
              <w:ind w:firstLine="0"/>
              <w:rPr>
                <w:rFonts w:ascii="Book Antiqua" w:hAnsi="Book Antiqua"/>
                <w:szCs w:val="26"/>
              </w:rPr>
            </w:pPr>
            <w:r>
              <w:rPr>
                <w:rFonts w:ascii="Book Antiqua" w:hAnsi="Book Antiqua"/>
                <w:szCs w:val="26"/>
              </w:rPr>
              <w:t>12</w:t>
            </w:r>
          </w:p>
        </w:tc>
        <w:tc>
          <w:tcPr>
            <w:tcW w:w="6030" w:type="dxa"/>
          </w:tcPr>
          <w:p w:rsidRPr="00A86187" w:rsidR="005C3384" w:rsidP="005C3384" w:rsidRDefault="005C3384" w14:paraId="534E879A" w14:textId="6A3D189D">
            <w:pPr>
              <w:pStyle w:val="sub1"/>
              <w:spacing w:line="240" w:lineRule="auto"/>
              <w:ind w:firstLine="0"/>
              <w:rPr>
                <w:rFonts w:ascii="Book Antiqua" w:hAnsi="Book Antiqua"/>
                <w:szCs w:val="26"/>
              </w:rPr>
            </w:pPr>
            <w:r w:rsidRPr="00BD5E79">
              <w:rPr>
                <w:rFonts w:ascii="Book Antiqua" w:hAnsi="Book Antiqua"/>
                <w:szCs w:val="26"/>
              </w:rPr>
              <w:t xml:space="preserve">De-Energization of Power Lines in Dangerous Conditions </w:t>
            </w:r>
          </w:p>
        </w:tc>
        <w:tc>
          <w:tcPr>
            <w:tcW w:w="2690" w:type="dxa"/>
          </w:tcPr>
          <w:p w:rsidRPr="00AE04EF" w:rsidR="005C3384" w:rsidP="005C3384" w:rsidRDefault="005C3384" w14:paraId="06B4F50B" w14:textId="5DEEA0F0">
            <w:pPr>
              <w:pStyle w:val="sub1"/>
              <w:spacing w:line="240" w:lineRule="auto"/>
              <w:ind w:firstLine="0"/>
              <w:rPr>
                <w:rFonts w:ascii="Book Antiqua" w:hAnsi="Book Antiqua"/>
                <w:szCs w:val="26"/>
              </w:rPr>
            </w:pPr>
            <w:r w:rsidRPr="00DD1AA8">
              <w:rPr>
                <w:rFonts w:ascii="Book Antiqua" w:hAnsi="Book Antiqua"/>
                <w:szCs w:val="26"/>
              </w:rPr>
              <w:t>R.18-12-005</w:t>
            </w:r>
          </w:p>
        </w:tc>
      </w:tr>
      <w:tr w:rsidR="005C3384" w:rsidTr="00002F9F" w14:paraId="5257D7EB" w14:textId="77777777">
        <w:tc>
          <w:tcPr>
            <w:tcW w:w="630" w:type="dxa"/>
          </w:tcPr>
          <w:p w:rsidR="005C3384" w:rsidP="005C3384" w:rsidRDefault="005C3384" w14:paraId="45FD9FED" w14:textId="36619F92">
            <w:pPr>
              <w:pStyle w:val="sub1"/>
              <w:spacing w:line="240" w:lineRule="auto"/>
              <w:ind w:firstLine="0"/>
              <w:rPr>
                <w:rFonts w:ascii="Book Antiqua" w:hAnsi="Book Antiqua"/>
              </w:rPr>
            </w:pPr>
            <w:r>
              <w:rPr>
                <w:rFonts w:ascii="Book Antiqua" w:hAnsi="Book Antiqua"/>
                <w:szCs w:val="26"/>
              </w:rPr>
              <w:t>13</w:t>
            </w:r>
          </w:p>
        </w:tc>
        <w:tc>
          <w:tcPr>
            <w:tcW w:w="6030" w:type="dxa"/>
          </w:tcPr>
          <w:p w:rsidR="005C3384" w:rsidP="005C3384" w:rsidRDefault="005C3384" w14:paraId="22B3F840" w14:textId="463DD5FE">
            <w:pPr>
              <w:pStyle w:val="sub1"/>
              <w:spacing w:line="240" w:lineRule="auto"/>
              <w:ind w:firstLine="0"/>
              <w:rPr>
                <w:rFonts w:ascii="Book Antiqua" w:hAnsi="Book Antiqua"/>
              </w:rPr>
            </w:pPr>
            <w:r>
              <w:rPr>
                <w:rFonts w:ascii="Book Antiqua" w:hAnsi="Book Antiqua"/>
              </w:rPr>
              <w:t>Affordability of Utility Service</w:t>
            </w:r>
          </w:p>
        </w:tc>
        <w:tc>
          <w:tcPr>
            <w:tcW w:w="2690" w:type="dxa"/>
          </w:tcPr>
          <w:p w:rsidR="005C3384" w:rsidP="005C3384" w:rsidRDefault="005C3384" w14:paraId="0ED8C520" w14:textId="08E8E226">
            <w:pPr>
              <w:pStyle w:val="sub1"/>
              <w:spacing w:line="240" w:lineRule="auto"/>
              <w:ind w:firstLine="0"/>
              <w:rPr>
                <w:rFonts w:ascii="Book Antiqua" w:hAnsi="Book Antiqua"/>
              </w:rPr>
            </w:pPr>
            <w:r>
              <w:rPr>
                <w:rFonts w:ascii="Book Antiqua" w:hAnsi="Book Antiqua"/>
              </w:rPr>
              <w:t>R.18-07-006</w:t>
            </w:r>
          </w:p>
        </w:tc>
      </w:tr>
      <w:tr w:rsidR="005C3384" w:rsidTr="00002F9F" w14:paraId="72C4905A" w14:textId="77777777">
        <w:tc>
          <w:tcPr>
            <w:tcW w:w="630" w:type="dxa"/>
          </w:tcPr>
          <w:p w:rsidRPr="00894407" w:rsidR="005C3384" w:rsidP="005C3384" w:rsidRDefault="005C3384" w14:paraId="3A804B29" w14:textId="047C71E6">
            <w:pPr>
              <w:pStyle w:val="sub1"/>
              <w:spacing w:line="240" w:lineRule="auto"/>
              <w:ind w:firstLine="0"/>
              <w:rPr>
                <w:rFonts w:ascii="Book Antiqua" w:hAnsi="Book Antiqua"/>
                <w:szCs w:val="26"/>
              </w:rPr>
            </w:pPr>
            <w:r>
              <w:rPr>
                <w:rFonts w:ascii="Book Antiqua" w:hAnsi="Book Antiqua"/>
                <w:szCs w:val="26"/>
              </w:rPr>
              <w:t>14</w:t>
            </w:r>
          </w:p>
        </w:tc>
        <w:tc>
          <w:tcPr>
            <w:tcW w:w="6030" w:type="dxa"/>
          </w:tcPr>
          <w:p w:rsidRPr="00A86187" w:rsidR="005C3384" w:rsidP="005C3384" w:rsidRDefault="005C3384" w14:paraId="66D0338B" w14:textId="44E63340">
            <w:pPr>
              <w:pStyle w:val="sub1"/>
              <w:spacing w:line="240" w:lineRule="auto"/>
              <w:ind w:firstLine="0"/>
              <w:rPr>
                <w:rFonts w:ascii="Book Antiqua" w:hAnsi="Book Antiqua"/>
                <w:szCs w:val="26"/>
              </w:rPr>
            </w:pPr>
            <w:r w:rsidRPr="00836DBB">
              <w:rPr>
                <w:rFonts w:ascii="Book Antiqua" w:hAnsi="Book Antiqua"/>
                <w:szCs w:val="26"/>
              </w:rPr>
              <w:t>Wildfire Mitigation Plans</w:t>
            </w:r>
          </w:p>
        </w:tc>
        <w:tc>
          <w:tcPr>
            <w:tcW w:w="2690" w:type="dxa"/>
          </w:tcPr>
          <w:p w:rsidRPr="00AE04EF" w:rsidR="005C3384" w:rsidP="005C3384" w:rsidRDefault="005C3384" w14:paraId="5C56388E" w14:textId="33650B05">
            <w:pPr>
              <w:pStyle w:val="sub1"/>
              <w:spacing w:line="240" w:lineRule="auto"/>
              <w:ind w:firstLine="0"/>
              <w:rPr>
                <w:rFonts w:ascii="Book Antiqua" w:hAnsi="Book Antiqua"/>
                <w:szCs w:val="26"/>
              </w:rPr>
            </w:pPr>
            <w:r w:rsidRPr="00907677">
              <w:rPr>
                <w:rFonts w:ascii="Book Antiqua" w:hAnsi="Book Antiqua"/>
                <w:szCs w:val="26"/>
              </w:rPr>
              <w:t>R.18-10-007</w:t>
            </w:r>
          </w:p>
        </w:tc>
      </w:tr>
      <w:tr w:rsidR="005C3384" w:rsidTr="00002F9F" w14:paraId="0D1B0BA5" w14:textId="77777777">
        <w:tc>
          <w:tcPr>
            <w:tcW w:w="630" w:type="dxa"/>
          </w:tcPr>
          <w:p w:rsidR="005C3384" w:rsidP="005C3384" w:rsidRDefault="005C3384" w14:paraId="77ACB6B8" w14:textId="2D2AB9CF">
            <w:pPr>
              <w:pStyle w:val="sub1"/>
              <w:spacing w:line="240" w:lineRule="auto"/>
              <w:ind w:firstLine="0"/>
              <w:rPr>
                <w:rFonts w:ascii="Book Antiqua" w:hAnsi="Book Antiqua"/>
                <w:szCs w:val="26"/>
              </w:rPr>
            </w:pPr>
            <w:r>
              <w:rPr>
                <w:rFonts w:ascii="Book Antiqua" w:hAnsi="Book Antiqua"/>
                <w:szCs w:val="26"/>
              </w:rPr>
              <w:t>15</w:t>
            </w:r>
          </w:p>
        </w:tc>
        <w:tc>
          <w:tcPr>
            <w:tcW w:w="6030" w:type="dxa"/>
          </w:tcPr>
          <w:p w:rsidR="005C3384" w:rsidP="005C3384" w:rsidRDefault="005C3384" w14:paraId="37EAA9C7" w14:textId="3EAEB7C0">
            <w:pPr>
              <w:pStyle w:val="sub1"/>
              <w:spacing w:line="240" w:lineRule="auto"/>
              <w:ind w:firstLine="0"/>
              <w:rPr>
                <w:rFonts w:ascii="Book Antiqua" w:hAnsi="Book Antiqua"/>
                <w:szCs w:val="26"/>
              </w:rPr>
            </w:pPr>
            <w:r>
              <w:rPr>
                <w:rFonts w:ascii="Book Antiqua" w:hAnsi="Book Antiqua"/>
                <w:szCs w:val="26"/>
              </w:rPr>
              <w:t>Click-Through Authorization Process (Demand Response)</w:t>
            </w:r>
          </w:p>
        </w:tc>
        <w:tc>
          <w:tcPr>
            <w:tcW w:w="2690" w:type="dxa"/>
          </w:tcPr>
          <w:p w:rsidRPr="00C521DF" w:rsidR="005C3384" w:rsidP="005C3384" w:rsidRDefault="005C3384" w14:paraId="408017BA" w14:textId="4AC3C953">
            <w:pPr>
              <w:pStyle w:val="sub1"/>
              <w:spacing w:line="240" w:lineRule="auto"/>
              <w:ind w:firstLine="0"/>
              <w:rPr>
                <w:rFonts w:ascii="Book Antiqua" w:hAnsi="Book Antiqua"/>
                <w:szCs w:val="26"/>
              </w:rPr>
            </w:pPr>
            <w:r w:rsidRPr="00DB6AB2">
              <w:rPr>
                <w:rFonts w:ascii="Book Antiqua" w:hAnsi="Book Antiqua"/>
                <w:szCs w:val="26"/>
              </w:rPr>
              <w:t>A.18-11-015, et. al</w:t>
            </w:r>
          </w:p>
        </w:tc>
      </w:tr>
      <w:tr w:rsidR="005C3384" w:rsidTr="00002F9F" w14:paraId="50108ABB" w14:textId="77777777">
        <w:tc>
          <w:tcPr>
            <w:tcW w:w="630" w:type="dxa"/>
          </w:tcPr>
          <w:p w:rsidRPr="00894407" w:rsidR="005C3384" w:rsidP="005C3384" w:rsidRDefault="005C3384" w14:paraId="6E23C324" w14:textId="00FFC5EF">
            <w:pPr>
              <w:pStyle w:val="sub1"/>
              <w:spacing w:line="240" w:lineRule="auto"/>
              <w:ind w:firstLine="0"/>
              <w:rPr>
                <w:rFonts w:ascii="Book Antiqua" w:hAnsi="Book Antiqua"/>
                <w:szCs w:val="26"/>
              </w:rPr>
            </w:pPr>
            <w:r>
              <w:rPr>
                <w:rFonts w:ascii="Book Antiqua" w:hAnsi="Book Antiqua"/>
                <w:szCs w:val="26"/>
              </w:rPr>
              <w:t>16</w:t>
            </w:r>
          </w:p>
        </w:tc>
        <w:tc>
          <w:tcPr>
            <w:tcW w:w="6030" w:type="dxa"/>
          </w:tcPr>
          <w:p w:rsidRPr="00894407" w:rsidR="005C3384" w:rsidP="005C3384" w:rsidRDefault="005C3384" w14:paraId="6D022161" w14:textId="102E9139">
            <w:pPr>
              <w:pStyle w:val="sub1"/>
              <w:spacing w:line="240" w:lineRule="auto"/>
              <w:ind w:firstLine="0"/>
              <w:rPr>
                <w:rFonts w:ascii="Book Antiqua" w:hAnsi="Book Antiqua"/>
                <w:szCs w:val="26"/>
              </w:rPr>
            </w:pPr>
            <w:r>
              <w:rPr>
                <w:rFonts w:ascii="Book Antiqua" w:hAnsi="Book Antiqua"/>
                <w:szCs w:val="26"/>
              </w:rPr>
              <w:t>Climate Adaptation</w:t>
            </w:r>
          </w:p>
        </w:tc>
        <w:tc>
          <w:tcPr>
            <w:tcW w:w="2690" w:type="dxa"/>
          </w:tcPr>
          <w:p w:rsidRPr="00894407" w:rsidR="005C3384" w:rsidP="005C3384" w:rsidRDefault="005C3384" w14:paraId="05C77643" w14:textId="660AFA0F">
            <w:pPr>
              <w:pStyle w:val="sub1"/>
              <w:spacing w:line="240" w:lineRule="auto"/>
              <w:ind w:firstLine="0"/>
              <w:rPr>
                <w:rFonts w:ascii="Book Antiqua" w:hAnsi="Book Antiqua"/>
                <w:szCs w:val="26"/>
              </w:rPr>
            </w:pPr>
            <w:r w:rsidRPr="00C521DF">
              <w:rPr>
                <w:rFonts w:ascii="Book Antiqua" w:hAnsi="Book Antiqua"/>
                <w:szCs w:val="26"/>
              </w:rPr>
              <w:t>R</w:t>
            </w:r>
            <w:r>
              <w:rPr>
                <w:rFonts w:ascii="Book Antiqua" w:hAnsi="Book Antiqua"/>
                <w:szCs w:val="26"/>
              </w:rPr>
              <w:t>.</w:t>
            </w:r>
            <w:r w:rsidRPr="00C521DF">
              <w:rPr>
                <w:rFonts w:ascii="Book Antiqua" w:hAnsi="Book Antiqua"/>
                <w:szCs w:val="26"/>
              </w:rPr>
              <w:t>18</w:t>
            </w:r>
            <w:r>
              <w:rPr>
                <w:rFonts w:ascii="Book Antiqua" w:hAnsi="Book Antiqua"/>
                <w:szCs w:val="26"/>
              </w:rPr>
              <w:t>-</w:t>
            </w:r>
            <w:r w:rsidRPr="00C521DF">
              <w:rPr>
                <w:rFonts w:ascii="Book Antiqua" w:hAnsi="Book Antiqua"/>
                <w:szCs w:val="26"/>
              </w:rPr>
              <w:t>04</w:t>
            </w:r>
            <w:r>
              <w:rPr>
                <w:rFonts w:ascii="Book Antiqua" w:hAnsi="Book Antiqua"/>
                <w:szCs w:val="26"/>
              </w:rPr>
              <w:t>-</w:t>
            </w:r>
            <w:r w:rsidRPr="00C521DF">
              <w:rPr>
                <w:rFonts w:ascii="Book Antiqua" w:hAnsi="Book Antiqua"/>
                <w:szCs w:val="26"/>
              </w:rPr>
              <w:t>019</w:t>
            </w:r>
          </w:p>
        </w:tc>
      </w:tr>
      <w:tr w:rsidR="005C3384" w:rsidTr="00002F9F" w14:paraId="21C69EAA" w14:textId="77777777">
        <w:tc>
          <w:tcPr>
            <w:tcW w:w="630" w:type="dxa"/>
          </w:tcPr>
          <w:p w:rsidRPr="00894407" w:rsidR="005C3384" w:rsidP="005C3384" w:rsidRDefault="005C3384" w14:paraId="22A46E58" w14:textId="49C0A38E">
            <w:pPr>
              <w:pStyle w:val="sub1"/>
              <w:spacing w:line="240" w:lineRule="auto"/>
              <w:ind w:firstLine="0"/>
              <w:rPr>
                <w:rFonts w:ascii="Book Antiqua" w:hAnsi="Book Antiqua"/>
                <w:szCs w:val="26"/>
              </w:rPr>
            </w:pPr>
            <w:r>
              <w:rPr>
                <w:rFonts w:ascii="Book Antiqua" w:hAnsi="Book Antiqua"/>
                <w:szCs w:val="26"/>
              </w:rPr>
              <w:t>17</w:t>
            </w:r>
          </w:p>
        </w:tc>
        <w:tc>
          <w:tcPr>
            <w:tcW w:w="6030" w:type="dxa"/>
          </w:tcPr>
          <w:p w:rsidRPr="00757DF7" w:rsidR="005C3384" w:rsidP="005C3384" w:rsidRDefault="005C3384" w14:paraId="1929F818" w14:textId="38904DE6">
            <w:pPr>
              <w:pStyle w:val="sub1"/>
              <w:spacing w:line="240" w:lineRule="auto"/>
              <w:ind w:firstLine="0"/>
              <w:rPr>
                <w:rFonts w:ascii="Book Antiqua" w:hAnsi="Book Antiqua"/>
                <w:szCs w:val="26"/>
              </w:rPr>
            </w:pPr>
            <w:r w:rsidRPr="00757DF7">
              <w:rPr>
                <w:rFonts w:ascii="Book Antiqua" w:hAnsi="Book Antiqua"/>
                <w:szCs w:val="26"/>
              </w:rPr>
              <w:t>Streamlining Interconnection of Distributed Energy Resources and Improvements to Rule 21</w:t>
            </w:r>
          </w:p>
        </w:tc>
        <w:tc>
          <w:tcPr>
            <w:tcW w:w="2690" w:type="dxa"/>
          </w:tcPr>
          <w:p w:rsidRPr="00894407" w:rsidR="005C3384" w:rsidP="005C3384" w:rsidRDefault="005C3384" w14:paraId="7A1F6730" w14:textId="2B99A709">
            <w:pPr>
              <w:pStyle w:val="sub1"/>
              <w:spacing w:line="240" w:lineRule="auto"/>
              <w:ind w:firstLine="0"/>
              <w:rPr>
                <w:rFonts w:ascii="Book Antiqua" w:hAnsi="Book Antiqua"/>
                <w:szCs w:val="26"/>
              </w:rPr>
            </w:pPr>
            <w:r w:rsidRPr="00C62030">
              <w:rPr>
                <w:rFonts w:ascii="Book Antiqua" w:hAnsi="Book Antiqua"/>
                <w:szCs w:val="26"/>
              </w:rPr>
              <w:t>R.17-07-007</w:t>
            </w:r>
          </w:p>
        </w:tc>
      </w:tr>
      <w:tr w:rsidR="005C3384" w:rsidTr="00002F9F" w14:paraId="46903F1D" w14:textId="77777777">
        <w:tc>
          <w:tcPr>
            <w:tcW w:w="630" w:type="dxa"/>
          </w:tcPr>
          <w:p w:rsidR="005C3384" w:rsidP="005C3384" w:rsidRDefault="005C3384" w14:paraId="04013835" w14:textId="47954186">
            <w:pPr>
              <w:pStyle w:val="sub1"/>
              <w:spacing w:line="240" w:lineRule="auto"/>
              <w:ind w:firstLine="0"/>
              <w:rPr>
                <w:rFonts w:ascii="Book Antiqua" w:hAnsi="Book Antiqua"/>
                <w:szCs w:val="26"/>
              </w:rPr>
            </w:pPr>
            <w:r>
              <w:rPr>
                <w:rFonts w:ascii="Book Antiqua" w:hAnsi="Book Antiqua"/>
                <w:szCs w:val="26"/>
              </w:rPr>
              <w:t>18</w:t>
            </w:r>
          </w:p>
        </w:tc>
        <w:tc>
          <w:tcPr>
            <w:tcW w:w="6030" w:type="dxa"/>
          </w:tcPr>
          <w:p w:rsidRPr="00AA7F23" w:rsidR="005C3384" w:rsidP="005C3384" w:rsidRDefault="005C3384" w14:paraId="3DD5ED5F" w14:textId="6608E9FB">
            <w:pPr>
              <w:pStyle w:val="sub1"/>
              <w:spacing w:line="240" w:lineRule="auto"/>
              <w:ind w:firstLine="0"/>
              <w:rPr>
                <w:rFonts w:ascii="Book Antiqua" w:hAnsi="Book Antiqua"/>
                <w:szCs w:val="26"/>
              </w:rPr>
            </w:pPr>
            <w:r w:rsidRPr="00C42244">
              <w:rPr>
                <w:rFonts w:ascii="Book Antiqua" w:hAnsi="Book Antiqua"/>
                <w:szCs w:val="26"/>
              </w:rPr>
              <w:t>Electricity Integrated Resource Planning Framework and Long-Term Procurement Planning Requirements</w:t>
            </w:r>
            <w:r>
              <w:rPr>
                <w:rFonts w:ascii="Book Antiqua" w:hAnsi="Book Antiqua"/>
                <w:szCs w:val="26"/>
              </w:rPr>
              <w:t xml:space="preserve"> Refinement</w:t>
            </w:r>
          </w:p>
        </w:tc>
        <w:tc>
          <w:tcPr>
            <w:tcW w:w="2690" w:type="dxa"/>
          </w:tcPr>
          <w:p w:rsidR="005C3384" w:rsidP="005C3384" w:rsidRDefault="005C3384" w14:paraId="53001E1E" w14:textId="20CDF241">
            <w:pPr>
              <w:pStyle w:val="sub1"/>
              <w:spacing w:line="240" w:lineRule="auto"/>
              <w:ind w:firstLine="0"/>
              <w:rPr>
                <w:rFonts w:ascii="Book Antiqua" w:hAnsi="Book Antiqua"/>
                <w:szCs w:val="26"/>
              </w:rPr>
            </w:pPr>
            <w:r>
              <w:rPr>
                <w:rFonts w:ascii="Book Antiqua" w:hAnsi="Book Antiqua"/>
                <w:szCs w:val="26"/>
              </w:rPr>
              <w:t>R.16-02-007</w:t>
            </w:r>
          </w:p>
        </w:tc>
      </w:tr>
      <w:tr w:rsidR="005C3384" w:rsidTr="00002F9F" w14:paraId="18D44172" w14:textId="77777777">
        <w:tc>
          <w:tcPr>
            <w:tcW w:w="630" w:type="dxa"/>
          </w:tcPr>
          <w:p w:rsidR="005C3384" w:rsidP="005C3384" w:rsidRDefault="005C3384" w14:paraId="2029A660" w14:textId="3F362C5E">
            <w:pPr>
              <w:pStyle w:val="sub1"/>
              <w:spacing w:line="240" w:lineRule="auto"/>
              <w:ind w:firstLine="0"/>
              <w:rPr>
                <w:rFonts w:ascii="Book Antiqua" w:hAnsi="Book Antiqua"/>
                <w:szCs w:val="26"/>
              </w:rPr>
            </w:pPr>
            <w:r>
              <w:rPr>
                <w:rFonts w:ascii="Book Antiqua" w:hAnsi="Book Antiqua"/>
                <w:szCs w:val="26"/>
              </w:rPr>
              <w:t>19</w:t>
            </w:r>
          </w:p>
        </w:tc>
        <w:tc>
          <w:tcPr>
            <w:tcW w:w="6030" w:type="dxa"/>
          </w:tcPr>
          <w:p w:rsidRPr="00A94CA5" w:rsidR="005C3384" w:rsidP="005C3384" w:rsidRDefault="005C3384" w14:paraId="78E06B51" w14:textId="728696B9">
            <w:pPr>
              <w:pStyle w:val="sub1"/>
              <w:spacing w:line="240" w:lineRule="auto"/>
              <w:ind w:firstLine="0"/>
              <w:rPr>
                <w:rFonts w:ascii="Book Antiqua" w:hAnsi="Book Antiqua"/>
                <w:szCs w:val="26"/>
              </w:rPr>
            </w:pPr>
            <w:r w:rsidRPr="00AA7F23">
              <w:rPr>
                <w:rFonts w:ascii="Book Antiqua" w:hAnsi="Book Antiqua"/>
                <w:szCs w:val="26"/>
              </w:rPr>
              <w:t>Energy Savings</w:t>
            </w:r>
            <w:r>
              <w:rPr>
                <w:rFonts w:ascii="Book Antiqua" w:hAnsi="Book Antiqua"/>
                <w:szCs w:val="26"/>
              </w:rPr>
              <w:t xml:space="preserve"> </w:t>
            </w:r>
            <w:r w:rsidRPr="00AA7F23">
              <w:rPr>
                <w:rFonts w:ascii="Book Antiqua" w:hAnsi="Book Antiqua"/>
                <w:szCs w:val="26"/>
              </w:rPr>
              <w:t>Assistance and California Alternate</w:t>
            </w:r>
            <w:r>
              <w:rPr>
                <w:rFonts w:ascii="Book Antiqua" w:hAnsi="Book Antiqua"/>
                <w:szCs w:val="26"/>
              </w:rPr>
              <w:t xml:space="preserve"> </w:t>
            </w:r>
            <w:r w:rsidRPr="00AA7F23">
              <w:rPr>
                <w:rFonts w:ascii="Book Antiqua" w:hAnsi="Book Antiqua"/>
                <w:szCs w:val="26"/>
              </w:rPr>
              <w:t>Rates for Energy Programs</w:t>
            </w:r>
          </w:p>
        </w:tc>
        <w:tc>
          <w:tcPr>
            <w:tcW w:w="2690" w:type="dxa"/>
          </w:tcPr>
          <w:p w:rsidRPr="00C62030" w:rsidR="005C3384" w:rsidP="005C3384" w:rsidRDefault="005C3384" w14:paraId="5481F657" w14:textId="6B615757">
            <w:pPr>
              <w:pStyle w:val="sub1"/>
              <w:spacing w:line="240" w:lineRule="auto"/>
              <w:ind w:firstLine="0"/>
              <w:rPr>
                <w:rFonts w:ascii="Book Antiqua" w:hAnsi="Book Antiqua"/>
              </w:rPr>
            </w:pPr>
            <w:r w:rsidRPr="30F29274">
              <w:rPr>
                <w:rFonts w:ascii="Book Antiqua" w:hAnsi="Book Antiqua"/>
              </w:rPr>
              <w:t>A.14-11-007</w:t>
            </w:r>
            <w:r w:rsidRPr="30F29274" w:rsidR="37C6B038">
              <w:rPr>
                <w:rFonts w:ascii="Book Antiqua" w:hAnsi="Book Antiqua"/>
              </w:rPr>
              <w:t>, et al.</w:t>
            </w:r>
          </w:p>
        </w:tc>
      </w:tr>
      <w:tr w:rsidR="005C3384" w:rsidTr="00002F9F" w14:paraId="5650A60C" w14:textId="77777777">
        <w:tc>
          <w:tcPr>
            <w:tcW w:w="630" w:type="dxa"/>
          </w:tcPr>
          <w:p w:rsidRPr="00894407" w:rsidR="005C3384" w:rsidP="005C3384" w:rsidRDefault="005C3384" w14:paraId="75663BB3" w14:textId="64B6FA65">
            <w:pPr>
              <w:pStyle w:val="sub1"/>
              <w:spacing w:line="240" w:lineRule="auto"/>
              <w:ind w:firstLine="0"/>
              <w:rPr>
                <w:rFonts w:ascii="Book Antiqua" w:hAnsi="Book Antiqua"/>
                <w:szCs w:val="26"/>
              </w:rPr>
            </w:pPr>
            <w:r>
              <w:rPr>
                <w:rFonts w:ascii="Book Antiqua" w:hAnsi="Book Antiqua"/>
                <w:szCs w:val="26"/>
              </w:rPr>
              <w:t>20</w:t>
            </w:r>
          </w:p>
        </w:tc>
        <w:tc>
          <w:tcPr>
            <w:tcW w:w="6030" w:type="dxa"/>
          </w:tcPr>
          <w:p w:rsidRPr="00894407" w:rsidR="005C3384" w:rsidP="005C3384" w:rsidRDefault="005C3384" w14:paraId="6E0D3E2E" w14:textId="1073D109">
            <w:pPr>
              <w:pStyle w:val="sub1"/>
              <w:spacing w:line="240" w:lineRule="auto"/>
              <w:ind w:firstLine="0"/>
              <w:rPr>
                <w:rFonts w:ascii="Book Antiqua" w:hAnsi="Book Antiqua"/>
                <w:szCs w:val="26"/>
              </w:rPr>
            </w:pPr>
            <w:r w:rsidRPr="00907182">
              <w:rPr>
                <w:rFonts w:ascii="Book Antiqua" w:hAnsi="Book Antiqua"/>
                <w:szCs w:val="26"/>
              </w:rPr>
              <w:t xml:space="preserve">Integrated Distributed Energy Resources  </w:t>
            </w:r>
          </w:p>
        </w:tc>
        <w:tc>
          <w:tcPr>
            <w:tcW w:w="2690" w:type="dxa"/>
          </w:tcPr>
          <w:p w:rsidRPr="00894407" w:rsidR="005C3384" w:rsidP="005C3384" w:rsidRDefault="005C3384" w14:paraId="0D176A2B" w14:textId="611C9C7D">
            <w:pPr>
              <w:pStyle w:val="sub1"/>
              <w:spacing w:line="240" w:lineRule="auto"/>
              <w:ind w:firstLine="0"/>
              <w:rPr>
                <w:rFonts w:ascii="Book Antiqua" w:hAnsi="Book Antiqua"/>
                <w:szCs w:val="26"/>
              </w:rPr>
            </w:pPr>
            <w:r w:rsidRPr="00912302">
              <w:rPr>
                <w:rFonts w:ascii="Book Antiqua" w:hAnsi="Book Antiqua"/>
                <w:szCs w:val="26"/>
              </w:rPr>
              <w:t>R.14</w:t>
            </w:r>
            <w:r>
              <w:rPr>
                <w:rFonts w:ascii="Book Antiqua" w:hAnsi="Book Antiqua"/>
                <w:szCs w:val="26"/>
              </w:rPr>
              <w:t>-</w:t>
            </w:r>
            <w:r w:rsidRPr="00912302">
              <w:rPr>
                <w:rFonts w:ascii="Book Antiqua" w:hAnsi="Book Antiqua"/>
                <w:szCs w:val="26"/>
              </w:rPr>
              <w:t>10</w:t>
            </w:r>
            <w:r>
              <w:rPr>
                <w:rFonts w:ascii="Book Antiqua" w:hAnsi="Book Antiqua"/>
                <w:szCs w:val="26"/>
              </w:rPr>
              <w:t>-</w:t>
            </w:r>
            <w:r w:rsidRPr="00912302">
              <w:rPr>
                <w:rFonts w:ascii="Book Antiqua" w:hAnsi="Book Antiqua"/>
                <w:szCs w:val="26"/>
              </w:rPr>
              <w:t>003</w:t>
            </w:r>
          </w:p>
        </w:tc>
      </w:tr>
      <w:tr w:rsidR="005C3384" w:rsidTr="00002F9F" w14:paraId="763EE1CF" w14:textId="77777777">
        <w:tc>
          <w:tcPr>
            <w:tcW w:w="630" w:type="dxa"/>
          </w:tcPr>
          <w:p w:rsidRPr="00894407" w:rsidR="005C3384" w:rsidP="005C3384" w:rsidRDefault="005C3384" w14:paraId="6EFEFD90" w14:textId="4E516DA9">
            <w:pPr>
              <w:pStyle w:val="sub1"/>
              <w:spacing w:line="240" w:lineRule="auto"/>
              <w:ind w:firstLine="0"/>
              <w:rPr>
                <w:rFonts w:ascii="Book Antiqua" w:hAnsi="Book Antiqua"/>
                <w:szCs w:val="26"/>
              </w:rPr>
            </w:pPr>
            <w:r>
              <w:rPr>
                <w:rFonts w:ascii="Book Antiqua" w:hAnsi="Book Antiqua"/>
                <w:szCs w:val="26"/>
              </w:rPr>
              <w:t>21</w:t>
            </w:r>
          </w:p>
        </w:tc>
        <w:tc>
          <w:tcPr>
            <w:tcW w:w="6030" w:type="dxa"/>
          </w:tcPr>
          <w:p w:rsidRPr="00894407" w:rsidR="005C3384" w:rsidP="005C3384" w:rsidRDefault="005C3384" w14:paraId="47526A09" w14:textId="0D8A9189">
            <w:pPr>
              <w:pStyle w:val="sub1"/>
              <w:spacing w:line="240" w:lineRule="auto"/>
              <w:ind w:firstLine="0"/>
              <w:rPr>
                <w:rFonts w:ascii="Book Antiqua" w:hAnsi="Book Antiqua"/>
                <w:szCs w:val="26"/>
              </w:rPr>
            </w:pPr>
            <w:r w:rsidRPr="00143325">
              <w:rPr>
                <w:rFonts w:ascii="Book Antiqua" w:hAnsi="Book Antiqua"/>
                <w:szCs w:val="26"/>
              </w:rPr>
              <w:t>Distribution Resource</w:t>
            </w:r>
            <w:r>
              <w:rPr>
                <w:rFonts w:ascii="Book Antiqua" w:hAnsi="Book Antiqua"/>
                <w:szCs w:val="26"/>
              </w:rPr>
              <w:t>s</w:t>
            </w:r>
            <w:r w:rsidRPr="00143325">
              <w:rPr>
                <w:rFonts w:ascii="Book Antiqua" w:hAnsi="Book Antiqua"/>
                <w:szCs w:val="26"/>
              </w:rPr>
              <w:t xml:space="preserve"> Plan</w:t>
            </w:r>
            <w:r>
              <w:rPr>
                <w:rFonts w:ascii="Book Antiqua" w:hAnsi="Book Antiqua"/>
                <w:szCs w:val="26"/>
              </w:rPr>
              <w:t>s</w:t>
            </w:r>
          </w:p>
        </w:tc>
        <w:tc>
          <w:tcPr>
            <w:tcW w:w="2690" w:type="dxa"/>
          </w:tcPr>
          <w:p w:rsidRPr="00894407" w:rsidR="005C3384" w:rsidP="005C3384" w:rsidRDefault="005C3384" w14:paraId="3FBAA453" w14:textId="68898355">
            <w:pPr>
              <w:pStyle w:val="sub1"/>
              <w:spacing w:line="240" w:lineRule="auto"/>
              <w:ind w:firstLine="0"/>
              <w:rPr>
                <w:rFonts w:ascii="Book Antiqua" w:hAnsi="Book Antiqua"/>
                <w:szCs w:val="26"/>
              </w:rPr>
            </w:pPr>
            <w:r w:rsidRPr="002D42FA">
              <w:rPr>
                <w:rFonts w:ascii="Book Antiqua" w:hAnsi="Book Antiqua"/>
                <w:szCs w:val="26"/>
              </w:rPr>
              <w:t>R.14</w:t>
            </w:r>
            <w:r>
              <w:rPr>
                <w:rFonts w:ascii="Book Antiqua" w:hAnsi="Book Antiqua"/>
                <w:szCs w:val="26"/>
              </w:rPr>
              <w:t>-</w:t>
            </w:r>
            <w:r w:rsidRPr="002D42FA">
              <w:rPr>
                <w:rFonts w:ascii="Book Antiqua" w:hAnsi="Book Antiqua"/>
                <w:szCs w:val="26"/>
              </w:rPr>
              <w:t>08</w:t>
            </w:r>
            <w:r>
              <w:rPr>
                <w:rFonts w:ascii="Book Antiqua" w:hAnsi="Book Antiqua"/>
                <w:szCs w:val="26"/>
              </w:rPr>
              <w:t>-</w:t>
            </w:r>
            <w:r w:rsidRPr="002D42FA">
              <w:rPr>
                <w:rFonts w:ascii="Book Antiqua" w:hAnsi="Book Antiqua"/>
                <w:szCs w:val="26"/>
              </w:rPr>
              <w:t>013</w:t>
            </w:r>
          </w:p>
        </w:tc>
      </w:tr>
      <w:tr w:rsidR="005C3384" w:rsidTr="00002F9F" w14:paraId="305D3C7E" w14:textId="77777777">
        <w:tc>
          <w:tcPr>
            <w:tcW w:w="630" w:type="dxa"/>
          </w:tcPr>
          <w:p w:rsidRPr="00894407" w:rsidR="005C3384" w:rsidP="005C3384" w:rsidRDefault="005C3384" w14:paraId="44E2F2DE" w14:textId="1245EF3F">
            <w:pPr>
              <w:pStyle w:val="sub1"/>
              <w:spacing w:line="240" w:lineRule="auto"/>
              <w:ind w:firstLine="0"/>
              <w:rPr>
                <w:rFonts w:ascii="Book Antiqua" w:hAnsi="Book Antiqua"/>
                <w:szCs w:val="26"/>
              </w:rPr>
            </w:pPr>
            <w:r>
              <w:rPr>
                <w:rFonts w:ascii="Book Antiqua" w:hAnsi="Book Antiqua"/>
                <w:szCs w:val="26"/>
              </w:rPr>
              <w:t>22</w:t>
            </w:r>
          </w:p>
        </w:tc>
        <w:tc>
          <w:tcPr>
            <w:tcW w:w="6030" w:type="dxa"/>
          </w:tcPr>
          <w:p w:rsidRPr="00894407" w:rsidR="005C3384" w:rsidP="005C3384" w:rsidRDefault="005C3384" w14:paraId="518C1320" w14:textId="0BC67659">
            <w:pPr>
              <w:pStyle w:val="sub1"/>
              <w:spacing w:line="240" w:lineRule="auto"/>
              <w:ind w:firstLine="0"/>
              <w:rPr>
                <w:rFonts w:ascii="Book Antiqua" w:hAnsi="Book Antiqua"/>
                <w:szCs w:val="26"/>
              </w:rPr>
            </w:pPr>
            <w:r w:rsidRPr="000E0C30">
              <w:rPr>
                <w:rFonts w:ascii="Book Antiqua" w:hAnsi="Book Antiqua"/>
                <w:szCs w:val="26"/>
              </w:rPr>
              <w:t>Energy Efficiency</w:t>
            </w:r>
          </w:p>
        </w:tc>
        <w:tc>
          <w:tcPr>
            <w:tcW w:w="2690" w:type="dxa"/>
          </w:tcPr>
          <w:p w:rsidRPr="00894407" w:rsidR="005C3384" w:rsidP="005C3384" w:rsidRDefault="005C3384" w14:paraId="05C6A2B9" w14:textId="412E4A84">
            <w:pPr>
              <w:pStyle w:val="sub1"/>
              <w:spacing w:line="240" w:lineRule="auto"/>
              <w:ind w:firstLine="0"/>
              <w:rPr>
                <w:rFonts w:ascii="Book Antiqua" w:hAnsi="Book Antiqua"/>
                <w:szCs w:val="26"/>
              </w:rPr>
            </w:pPr>
            <w:r w:rsidRPr="00CC3B3E">
              <w:rPr>
                <w:rFonts w:ascii="Book Antiqua" w:hAnsi="Book Antiqua"/>
                <w:szCs w:val="26"/>
              </w:rPr>
              <w:t>R</w:t>
            </w:r>
            <w:r>
              <w:rPr>
                <w:rFonts w:ascii="Book Antiqua" w:hAnsi="Book Antiqua"/>
                <w:szCs w:val="26"/>
              </w:rPr>
              <w:t>.</w:t>
            </w:r>
            <w:r w:rsidRPr="00CC3B3E">
              <w:rPr>
                <w:rFonts w:ascii="Book Antiqua" w:hAnsi="Book Antiqua"/>
                <w:szCs w:val="26"/>
              </w:rPr>
              <w:t>13</w:t>
            </w:r>
            <w:r>
              <w:rPr>
                <w:rFonts w:ascii="Book Antiqua" w:hAnsi="Book Antiqua"/>
                <w:szCs w:val="26"/>
              </w:rPr>
              <w:t>-</w:t>
            </w:r>
            <w:r w:rsidRPr="00CC3B3E">
              <w:rPr>
                <w:rFonts w:ascii="Book Antiqua" w:hAnsi="Book Antiqua"/>
                <w:szCs w:val="26"/>
              </w:rPr>
              <w:t>11</w:t>
            </w:r>
            <w:r>
              <w:rPr>
                <w:rFonts w:ascii="Book Antiqua" w:hAnsi="Book Antiqua"/>
                <w:szCs w:val="26"/>
              </w:rPr>
              <w:t>-</w:t>
            </w:r>
            <w:r w:rsidRPr="00CC3B3E">
              <w:rPr>
                <w:rFonts w:ascii="Book Antiqua" w:hAnsi="Book Antiqua"/>
                <w:szCs w:val="26"/>
              </w:rPr>
              <w:t>005</w:t>
            </w:r>
            <w:r>
              <w:rPr>
                <w:rFonts w:ascii="Book Antiqua" w:hAnsi="Book Antiqua"/>
                <w:szCs w:val="26"/>
              </w:rPr>
              <w:t xml:space="preserve"> and </w:t>
            </w:r>
            <w:r>
              <w:rPr>
                <w:rFonts w:ascii="Book Antiqua" w:hAnsi="Book Antiqua"/>
                <w:szCs w:val="26"/>
              </w:rPr>
              <w:br/>
            </w:r>
            <w:r w:rsidRPr="00A6242E">
              <w:rPr>
                <w:rFonts w:ascii="Book Antiqua" w:hAnsi="Book Antiqua"/>
                <w:szCs w:val="26"/>
              </w:rPr>
              <w:t>A.17</w:t>
            </w:r>
            <w:r>
              <w:rPr>
                <w:rFonts w:ascii="Book Antiqua" w:hAnsi="Book Antiqua"/>
                <w:szCs w:val="26"/>
              </w:rPr>
              <w:t>-</w:t>
            </w:r>
            <w:r w:rsidRPr="00A6242E">
              <w:rPr>
                <w:rFonts w:ascii="Book Antiqua" w:hAnsi="Book Antiqua"/>
                <w:szCs w:val="26"/>
              </w:rPr>
              <w:t>01</w:t>
            </w:r>
            <w:r>
              <w:rPr>
                <w:rFonts w:ascii="Book Antiqua" w:hAnsi="Book Antiqua"/>
                <w:szCs w:val="26"/>
              </w:rPr>
              <w:t>-</w:t>
            </w:r>
            <w:r w:rsidRPr="00A6242E">
              <w:rPr>
                <w:rFonts w:ascii="Book Antiqua" w:hAnsi="Book Antiqua"/>
                <w:szCs w:val="26"/>
              </w:rPr>
              <w:t>013</w:t>
            </w:r>
            <w:r>
              <w:rPr>
                <w:rFonts w:ascii="Book Antiqua" w:hAnsi="Book Antiqua"/>
                <w:szCs w:val="26"/>
              </w:rPr>
              <w:t>,</w:t>
            </w:r>
            <w:r w:rsidRPr="00A6242E">
              <w:rPr>
                <w:rFonts w:ascii="Book Antiqua" w:hAnsi="Book Antiqua"/>
                <w:szCs w:val="26"/>
              </w:rPr>
              <w:t xml:space="preserve"> et al.</w:t>
            </w:r>
          </w:p>
        </w:tc>
      </w:tr>
      <w:tr w:rsidR="005C3384" w:rsidTr="00002F9F" w14:paraId="68D452CB" w14:textId="77777777">
        <w:tc>
          <w:tcPr>
            <w:tcW w:w="630" w:type="dxa"/>
          </w:tcPr>
          <w:p w:rsidRPr="00894407" w:rsidR="005C3384" w:rsidP="005C3384" w:rsidRDefault="005C3384" w14:paraId="32642B5B" w14:textId="669EE528">
            <w:pPr>
              <w:pStyle w:val="sub1"/>
              <w:spacing w:line="240" w:lineRule="auto"/>
              <w:ind w:firstLine="0"/>
              <w:rPr>
                <w:rFonts w:ascii="Book Antiqua" w:hAnsi="Book Antiqua"/>
                <w:szCs w:val="26"/>
              </w:rPr>
            </w:pPr>
            <w:r>
              <w:rPr>
                <w:rFonts w:ascii="Book Antiqua" w:hAnsi="Book Antiqua"/>
                <w:szCs w:val="26"/>
              </w:rPr>
              <w:t>23</w:t>
            </w:r>
          </w:p>
        </w:tc>
        <w:tc>
          <w:tcPr>
            <w:tcW w:w="6030" w:type="dxa"/>
          </w:tcPr>
          <w:p w:rsidRPr="000E0C30" w:rsidR="005C3384" w:rsidP="005C3384" w:rsidRDefault="005C3384" w14:paraId="47E00DF6" w14:textId="431DF3D9">
            <w:pPr>
              <w:pStyle w:val="sub1"/>
              <w:spacing w:line="240" w:lineRule="auto"/>
              <w:ind w:firstLine="0"/>
            </w:pPr>
            <w:r w:rsidRPr="30F29274">
              <w:rPr>
                <w:rFonts w:ascii="Book Antiqua" w:hAnsi="Book Antiqua"/>
              </w:rPr>
              <w:t>Demand Response Enhancement Rulemaking and Program Applications</w:t>
            </w:r>
          </w:p>
        </w:tc>
        <w:tc>
          <w:tcPr>
            <w:tcW w:w="2690" w:type="dxa"/>
          </w:tcPr>
          <w:p w:rsidRPr="00CC3B3E" w:rsidR="005C3384" w:rsidP="30F29274" w:rsidRDefault="005C3384" w14:paraId="26112F37" w14:textId="636CCB3C">
            <w:pPr>
              <w:pStyle w:val="sub1"/>
              <w:spacing w:line="240" w:lineRule="auto"/>
              <w:ind w:firstLine="0"/>
              <w:rPr>
                <w:rFonts w:ascii="Book Antiqua" w:hAnsi="Book Antiqua"/>
              </w:rPr>
            </w:pPr>
            <w:r w:rsidRPr="30F29274">
              <w:rPr>
                <w:rFonts w:ascii="Book Antiqua" w:hAnsi="Book Antiqua"/>
              </w:rPr>
              <w:t>R.13-09-011</w:t>
            </w:r>
            <w:r w:rsidRPr="30F29274" w:rsidR="274FDC3B">
              <w:rPr>
                <w:rFonts w:ascii="Book Antiqua" w:hAnsi="Book Antiqua"/>
              </w:rPr>
              <w:t xml:space="preserve"> and </w:t>
            </w:r>
          </w:p>
          <w:p w:rsidRPr="00CC3B3E" w:rsidR="005C3384" w:rsidP="005C3384" w:rsidRDefault="005C3384" w14:paraId="79847047" w14:textId="43D0389B">
            <w:pPr>
              <w:pStyle w:val="sub1"/>
              <w:spacing w:line="240" w:lineRule="auto"/>
              <w:ind w:firstLine="0"/>
              <w:rPr>
                <w:rFonts w:ascii="Book Antiqua" w:hAnsi="Book Antiqua"/>
              </w:rPr>
            </w:pPr>
            <w:r w:rsidRPr="30F29274">
              <w:rPr>
                <w:rFonts w:ascii="Book Antiqua" w:hAnsi="Book Antiqua"/>
              </w:rPr>
              <w:t>A.17-01-012</w:t>
            </w:r>
            <w:r w:rsidRPr="30F29274" w:rsidR="63A6241B">
              <w:rPr>
                <w:rFonts w:ascii="Book Antiqua" w:hAnsi="Book Antiqua"/>
              </w:rPr>
              <w:t>, et al</w:t>
            </w:r>
            <w:r w:rsidRPr="30F29274">
              <w:rPr>
                <w:rFonts w:ascii="Book Antiqua" w:hAnsi="Book Antiqua"/>
              </w:rPr>
              <w:t>.</w:t>
            </w:r>
          </w:p>
        </w:tc>
      </w:tr>
    </w:tbl>
    <w:p w:rsidR="00431174" w:rsidP="00CC3EC8" w:rsidRDefault="00552D61" w14:paraId="39E850C2" w14:textId="0691E7EE">
      <w:pPr>
        <w:pStyle w:val="sub1"/>
        <w:spacing w:before="120"/>
        <w:rPr>
          <w:rFonts w:ascii="Book Antiqua" w:hAnsi="Book Antiqua"/>
        </w:rPr>
      </w:pPr>
      <w:r w:rsidRPr="4F84FA1B">
        <w:rPr>
          <w:rFonts w:ascii="Book Antiqua" w:hAnsi="Book Antiqua"/>
        </w:rPr>
        <w:t>I</w:t>
      </w:r>
      <w:r w:rsidRPr="4F84FA1B" w:rsidR="00431174">
        <w:rPr>
          <w:rFonts w:ascii="Book Antiqua" w:hAnsi="Book Antiqua"/>
        </w:rPr>
        <w:t xml:space="preserve">n the interest of </w:t>
      </w:r>
      <w:r w:rsidRPr="4F84FA1B">
        <w:rPr>
          <w:rFonts w:ascii="Book Antiqua" w:hAnsi="Book Antiqua"/>
        </w:rPr>
        <w:t xml:space="preserve">providing </w:t>
      </w:r>
      <w:r w:rsidRPr="4F84FA1B" w:rsidR="00431174">
        <w:rPr>
          <w:rFonts w:ascii="Book Antiqua" w:hAnsi="Book Antiqua"/>
        </w:rPr>
        <w:t>broad notice</w:t>
      </w:r>
      <w:r w:rsidRPr="4F84FA1B">
        <w:rPr>
          <w:rFonts w:ascii="Book Antiqua" w:hAnsi="Book Antiqua"/>
        </w:rPr>
        <w:t xml:space="preserve"> about</w:t>
      </w:r>
      <w:r w:rsidRPr="4F84FA1B" w:rsidR="00431174">
        <w:rPr>
          <w:rFonts w:ascii="Book Antiqua" w:hAnsi="Book Antiqua"/>
        </w:rPr>
        <w:t xml:space="preserve"> this OIR</w:t>
      </w:r>
      <w:r w:rsidRPr="4F84FA1B">
        <w:rPr>
          <w:rFonts w:ascii="Book Antiqua" w:hAnsi="Book Antiqua"/>
        </w:rPr>
        <w:t xml:space="preserve">, it </w:t>
      </w:r>
      <w:r w:rsidRPr="4F84FA1B" w:rsidR="00431174">
        <w:rPr>
          <w:rFonts w:ascii="Book Antiqua" w:hAnsi="Book Antiqua"/>
        </w:rPr>
        <w:t xml:space="preserve">will </w:t>
      </w:r>
      <w:r w:rsidRPr="4F84FA1B">
        <w:rPr>
          <w:rFonts w:ascii="Book Antiqua" w:hAnsi="Book Antiqua"/>
        </w:rPr>
        <w:t xml:space="preserve">also </w:t>
      </w:r>
      <w:r w:rsidRPr="4F84FA1B" w:rsidR="00431174">
        <w:rPr>
          <w:rFonts w:ascii="Book Antiqua" w:hAnsi="Book Antiqua"/>
        </w:rPr>
        <w:t>be served on the following</w:t>
      </w:r>
      <w:r w:rsidRPr="4F84FA1B" w:rsidR="6F81831B">
        <w:rPr>
          <w:rFonts w:ascii="Book Antiqua" w:hAnsi="Book Antiqua"/>
        </w:rPr>
        <w:t xml:space="preserve"> </w:t>
      </w:r>
      <w:bookmarkStart w:name="_Hlk68678743" w:id="26"/>
      <w:r w:rsidRPr="4F84FA1B" w:rsidR="00112B3E">
        <w:rPr>
          <w:rFonts w:ascii="Book Antiqua" w:hAnsi="Book Antiqua"/>
        </w:rPr>
        <w:t>entities</w:t>
      </w:r>
      <w:bookmarkEnd w:id="26"/>
      <w:r w:rsidRPr="4F84FA1B" w:rsidR="00112B3E">
        <w:rPr>
          <w:rFonts w:ascii="Book Antiqua" w:hAnsi="Book Antiqua"/>
        </w:rPr>
        <w:t>:</w:t>
      </w:r>
    </w:p>
    <w:p w:rsidRPr="00F06CC6" w:rsidR="00F06CC6" w:rsidP="003C3F08" w:rsidRDefault="00F06CC6" w14:paraId="077BFED9" w14:textId="01FB02BC">
      <w:pPr>
        <w:pStyle w:val="ListBullet"/>
      </w:pPr>
      <w:r w:rsidRPr="30F29274">
        <w:t xml:space="preserve">California Air Resources Board </w:t>
      </w:r>
    </w:p>
    <w:p w:rsidR="086E738C" w:rsidP="003C3F08" w:rsidRDefault="086E738C" w14:paraId="542411C2" w14:textId="01DF7DF4">
      <w:pPr>
        <w:pStyle w:val="ListBullet"/>
        <w:rPr>
          <w:rFonts w:asciiTheme="minorHAnsi" w:hAnsiTheme="minorHAnsi" w:eastAsiaTheme="minorEastAsia"/>
          <w:szCs w:val="26"/>
        </w:rPr>
      </w:pPr>
      <w:r w:rsidRPr="3C38AB44">
        <w:t>CEC</w:t>
      </w:r>
    </w:p>
    <w:p w:rsidRPr="00F06CC6" w:rsidR="00F06CC6" w:rsidP="003C3F08" w:rsidRDefault="00F06CC6" w14:paraId="57254F9A" w14:textId="6433AF0E">
      <w:pPr>
        <w:pStyle w:val="ListBullet"/>
      </w:pPr>
      <w:r w:rsidRPr="30F29274">
        <w:lastRenderedPageBreak/>
        <w:t xml:space="preserve">California Independent System Operator </w:t>
      </w:r>
    </w:p>
    <w:p w:rsidRPr="00F06CC6" w:rsidR="00431174" w:rsidP="003C3F08" w:rsidRDefault="00F06CC6" w14:paraId="29352506" w14:textId="2DCF8E65">
      <w:pPr>
        <w:pStyle w:val="ListBullet"/>
      </w:pPr>
      <w:r w:rsidRPr="30F29274">
        <w:t>Governor’s Office of Business Development</w:t>
      </w:r>
    </w:p>
    <w:p w:rsidRPr="00F06CC6" w:rsidR="00F06CC6" w:rsidP="003C3F08" w:rsidRDefault="00F06CC6" w14:paraId="71418BF6" w14:textId="0E967829">
      <w:pPr>
        <w:pStyle w:val="ListBullet"/>
      </w:pPr>
      <w:r w:rsidRPr="3C38AB44">
        <w:t xml:space="preserve">State Board of Forestry and Fire Protection (CAL FIRE) </w:t>
      </w:r>
    </w:p>
    <w:p w:rsidRPr="00F06CC6" w:rsidR="00F06CC6" w:rsidP="003C3F08" w:rsidRDefault="00F06CC6" w14:paraId="64CD6545" w14:textId="3D8C6A9A">
      <w:pPr>
        <w:pStyle w:val="ListBullet"/>
      </w:pPr>
      <w:r w:rsidRPr="3C38AB44">
        <w:t xml:space="preserve">California Office of Emergency Services </w:t>
      </w:r>
    </w:p>
    <w:p w:rsidRPr="00F06CC6" w:rsidR="00431174" w:rsidP="003C3F08" w:rsidRDefault="00F06CC6" w14:paraId="503A64F7" w14:textId="4EE26824">
      <w:pPr>
        <w:pStyle w:val="ListBullet"/>
      </w:pPr>
      <w:r w:rsidRPr="3C38AB44">
        <w:t>California Department of Fish and Wildlife</w:t>
      </w:r>
    </w:p>
    <w:p w:rsidRPr="00F06CC6" w:rsidR="00F06CC6" w:rsidP="003C3F08" w:rsidRDefault="00F06CC6" w14:paraId="7DAD1195" w14:textId="5EC210E2">
      <w:pPr>
        <w:pStyle w:val="ListBullet"/>
      </w:pPr>
      <w:r w:rsidRPr="3C38AB44">
        <w:t>California Office of Planning and Research</w:t>
      </w:r>
    </w:p>
    <w:p w:rsidRPr="00F06CC6" w:rsidR="00F06CC6" w:rsidP="003C3F08" w:rsidRDefault="00F06CC6" w14:paraId="4976CD99" w14:textId="560E85D7">
      <w:pPr>
        <w:pStyle w:val="ListBullet"/>
      </w:pPr>
      <w:r w:rsidRPr="3C38AB44">
        <w:t>California Infrastructure and Economic Development Bank</w:t>
      </w:r>
    </w:p>
    <w:p w:rsidRPr="00F06CC6" w:rsidR="00F06CC6" w:rsidP="003C3F08" w:rsidRDefault="00F06CC6" w14:paraId="793B8550" w14:textId="6E2A097F">
      <w:pPr>
        <w:pStyle w:val="ListBullet"/>
      </w:pPr>
      <w:r w:rsidRPr="3C38AB44">
        <w:t>California State Association of Counties</w:t>
      </w:r>
    </w:p>
    <w:p w:rsidRPr="00F06CC6" w:rsidR="00F06CC6" w:rsidP="003C3F08" w:rsidRDefault="00100B2F" w14:paraId="330A2235" w14:textId="3E7AF14A">
      <w:pPr>
        <w:pStyle w:val="ListBullet"/>
      </w:pPr>
      <w:r w:rsidRPr="3C38AB44">
        <w:t>California Native American Heritage Commission</w:t>
      </w:r>
      <w:r w:rsidRPr="3C38AB44" w:rsidR="00110186">
        <w:t xml:space="preserve"> and </w:t>
      </w:r>
      <w:r w:rsidRPr="3C38AB44" w:rsidR="00E05580">
        <w:t xml:space="preserve">the </w:t>
      </w:r>
      <w:r w:rsidRPr="3C38AB44" w:rsidR="00D40C7A">
        <w:t xml:space="preserve">tribal contacts </w:t>
      </w:r>
      <w:r w:rsidRPr="3C38AB44" w:rsidR="00017D2A">
        <w:t>list maintained by the Native American Heritage Commission</w:t>
      </w:r>
    </w:p>
    <w:p w:rsidR="00F06CC6" w:rsidP="003C3F08" w:rsidRDefault="00F06CC6" w14:paraId="535E33A9" w14:textId="386E7E96">
      <w:pPr>
        <w:pStyle w:val="ListBullet"/>
      </w:pPr>
      <w:r w:rsidRPr="3C38AB44">
        <w:t>California Municipal Utilities Association</w:t>
      </w:r>
    </w:p>
    <w:p w:rsidR="00F30070" w:rsidP="003C3F08" w:rsidRDefault="00F30070" w14:paraId="441253B0" w14:textId="660CBF42">
      <w:pPr>
        <w:pStyle w:val="ListBullet"/>
      </w:pPr>
      <w:r w:rsidRPr="3C38AB44">
        <w:t>Disadvantaged Communities Advisory Group</w:t>
      </w:r>
      <w:r w:rsidR="009B0E81">
        <w:rPr>
          <w:rStyle w:val="FootnoteReference"/>
          <w:szCs w:val="26"/>
        </w:rPr>
        <w:footnoteReference w:id="69"/>
      </w:r>
    </w:p>
    <w:p w:rsidRPr="00F06CC6" w:rsidR="00017D2A" w:rsidP="003C3F08" w:rsidRDefault="00017D2A" w14:paraId="2A9C453E" w14:textId="5AC77E8F">
      <w:pPr>
        <w:pStyle w:val="ListBullet"/>
      </w:pPr>
      <w:r w:rsidRPr="30F29274">
        <w:t xml:space="preserve">League of </w:t>
      </w:r>
      <w:r w:rsidR="00085033">
        <w:t xml:space="preserve">California </w:t>
      </w:r>
      <w:r w:rsidRPr="30F29274">
        <w:t>Cities</w:t>
      </w:r>
    </w:p>
    <w:p w:rsidR="00017D2A" w:rsidP="003C3F08" w:rsidRDefault="00017D2A" w14:paraId="12122145" w14:textId="2B5B11C3">
      <w:pPr>
        <w:pStyle w:val="ListBullet"/>
      </w:pPr>
      <w:r w:rsidRPr="3C38AB44">
        <w:t>Office of Energy Infrastructure Safety</w:t>
      </w:r>
      <w:r>
        <w:rPr>
          <w:rStyle w:val="FootnoteReference"/>
          <w:szCs w:val="26"/>
        </w:rPr>
        <w:footnoteReference w:id="70"/>
      </w:r>
    </w:p>
    <w:p w:rsidRPr="00017D2A" w:rsidR="00FC4D43" w:rsidP="003C3F08" w:rsidRDefault="00FC4D43" w14:paraId="747A8682" w14:textId="13903D3D">
      <w:pPr>
        <w:pStyle w:val="ListBullet"/>
      </w:pPr>
      <w:r w:rsidRPr="3C38AB44">
        <w:t>Rural County Representatives of California</w:t>
      </w:r>
    </w:p>
    <w:p w:rsidRPr="00187841" w:rsidR="004C4E2F" w:rsidP="00431174" w:rsidRDefault="00431174" w14:paraId="6C1DE62E" w14:textId="170E9AC4">
      <w:pPr>
        <w:pStyle w:val="sub1"/>
        <w:rPr>
          <w:rFonts w:ascii="Book Antiqua" w:hAnsi="Book Antiqua"/>
          <w:szCs w:val="26"/>
          <w:highlight w:val="yellow"/>
        </w:rPr>
      </w:pPr>
      <w:r w:rsidRPr="00431174">
        <w:rPr>
          <w:rFonts w:ascii="Book Antiqua" w:hAnsi="Book Antiqua"/>
          <w:szCs w:val="26"/>
        </w:rPr>
        <w:t>Service of the OIR does not confer party status or place any person who</w:t>
      </w:r>
      <w:r>
        <w:rPr>
          <w:rFonts w:ascii="Book Antiqua" w:hAnsi="Book Antiqua"/>
          <w:szCs w:val="26"/>
        </w:rPr>
        <w:t xml:space="preserve"> </w:t>
      </w:r>
      <w:r w:rsidRPr="00431174">
        <w:rPr>
          <w:rFonts w:ascii="Book Antiqua" w:hAnsi="Book Antiqua"/>
          <w:szCs w:val="26"/>
        </w:rPr>
        <w:t>has received such service on the Official Service List for this proceeding.</w:t>
      </w:r>
    </w:p>
    <w:p w:rsidRPr="001B282A" w:rsidR="008669C1" w:rsidP="008669C1" w:rsidRDefault="008669C1" w14:paraId="61C531FB" w14:textId="2DDD932A">
      <w:pPr>
        <w:pStyle w:val="Heading1"/>
      </w:pPr>
      <w:bookmarkStart w:name="_Toc71038954" w:id="27"/>
      <w:r>
        <w:t>Filing and Service of Comments and Other Documents</w:t>
      </w:r>
      <w:bookmarkEnd w:id="27"/>
    </w:p>
    <w:p w:rsidRPr="001B282A" w:rsidR="008669C1" w:rsidP="00BB4F77" w:rsidRDefault="008669C1" w14:paraId="539E12AC" w14:textId="4258F154">
      <w:pPr>
        <w:pStyle w:val="Standard"/>
      </w:pPr>
      <w:r w:rsidRPr="001B282A">
        <w:rPr>
          <w:szCs w:val="26"/>
        </w:rPr>
        <w:t xml:space="preserve">Filing and service of comments and other documents in the proceeding are governed by the </w:t>
      </w:r>
      <w:r w:rsidR="00F44F79">
        <w:t>Commission</w:t>
      </w:r>
      <w:r w:rsidRPr="001B282A">
        <w:rPr>
          <w:szCs w:val="26"/>
        </w:rPr>
        <w:t xml:space="preserve">’s Rules of Practice and Procedure.  </w:t>
      </w:r>
      <w:r w:rsidRPr="001B282A" w:rsidR="00891C4B">
        <w:t xml:space="preserve">This proceeding will follow the electronic service protocol set forth in Rule 1.10.  All parties to this </w:t>
      </w:r>
      <w:r w:rsidRPr="001B282A" w:rsidR="00891C4B">
        <w:lastRenderedPageBreak/>
        <w:t>proceeding shall serve documents and pleadings using electronic mail, whenever possible, transmitted no later than 5:00 p.m., on the date scheduled for service to occur.  Rule 1.10. requires service on the ALJ of both an electronic and a paper copy of filed or served documents.  When serving documents on Commissioners or their personal advisors, whether or not they are on the official service list, parties must only provide electronic service.  Parties must not send hard copies of documents to Commissioners or their personal advisors unless specifically instructed to do so.  In addition, pursuant to the COVID-19 Temporary Filing and Service Protocol for Formal Proceedings, the Rule 1.10(e) requirement to serve paper copies of all e-filed documents to the ALJ is suspended until further notice.</w:t>
      </w:r>
    </w:p>
    <w:p w:rsidRPr="001B282A" w:rsidR="008669C1" w:rsidP="008669C1" w:rsidRDefault="008669C1" w14:paraId="4C66B0D0" w14:textId="77777777">
      <w:pPr>
        <w:pStyle w:val="Heading1"/>
      </w:pPr>
      <w:bookmarkStart w:name="_Toc71038955" w:id="28"/>
      <w:r>
        <w:t>Addition to Official Service List</w:t>
      </w:r>
      <w:bookmarkEnd w:id="28"/>
    </w:p>
    <w:p w:rsidRPr="001B282A" w:rsidR="008669C1" w:rsidP="008669C1" w:rsidRDefault="008669C1" w14:paraId="1A9A0630" w14:textId="71E24437">
      <w:pPr>
        <w:pStyle w:val="sub1"/>
        <w:rPr>
          <w:rFonts w:ascii="Book Antiqua" w:hAnsi="Book Antiqua"/>
          <w:szCs w:val="26"/>
        </w:rPr>
      </w:pPr>
      <w:r w:rsidRPr="001B282A">
        <w:rPr>
          <w:rFonts w:ascii="Book Antiqua" w:hAnsi="Book Antiqua"/>
          <w:szCs w:val="26"/>
        </w:rPr>
        <w:t xml:space="preserve">Addition to the official service list is governed by Rule 1.9(f) of the </w:t>
      </w:r>
      <w:r w:rsidRPr="00F44F79" w:rsidR="00F44F79">
        <w:rPr>
          <w:rFonts w:ascii="Book Antiqua" w:hAnsi="Book Antiqua"/>
          <w:szCs w:val="26"/>
        </w:rPr>
        <w:t>Commission</w:t>
      </w:r>
      <w:r w:rsidRPr="001B282A">
        <w:rPr>
          <w:rFonts w:ascii="Book Antiqua" w:hAnsi="Book Antiqua"/>
          <w:szCs w:val="26"/>
        </w:rPr>
        <w:t xml:space="preserve">’s Rules of Practice and Procedure. </w:t>
      </w:r>
    </w:p>
    <w:p w:rsidRPr="001B282A" w:rsidR="008669C1" w:rsidP="008669C1" w:rsidRDefault="008669C1" w14:paraId="21EC251F" w14:textId="77777777">
      <w:pPr>
        <w:pStyle w:val="sub1"/>
        <w:rPr>
          <w:rFonts w:ascii="Book Antiqua" w:hAnsi="Book Antiqua"/>
          <w:szCs w:val="26"/>
        </w:rPr>
      </w:pPr>
      <w:r w:rsidRPr="001B282A">
        <w:rPr>
          <w:rFonts w:ascii="Book Antiqua" w:hAnsi="Book Antiqua"/>
          <w:szCs w:val="26"/>
        </w:rPr>
        <w:t>Respondents are parties to the proceeding (see Rule 1.4(d)) and will be immediately placed on the official service list.</w:t>
      </w:r>
    </w:p>
    <w:p w:rsidRPr="001B282A" w:rsidR="008669C1" w:rsidP="008669C1" w:rsidRDefault="008669C1" w14:paraId="7B58ED40" w14:textId="6D66E726">
      <w:pPr>
        <w:pStyle w:val="sub1"/>
        <w:rPr>
          <w:rFonts w:ascii="Book Antiqua" w:hAnsi="Book Antiqua"/>
          <w:szCs w:val="26"/>
        </w:rPr>
      </w:pPr>
      <w:r w:rsidRPr="001B282A">
        <w:rPr>
          <w:rFonts w:ascii="Book Antiqua" w:hAnsi="Book Antiqua"/>
          <w:szCs w:val="26"/>
        </w:rPr>
        <w:t>Any person will be added to the “Information Only” category of the official service list upon request, for electronic service of all documents in the proceeding, and should do so promptly in order to ensure timely service of comments and other documents and correspondence in the proceeding.</w:t>
      </w:r>
      <w:r w:rsidR="00413D82">
        <w:rPr>
          <w:rFonts w:ascii="Book Antiqua" w:hAnsi="Book Antiqua"/>
          <w:szCs w:val="26"/>
        </w:rPr>
        <w:t xml:space="preserve"> </w:t>
      </w:r>
      <w:r w:rsidRPr="001B282A">
        <w:rPr>
          <w:rFonts w:ascii="Book Antiqua" w:hAnsi="Book Antiqua"/>
          <w:szCs w:val="26"/>
        </w:rPr>
        <w:t xml:space="preserve"> (</w:t>
      </w:r>
      <w:r w:rsidRPr="001B282A">
        <w:rPr>
          <w:rFonts w:ascii="Book Antiqua" w:hAnsi="Book Antiqua"/>
          <w:i/>
          <w:szCs w:val="26"/>
        </w:rPr>
        <w:t>See</w:t>
      </w:r>
      <w:r w:rsidRPr="001B282A">
        <w:rPr>
          <w:rFonts w:ascii="Book Antiqua" w:hAnsi="Book Antiqua"/>
          <w:szCs w:val="26"/>
        </w:rPr>
        <w:t xml:space="preserve"> Rule 1.9(f).)  The request must be sent to the Process Office by e</w:t>
      </w:r>
      <w:r w:rsidRPr="001B282A">
        <w:rPr>
          <w:rFonts w:ascii="Book Antiqua" w:hAnsi="Book Antiqua"/>
          <w:szCs w:val="26"/>
        </w:rPr>
        <w:noBreakHyphen/>
        <w:t>mail (</w:t>
      </w:r>
      <w:hyperlink w:history="1" r:id="rId17">
        <w:r w:rsidRPr="001B282A">
          <w:rPr>
            <w:rStyle w:val="Hyperlink"/>
            <w:rFonts w:ascii="Book Antiqua" w:hAnsi="Book Antiqua"/>
            <w:szCs w:val="26"/>
          </w:rPr>
          <w:t>process_office@cpuc.ca.gov</w:t>
        </w:r>
      </w:hyperlink>
      <w:r w:rsidRPr="001B282A">
        <w:rPr>
          <w:rFonts w:ascii="Book Antiqua" w:hAnsi="Book Antiqua"/>
          <w:szCs w:val="26"/>
        </w:rPr>
        <w:t>) or letter (Process Office, California Public Utilities Commission, 505 Van Ness Avenue, San Francisco, California  94102).  Please include the Docket Number of this rulemaking in the request.</w:t>
      </w:r>
    </w:p>
    <w:p w:rsidRPr="009D4B65" w:rsidR="008669C1" w:rsidRDefault="00B20A27" w14:paraId="1D92AC09" w14:textId="2A8035A0">
      <w:pPr>
        <w:pStyle w:val="sub1"/>
        <w:rPr>
          <w:rFonts w:ascii="Book Antiqua" w:hAnsi="Book Antiqua"/>
        </w:rPr>
      </w:pPr>
      <w:r w:rsidRPr="002B1828">
        <w:rPr>
          <w:rFonts w:ascii="Book Antiqua" w:hAnsi="Book Antiqua"/>
        </w:rPr>
        <w:t xml:space="preserve">Persons who file responsive comments thereby become parties to the proceeding (see Rule 1.4(a)(2)) and will be added to the “Parties” category of the </w:t>
      </w:r>
      <w:r w:rsidRPr="002B1828">
        <w:rPr>
          <w:rFonts w:ascii="Book Antiqua" w:hAnsi="Book Antiqua"/>
        </w:rPr>
        <w:lastRenderedPageBreak/>
        <w:t>official service list upon such filing.</w:t>
      </w:r>
      <w:r>
        <w:rPr>
          <w:rFonts w:ascii="Book Antiqua" w:hAnsi="Book Antiqua"/>
        </w:rPr>
        <w:t xml:space="preserve">  Additionally, </w:t>
      </w:r>
      <w:r>
        <w:rPr>
          <w:rFonts w:ascii="Book Antiqua" w:hAnsi="Book Antiqua"/>
          <w:szCs w:val="26"/>
        </w:rPr>
        <w:t>p</w:t>
      </w:r>
      <w:r w:rsidRPr="001B282A" w:rsidR="008669C1">
        <w:rPr>
          <w:rFonts w:ascii="Book Antiqua" w:hAnsi="Book Antiqua"/>
          <w:szCs w:val="26"/>
        </w:rPr>
        <w:t xml:space="preserve">ersons who </w:t>
      </w:r>
      <w:r w:rsidRPr="001B282A" w:rsidR="000A618A">
        <w:rPr>
          <w:rFonts w:ascii="Book Antiqua" w:hAnsi="Book Antiqua"/>
          <w:szCs w:val="26"/>
        </w:rPr>
        <w:t xml:space="preserve">appear at </w:t>
      </w:r>
      <w:r w:rsidRPr="00B20A27" w:rsidR="000A618A">
        <w:rPr>
          <w:rFonts w:ascii="Book Antiqua" w:hAnsi="Book Antiqua"/>
          <w:szCs w:val="26"/>
        </w:rPr>
        <w:t xml:space="preserve">the </w:t>
      </w:r>
      <w:r w:rsidRPr="009D4B65" w:rsidR="00EA6501">
        <w:rPr>
          <w:rFonts w:ascii="Book Antiqua" w:hAnsi="Book Antiqua"/>
        </w:rPr>
        <w:t xml:space="preserve">PHC </w:t>
      </w:r>
      <w:r>
        <w:rPr>
          <w:rFonts w:ascii="Book Antiqua" w:hAnsi="Book Antiqua"/>
          <w:szCs w:val="26"/>
        </w:rPr>
        <w:t xml:space="preserve">may </w:t>
      </w:r>
      <w:r w:rsidRPr="001B282A" w:rsidR="000A618A">
        <w:rPr>
          <w:rFonts w:ascii="Book Antiqua" w:hAnsi="Book Antiqua"/>
          <w:szCs w:val="26"/>
        </w:rPr>
        <w:t xml:space="preserve">request party status </w:t>
      </w:r>
      <w:r>
        <w:rPr>
          <w:rFonts w:ascii="Book Antiqua" w:hAnsi="Book Antiqua"/>
          <w:szCs w:val="26"/>
        </w:rPr>
        <w:t>to</w:t>
      </w:r>
      <w:r w:rsidRPr="001B282A">
        <w:rPr>
          <w:rFonts w:ascii="Book Antiqua" w:hAnsi="Book Antiqua"/>
          <w:szCs w:val="26"/>
        </w:rPr>
        <w:t xml:space="preserve"> </w:t>
      </w:r>
      <w:r w:rsidRPr="001B282A" w:rsidR="008669C1">
        <w:rPr>
          <w:rFonts w:ascii="Book Antiqua" w:hAnsi="Book Antiqua"/>
          <w:szCs w:val="26"/>
        </w:rPr>
        <w:t>become parties to the proceeding and be added to the “Parties” category of the official service list</w:t>
      </w:r>
      <w:r w:rsidRPr="001B282A" w:rsidR="000A618A">
        <w:rPr>
          <w:rFonts w:ascii="Book Antiqua" w:hAnsi="Book Antiqua"/>
          <w:szCs w:val="26"/>
        </w:rPr>
        <w:t>.</w:t>
      </w:r>
      <w:r w:rsidRPr="001B282A" w:rsidR="008669C1">
        <w:rPr>
          <w:rFonts w:ascii="Book Antiqua" w:hAnsi="Book Antiqua"/>
          <w:szCs w:val="26"/>
        </w:rPr>
        <w:t xml:space="preserve">  </w:t>
      </w:r>
      <w:r w:rsidRPr="001B282A" w:rsidR="008669C1">
        <w:rPr>
          <w:rFonts w:ascii="Book Antiqua" w:hAnsi="Book Antiqua"/>
          <w:i/>
          <w:szCs w:val="26"/>
        </w:rPr>
        <w:t>In order to assure service of comments and other documents and correspondence in advance of obtaining party status, persons should promptly request addition to the “Information Only” category as described above;</w:t>
      </w:r>
      <w:r w:rsidRPr="001B282A" w:rsidR="008669C1">
        <w:rPr>
          <w:rFonts w:ascii="Book Antiqua" w:hAnsi="Book Antiqua"/>
          <w:szCs w:val="26"/>
        </w:rPr>
        <w:t xml:space="preserve"> they will be removed from that category upon obtaining party status.</w:t>
      </w:r>
      <w:r w:rsidRPr="001B282A" w:rsidR="000A618A">
        <w:rPr>
          <w:rFonts w:ascii="Book Antiqua" w:hAnsi="Book Antiqua"/>
          <w:szCs w:val="26"/>
        </w:rPr>
        <w:t xml:space="preserve"> </w:t>
      </w:r>
      <w:r w:rsidRPr="001B282A" w:rsidR="00930C10">
        <w:rPr>
          <w:rFonts w:ascii="Book Antiqua" w:hAnsi="Book Antiqua"/>
          <w:szCs w:val="26"/>
        </w:rPr>
        <w:t xml:space="preserve"> </w:t>
      </w:r>
    </w:p>
    <w:p w:rsidRPr="001B282A" w:rsidR="008669C1" w:rsidP="008669C1" w:rsidRDefault="008669C1" w14:paraId="37294D36" w14:textId="77777777">
      <w:pPr>
        <w:pStyle w:val="Heading1"/>
      </w:pPr>
      <w:bookmarkStart w:name="_Toc71038956" w:id="29"/>
      <w:r>
        <w:t>Subscription Service</w:t>
      </w:r>
      <w:bookmarkEnd w:id="29"/>
    </w:p>
    <w:p w:rsidRPr="001B282A" w:rsidR="008669C1" w:rsidP="008669C1" w:rsidRDefault="008669C1" w14:paraId="4683EE34" w14:textId="3683388A">
      <w:pPr>
        <w:pStyle w:val="sub1"/>
        <w:rPr>
          <w:rFonts w:ascii="Book Antiqua" w:hAnsi="Book Antiqua"/>
        </w:rPr>
      </w:pPr>
      <w:r w:rsidRPr="30F29274">
        <w:rPr>
          <w:rFonts w:ascii="Book Antiqua" w:hAnsi="Book Antiqua"/>
        </w:rPr>
        <w:t xml:space="preserve">Persons may monitor the proceeding by subscribing to receive electronic copies of documents in this proceeding that are published on the </w:t>
      </w:r>
      <w:r w:rsidRPr="00F44F79" w:rsidR="00F44F79">
        <w:rPr>
          <w:rFonts w:ascii="Book Antiqua" w:hAnsi="Book Antiqua"/>
        </w:rPr>
        <w:t>Commission</w:t>
      </w:r>
      <w:r w:rsidRPr="30F29274">
        <w:rPr>
          <w:rFonts w:ascii="Book Antiqua" w:hAnsi="Book Antiqua"/>
        </w:rPr>
        <w:t xml:space="preserve">’s website.  There is no need to be on the official service list in order to use the subscription service.  Instructions for enrolling in the subscription service are available on the </w:t>
      </w:r>
      <w:r w:rsidRPr="00F44F79" w:rsidR="00F44F79">
        <w:rPr>
          <w:rFonts w:ascii="Book Antiqua" w:hAnsi="Book Antiqua"/>
        </w:rPr>
        <w:t>Commission</w:t>
      </w:r>
      <w:r w:rsidRPr="30F29274">
        <w:rPr>
          <w:rFonts w:ascii="Book Antiqua" w:hAnsi="Book Antiqua"/>
        </w:rPr>
        <w:t xml:space="preserve">’s website at </w:t>
      </w:r>
      <w:hyperlink r:id="rId18">
        <w:r w:rsidRPr="30F29274" w:rsidR="54C577BE">
          <w:rPr>
            <w:rStyle w:val="Hyperlink"/>
            <w:rFonts w:ascii="Book Antiqua" w:hAnsi="Book Antiqua"/>
          </w:rPr>
          <w:t>http://subscribecpuc.cpuc.ca.gov</w:t>
        </w:r>
      </w:hyperlink>
      <w:r w:rsidRPr="30F29274" w:rsidR="54C577BE">
        <w:rPr>
          <w:rFonts w:ascii="Book Antiqua" w:hAnsi="Book Antiqua"/>
        </w:rPr>
        <w:t>.</w:t>
      </w:r>
    </w:p>
    <w:p w:rsidRPr="001B282A" w:rsidR="008669C1" w:rsidP="008669C1" w:rsidRDefault="008669C1" w14:paraId="709BA910" w14:textId="77777777">
      <w:pPr>
        <w:pStyle w:val="Heading1"/>
      </w:pPr>
      <w:bookmarkStart w:name="_Toc71038957" w:id="30"/>
      <w:r>
        <w:t>Intervenor Compensation</w:t>
      </w:r>
      <w:bookmarkEnd w:id="30"/>
    </w:p>
    <w:p w:rsidRPr="001B282A" w:rsidR="008669C1" w:rsidP="008669C1" w:rsidRDefault="008669C1" w14:paraId="1EB1B2BE" w14:textId="441398F3">
      <w:pPr>
        <w:pStyle w:val="standard0"/>
        <w:rPr>
          <w:rFonts w:ascii="Book Antiqua" w:hAnsi="Book Antiqua"/>
        </w:rPr>
      </w:pPr>
      <w:r w:rsidRPr="001B282A">
        <w:rPr>
          <w:rFonts w:ascii="Book Antiqua" w:hAnsi="Book Antiqua"/>
        </w:rPr>
        <w:t xml:space="preserve">Intervenor Compensation is permitted in this proceeding.  </w:t>
      </w:r>
      <w:bookmarkStart w:name="_Toc372290347" w:id="31"/>
      <w:r w:rsidRPr="001B282A">
        <w:rPr>
          <w:rFonts w:ascii="Book Antiqua" w:hAnsi="Book Antiqua"/>
        </w:rPr>
        <w:t xml:space="preserve">Any party that expects to claim intervenor compensation for its participation in this Rulemaking must file a timely notice of intent to claim intervenor compensation.  </w:t>
      </w:r>
      <w:r w:rsidRPr="001B282A" w:rsidR="00156D70">
        <w:rPr>
          <w:rFonts w:ascii="Book Antiqua" w:hAnsi="Book Antiqua"/>
        </w:rPr>
        <w:br/>
      </w:r>
      <w:r w:rsidRPr="001B282A">
        <w:rPr>
          <w:rFonts w:ascii="Book Antiqua" w:hAnsi="Book Antiqua"/>
        </w:rPr>
        <w:t>(</w:t>
      </w:r>
      <w:r w:rsidRPr="001B282A" w:rsidR="004C4E2F">
        <w:rPr>
          <w:rFonts w:ascii="Book Antiqua" w:hAnsi="Book Antiqua"/>
          <w:i/>
          <w:iCs/>
        </w:rPr>
        <w:t>S</w:t>
      </w:r>
      <w:r w:rsidRPr="001B282A">
        <w:rPr>
          <w:rFonts w:ascii="Book Antiqua" w:hAnsi="Book Antiqua"/>
          <w:i/>
          <w:iCs/>
        </w:rPr>
        <w:t>ee</w:t>
      </w:r>
      <w:r w:rsidRPr="001B282A">
        <w:rPr>
          <w:rFonts w:ascii="Book Antiqua" w:hAnsi="Book Antiqua"/>
          <w:iCs/>
        </w:rPr>
        <w:t xml:space="preserve"> </w:t>
      </w:r>
      <w:r w:rsidRPr="001B282A">
        <w:rPr>
          <w:rFonts w:ascii="Book Antiqua" w:hAnsi="Book Antiqua"/>
        </w:rPr>
        <w:t>Rule 17.1(a)(2).)</w:t>
      </w:r>
      <w:bookmarkEnd w:id="31"/>
      <w:r w:rsidRPr="001B282A">
        <w:rPr>
          <w:rFonts w:ascii="Book Antiqua" w:hAnsi="Book Antiqua"/>
        </w:rPr>
        <w:t xml:space="preserve">  Intervenor compensation rules are governed by </w:t>
      </w:r>
      <w:r w:rsidRPr="001B282A" w:rsidR="00530267">
        <w:rPr>
          <w:rFonts w:ascii="Book Antiqua" w:hAnsi="Book Antiqua"/>
        </w:rPr>
        <w:br/>
      </w:r>
      <w:r w:rsidRPr="001B282A" w:rsidR="00DF0323">
        <w:rPr>
          <w:rFonts w:ascii="Book Antiqua" w:hAnsi="Book Antiqua"/>
        </w:rPr>
        <w:t>Section</w:t>
      </w:r>
      <w:r w:rsidRPr="001B282A">
        <w:rPr>
          <w:rFonts w:ascii="Book Antiqua" w:hAnsi="Book Antiqua"/>
        </w:rPr>
        <w:t xml:space="preserve"> 1801 </w:t>
      </w:r>
      <w:r w:rsidRPr="001B282A">
        <w:rPr>
          <w:rFonts w:ascii="Book Antiqua" w:hAnsi="Book Antiqua"/>
          <w:i/>
          <w:iCs/>
        </w:rPr>
        <w:t>et seq</w:t>
      </w:r>
      <w:r w:rsidRPr="001B282A">
        <w:rPr>
          <w:rFonts w:ascii="Book Antiqua" w:hAnsi="Book Antiqua"/>
        </w:rPr>
        <w:t xml:space="preserve">.  Parties new to participating in </w:t>
      </w:r>
      <w:r w:rsidRPr="00F44F79" w:rsidR="00501A66">
        <w:rPr>
          <w:rFonts w:ascii="Book Antiqua" w:hAnsi="Book Antiqua"/>
        </w:rPr>
        <w:t>Commission</w:t>
      </w:r>
      <w:r w:rsidRPr="001B282A">
        <w:rPr>
          <w:rFonts w:ascii="Book Antiqua" w:hAnsi="Book Antiqua"/>
        </w:rPr>
        <w:t xml:space="preserve"> proceedings may contact the </w:t>
      </w:r>
      <w:r w:rsidRPr="00F44F79" w:rsidR="00501A66">
        <w:rPr>
          <w:rFonts w:ascii="Book Antiqua" w:hAnsi="Book Antiqua"/>
        </w:rPr>
        <w:t>Commission</w:t>
      </w:r>
      <w:r w:rsidRPr="001B282A">
        <w:rPr>
          <w:rFonts w:ascii="Book Antiqua" w:hAnsi="Book Antiqua"/>
        </w:rPr>
        <w:t>’s Public Advisor.</w:t>
      </w:r>
    </w:p>
    <w:p w:rsidRPr="001B282A" w:rsidR="008669C1" w:rsidP="008669C1" w:rsidRDefault="008669C1" w14:paraId="5D69F5CD" w14:textId="77777777">
      <w:pPr>
        <w:pStyle w:val="Heading1"/>
        <w:rPr>
          <w:rFonts w:asciiTheme="minorHAnsi" w:hAnsiTheme="minorHAnsi" w:eastAsiaTheme="minorEastAsia" w:cstheme="minorBidi"/>
        </w:rPr>
      </w:pPr>
      <w:bookmarkStart w:name="_Toc71038958" w:id="32"/>
      <w:r>
        <w:t>Public Advisor</w:t>
      </w:r>
      <w:bookmarkEnd w:id="32"/>
    </w:p>
    <w:p w:rsidR="00891C4B" w:rsidP="00891C4B" w:rsidRDefault="00891C4B" w14:paraId="31FF2198" w14:textId="1395F738">
      <w:pPr>
        <w:pStyle w:val="Standard"/>
      </w:pPr>
      <w:r w:rsidRPr="001B282A">
        <w:t xml:space="preserve">Any person interested in participating in this proceeding who is unfamiliar with the </w:t>
      </w:r>
      <w:r w:rsidRPr="00F44F79" w:rsidR="00501A66">
        <w:t>Commission</w:t>
      </w:r>
      <w:r w:rsidRPr="001B282A">
        <w:t xml:space="preserve">’s procedures or has questions about the electronic filing procedures is encouraged to obtain more information at </w:t>
      </w:r>
      <w:hyperlink w:history="1" r:id="rId19">
        <w:r w:rsidRPr="001B282A" w:rsidR="00BB4F77">
          <w:rPr>
            <w:rStyle w:val="Hyperlink"/>
          </w:rPr>
          <w:t>consumers.cpuc.ca.gov/pao</w:t>
        </w:r>
      </w:hyperlink>
      <w:r w:rsidRPr="001B282A">
        <w:t xml:space="preserve"> or contact the </w:t>
      </w:r>
      <w:r w:rsidRPr="00F44F79" w:rsidR="00501A66">
        <w:t>Commission</w:t>
      </w:r>
      <w:r w:rsidRPr="001B282A">
        <w:t xml:space="preserve">’s Public Advisor at </w:t>
      </w:r>
      <w:r w:rsidRPr="001B282A" w:rsidR="00CD5646">
        <w:br/>
      </w:r>
      <w:r w:rsidRPr="001B282A" w:rsidR="00CD5646">
        <w:lastRenderedPageBreak/>
        <w:t>1-</w:t>
      </w:r>
      <w:r w:rsidRPr="001B282A">
        <w:t xml:space="preserve">866-849-8390 or 866-836-7825 (TYY), or send an e-mail to </w:t>
      </w:r>
      <w:hyperlink w:history="1" r:id="rId20">
        <w:r w:rsidRPr="001B282A">
          <w:rPr>
            <w:rStyle w:val="Hyperlink"/>
          </w:rPr>
          <w:t>public.advisor@cpuc.ca.gov</w:t>
        </w:r>
      </w:hyperlink>
      <w:r w:rsidRPr="001B282A">
        <w:t xml:space="preserve">. </w:t>
      </w:r>
    </w:p>
    <w:p w:rsidRPr="001B282A" w:rsidR="003C3F08" w:rsidP="003C3F08" w:rsidRDefault="003C3F08" w14:paraId="7B39ECBE" w14:textId="1C78A079">
      <w:pPr>
        <w:pStyle w:val="Mainex"/>
        <w:spacing w:after="120"/>
      </w:pPr>
      <w:bookmarkStart w:name="_Toc71038959" w:id="33"/>
      <w:r>
        <w:t>ORDER</w:t>
      </w:r>
      <w:bookmarkEnd w:id="33"/>
    </w:p>
    <w:p w:rsidRPr="001B282A" w:rsidR="008669C1" w:rsidP="003C3F08" w:rsidRDefault="008669C1" w14:paraId="4159F8EE" w14:textId="77777777">
      <w:pPr>
        <w:pStyle w:val="Standard"/>
      </w:pPr>
      <w:r w:rsidRPr="001B282A">
        <w:t xml:space="preserve">Therefore, </w:t>
      </w:r>
      <w:r w:rsidRPr="001B282A">
        <w:rPr>
          <w:b/>
        </w:rPr>
        <w:t>IT IS ORDERED</w:t>
      </w:r>
      <w:r w:rsidRPr="001B282A">
        <w:t xml:space="preserve"> that:</w:t>
      </w:r>
    </w:p>
    <w:p w:rsidRPr="009D4B65" w:rsidR="00E805A3" w:rsidP="00894BC1" w:rsidRDefault="00E805A3" w14:paraId="66C10981" w14:textId="50B0DD1D">
      <w:pPr>
        <w:pStyle w:val="OP"/>
        <w:tabs>
          <w:tab w:val="left" w:pos="720"/>
        </w:tabs>
        <w:ind w:left="0" w:firstLine="302"/>
        <w:rPr>
          <w:rFonts w:ascii="Palatino" w:hAnsi="Palatino" w:eastAsia="Times New Roman" w:cs="Times New Roman"/>
          <w:szCs w:val="20"/>
        </w:rPr>
      </w:pPr>
      <w:r w:rsidRPr="00254C78">
        <w:t>This Order Instituting Rulemaking is adopted pursuant to Rule 6.1 of the Commission’s Rules of Practice and Procedure.</w:t>
      </w:r>
    </w:p>
    <w:p w:rsidRPr="00B556C0" w:rsidR="008669C1" w:rsidP="00894BC1" w:rsidRDefault="008669C1" w14:paraId="736243C3" w14:textId="568FA538">
      <w:pPr>
        <w:pStyle w:val="OP"/>
        <w:tabs>
          <w:tab w:val="left" w:pos="720"/>
        </w:tabs>
        <w:ind w:left="0" w:firstLine="306"/>
        <w:rPr>
          <w:rFonts w:asciiTheme="minorHAnsi" w:hAnsiTheme="minorHAnsi" w:eastAsiaTheme="minorEastAsia"/>
          <w:szCs w:val="26"/>
        </w:rPr>
      </w:pPr>
      <w:r w:rsidRPr="00B556C0">
        <w:t xml:space="preserve">The preliminary categorization is </w:t>
      </w:r>
      <w:r w:rsidR="00776239">
        <w:t>quasi-legislative</w:t>
      </w:r>
      <w:r w:rsidRPr="00B556C0">
        <w:t>.</w:t>
      </w:r>
    </w:p>
    <w:p w:rsidRPr="00B556C0" w:rsidR="008669C1" w:rsidP="00894BC1" w:rsidRDefault="008669C1" w14:paraId="1BCE870E" w14:textId="77777777">
      <w:pPr>
        <w:pStyle w:val="OP"/>
        <w:tabs>
          <w:tab w:val="left" w:pos="720"/>
        </w:tabs>
        <w:ind w:left="0" w:firstLine="306"/>
        <w:rPr>
          <w:rFonts w:asciiTheme="minorHAnsi" w:hAnsiTheme="minorHAnsi" w:eastAsiaTheme="minorEastAsia"/>
          <w:szCs w:val="26"/>
        </w:rPr>
      </w:pPr>
      <w:r w:rsidRPr="00B556C0">
        <w:t>The preliminary determination is that a hearing is not needed.</w:t>
      </w:r>
    </w:p>
    <w:p w:rsidRPr="00B556C0" w:rsidR="008669C1" w:rsidP="00894BC1" w:rsidRDefault="008669C1" w14:paraId="5D1FD743" w14:textId="369AA146">
      <w:pPr>
        <w:pStyle w:val="OP"/>
        <w:tabs>
          <w:tab w:val="left" w:pos="720"/>
        </w:tabs>
        <w:ind w:left="0" w:firstLine="306"/>
        <w:rPr>
          <w:rFonts w:asciiTheme="minorHAnsi" w:hAnsiTheme="minorHAnsi" w:eastAsiaTheme="minorEastAsia"/>
          <w:szCs w:val="26"/>
        </w:rPr>
      </w:pPr>
      <w:r w:rsidRPr="00B556C0">
        <w:t xml:space="preserve">The preliminarily scope </w:t>
      </w:r>
      <w:r w:rsidR="00A231E5">
        <w:t>for the proceeding is</w:t>
      </w:r>
      <w:r w:rsidR="00945FE3">
        <w:t xml:space="preserve"> </w:t>
      </w:r>
      <w:r w:rsidRPr="00B556C0">
        <w:t>as stated above.</w:t>
      </w:r>
    </w:p>
    <w:p w:rsidRPr="009D4B65" w:rsidR="008669C1" w:rsidP="00894BC1" w:rsidRDefault="008669C1" w14:paraId="6150755F" w14:textId="4C173715">
      <w:pPr>
        <w:pStyle w:val="OP"/>
        <w:tabs>
          <w:tab w:val="left" w:pos="720"/>
        </w:tabs>
        <w:ind w:left="0" w:firstLine="306"/>
        <w:rPr>
          <w:rFonts w:asciiTheme="minorHAnsi" w:hAnsiTheme="minorHAnsi" w:eastAsiaTheme="minorEastAsia"/>
          <w:szCs w:val="26"/>
        </w:rPr>
      </w:pPr>
      <w:r w:rsidRPr="008F7EF6">
        <w:t xml:space="preserve">The preliminary schedule for the proceeding is as set forth above.  </w:t>
      </w:r>
    </w:p>
    <w:p w:rsidRPr="009D4B65" w:rsidR="00E805A3" w:rsidP="00894BC1" w:rsidRDefault="00E805A3" w14:paraId="1B1700EF" w14:textId="769658DA">
      <w:pPr>
        <w:pStyle w:val="OP"/>
        <w:tabs>
          <w:tab w:val="left" w:pos="720"/>
        </w:tabs>
        <w:ind w:left="0" w:firstLine="306"/>
        <w:rPr>
          <w:rFonts w:asciiTheme="minorHAnsi" w:hAnsiTheme="minorHAnsi" w:eastAsiaTheme="minorEastAsia"/>
          <w:szCs w:val="26"/>
        </w:rPr>
      </w:pPr>
      <w:r w:rsidRPr="001B282A">
        <w:t xml:space="preserve">Pacific Gas and Electric Company, San Diego Gas and Electric Company, and Southern California Edison Company are named as respondents and are parties to this proceeding pursuant to Rule 1.4(d) of the </w:t>
      </w:r>
      <w:r w:rsidRPr="00F44F79">
        <w:t>Commission</w:t>
      </w:r>
      <w:r w:rsidRPr="001B282A">
        <w:t>’s Rules of Practice and Procedure.</w:t>
      </w:r>
    </w:p>
    <w:p w:rsidRPr="009D4B65" w:rsidR="00E805A3" w:rsidP="00894BC1" w:rsidRDefault="00195B74" w14:paraId="713F5A0B" w14:textId="31673A82">
      <w:pPr>
        <w:pStyle w:val="OP"/>
        <w:tabs>
          <w:tab w:val="left" w:pos="720"/>
        </w:tabs>
        <w:ind w:left="0" w:firstLine="306"/>
        <w:rPr>
          <w:rFonts w:asciiTheme="minorHAnsi" w:hAnsiTheme="minorHAnsi" w:eastAsiaTheme="minorEastAsia"/>
          <w:szCs w:val="26"/>
        </w:rPr>
      </w:pPr>
      <w:r w:rsidRPr="001B282A">
        <w:t xml:space="preserve">Pacific Gas and Electric Company, San Diego Gas and Electric Company, and Southern California Edison Company </w:t>
      </w:r>
      <w:r>
        <w:t xml:space="preserve">shall, and any other person may, file comments </w:t>
      </w:r>
      <w:r w:rsidR="00DC7544">
        <w:t>on the preliminary scope and schedule</w:t>
      </w:r>
      <w:r>
        <w:t xml:space="preserve"> </w:t>
      </w:r>
      <w:r w:rsidR="00DC7544">
        <w:t xml:space="preserve">for </w:t>
      </w:r>
      <w:r>
        <w:t xml:space="preserve">this </w:t>
      </w:r>
      <w:r w:rsidRPr="00B556C0" w:rsidR="00E805A3">
        <w:t>Order Instituting Rulemaking</w:t>
      </w:r>
      <w:r w:rsidR="00E805A3">
        <w:t xml:space="preserve"> </w:t>
      </w:r>
      <w:r>
        <w:t xml:space="preserve">(OIR) no later than </w:t>
      </w:r>
      <w:r w:rsidR="00DC7544">
        <w:t>45</w:t>
      </w:r>
      <w:r>
        <w:t xml:space="preserve"> days following the issuance of this OIR.  R</w:t>
      </w:r>
      <w:r w:rsidR="00E805A3">
        <w:t xml:space="preserve">eply comments are due </w:t>
      </w:r>
      <w:r w:rsidR="00DC7544">
        <w:t>15</w:t>
      </w:r>
      <w:r w:rsidR="00E805A3">
        <w:t xml:space="preserve"> </w:t>
      </w:r>
      <w:r w:rsidRPr="00B556C0" w:rsidR="00E805A3">
        <w:t xml:space="preserve">days after </w:t>
      </w:r>
      <w:r w:rsidR="00DC7544">
        <w:t>the Energy Division-led workshop to be held in September 2021</w:t>
      </w:r>
      <w:r w:rsidRPr="00B556C0" w:rsidR="00E805A3">
        <w:t>.</w:t>
      </w:r>
    </w:p>
    <w:p w:rsidRPr="009D4B65" w:rsidR="00E805A3" w:rsidP="00894BC1" w:rsidRDefault="00E805A3" w14:paraId="7D5FAD4D" w14:textId="222A8A9D">
      <w:pPr>
        <w:pStyle w:val="OP"/>
        <w:tabs>
          <w:tab w:val="left" w:pos="720"/>
        </w:tabs>
        <w:ind w:left="0" w:firstLine="306"/>
        <w:rPr>
          <w:rFonts w:asciiTheme="minorHAnsi" w:hAnsiTheme="minorHAnsi" w:eastAsiaTheme="minorEastAsia"/>
          <w:szCs w:val="26"/>
        </w:rPr>
      </w:pPr>
      <w:r w:rsidRPr="00B556C0">
        <w:t>Interested persons must follow the directions of this Order Instituting Rulemaking to become a party or to be placed on the official service list as information-only.</w:t>
      </w:r>
    </w:p>
    <w:p w:rsidRPr="00E805A3" w:rsidR="00E805A3" w:rsidP="00894BC1" w:rsidRDefault="00E805A3" w14:paraId="290B5311" w14:textId="551468E0">
      <w:pPr>
        <w:pStyle w:val="OP"/>
        <w:tabs>
          <w:tab w:val="left" w:pos="720"/>
        </w:tabs>
        <w:ind w:left="0" w:firstLine="306"/>
        <w:rPr>
          <w:rFonts w:asciiTheme="minorHAnsi" w:hAnsiTheme="minorHAnsi" w:eastAsiaTheme="minorEastAsia"/>
          <w:szCs w:val="26"/>
        </w:rPr>
      </w:pPr>
      <w:r w:rsidRPr="008F7EF6">
        <w:t>Any party that expects to claim intervenor compensation for its participation in this Rulemaking must timely file its notice of intent to claim intervenor compensation</w:t>
      </w:r>
      <w:r>
        <w:t xml:space="preserve"> pursuant to </w:t>
      </w:r>
      <w:r w:rsidRPr="008F7EF6">
        <w:t>Rule 17.1(a)(2).</w:t>
      </w:r>
    </w:p>
    <w:p w:rsidRPr="00B556C0" w:rsidR="00E805A3" w:rsidP="00894BC1" w:rsidRDefault="00E805A3" w14:paraId="5A886C04" w14:textId="77777777">
      <w:pPr>
        <w:pStyle w:val="OP"/>
        <w:tabs>
          <w:tab w:val="left" w:pos="720"/>
        </w:tabs>
        <w:ind w:left="0" w:firstLine="306"/>
        <w:rPr>
          <w:rFonts w:asciiTheme="minorHAnsi" w:hAnsiTheme="minorHAnsi" w:eastAsiaTheme="minorEastAsia"/>
          <w:szCs w:val="26"/>
        </w:rPr>
      </w:pPr>
      <w:r w:rsidRPr="00B556C0">
        <w:lastRenderedPageBreak/>
        <w:t>The assigned Commissioner or the assigned Administrative Law Judge(s) will have on-going oversight of the service list and may institute changes to the list or the rules governing it, as needed.</w:t>
      </w:r>
    </w:p>
    <w:p w:rsidRPr="00B556C0" w:rsidR="00E805A3" w:rsidP="00894BC1" w:rsidRDefault="00E805A3" w14:paraId="502D532D" w14:textId="2F9838D1">
      <w:pPr>
        <w:pStyle w:val="OP"/>
        <w:tabs>
          <w:tab w:val="left" w:pos="720"/>
        </w:tabs>
        <w:ind w:left="0" w:firstLine="306"/>
        <w:rPr>
          <w:rFonts w:asciiTheme="minorHAnsi" w:hAnsiTheme="minorHAnsi" w:eastAsiaTheme="minorEastAsia"/>
          <w:szCs w:val="26"/>
        </w:rPr>
      </w:pPr>
      <w:r w:rsidRPr="00B556C0">
        <w:t xml:space="preserve">The assigned Commissioner </w:t>
      </w:r>
      <w:r>
        <w:t>and</w:t>
      </w:r>
      <w:r w:rsidRPr="00B556C0">
        <w:t xml:space="preserve"> the assigned Administrative Law Judge</w:t>
      </w:r>
      <w:r w:rsidR="00A231E5">
        <w:t>(s)</w:t>
      </w:r>
      <w:r w:rsidRPr="00B556C0">
        <w:t xml:space="preserve"> may modify the activities and schedule established in this Order Instituting Rulemaking as necessary for the efficient conduct of this proceeding.</w:t>
      </w:r>
    </w:p>
    <w:p w:rsidRPr="009D4B65" w:rsidR="00E805A3" w:rsidP="00894BC1" w:rsidRDefault="00E805A3" w14:paraId="75DCB54B" w14:textId="65E7C252">
      <w:pPr>
        <w:pStyle w:val="OP"/>
        <w:tabs>
          <w:tab w:val="left" w:pos="720"/>
        </w:tabs>
        <w:ind w:left="0" w:firstLine="306"/>
        <w:rPr>
          <w:rFonts w:asciiTheme="minorHAnsi" w:hAnsiTheme="minorHAnsi" w:eastAsiaTheme="minorEastAsia"/>
          <w:szCs w:val="26"/>
        </w:rPr>
      </w:pPr>
      <w:r w:rsidRPr="00B556C0">
        <w:t xml:space="preserve">Parties serving documents in this proceeding must comply with Rule 1.10 of the </w:t>
      </w:r>
      <w:r w:rsidRPr="00F44F79">
        <w:t>Commission</w:t>
      </w:r>
      <w:r w:rsidRPr="00B556C0">
        <w:t xml:space="preserve">’s Rules of Practice and Procedure regarding electronic mail (e-mail) service.  </w:t>
      </w:r>
    </w:p>
    <w:p w:rsidRPr="003C3F08" w:rsidR="00E805A3" w:rsidP="00894BC1" w:rsidRDefault="00E805A3" w14:paraId="41FD9714" w14:textId="2E07CFF0">
      <w:pPr>
        <w:pStyle w:val="OP"/>
        <w:tabs>
          <w:tab w:val="left" w:pos="720"/>
        </w:tabs>
        <w:ind w:left="0" w:firstLine="306"/>
        <w:rPr>
          <w:rFonts w:asciiTheme="minorHAnsi" w:hAnsiTheme="minorHAnsi" w:eastAsiaTheme="minorEastAsia"/>
          <w:szCs w:val="26"/>
        </w:rPr>
      </w:pPr>
      <w:r>
        <w:t xml:space="preserve">The Executive Director will cause this Order Instituting Rulemaking to be served on all respondents and on the service lists for the following </w:t>
      </w:r>
      <w:r w:rsidRPr="00F44F79">
        <w:t>Commission</w:t>
      </w:r>
      <w:r w:rsidRPr="00B556C0">
        <w:t xml:space="preserve"> proceedings: Rulemaking (R.) </w:t>
      </w:r>
      <w:r w:rsidRPr="002D248D">
        <w:t>13-09-011</w:t>
      </w:r>
      <w:r w:rsidRPr="00B556C0">
        <w:t xml:space="preserve">, </w:t>
      </w:r>
      <w:r w:rsidRPr="00AF1D41">
        <w:t>R.13-11-005, R.14</w:t>
      </w:r>
      <w:r w:rsidR="003C3F08">
        <w:noBreakHyphen/>
      </w:r>
      <w:r w:rsidRPr="00AF1D41">
        <w:t>08</w:t>
      </w:r>
      <w:r w:rsidR="003C3F08">
        <w:noBreakHyphen/>
      </w:r>
      <w:r w:rsidRPr="00AF1D41">
        <w:t>013, R.14-10-003, R.16-02-007, R.17-07-007, R.18-04-019, R.18-07-006, R.18-10-007, R.18-12-005, R.18</w:t>
      </w:r>
      <w:r w:rsidR="00894BC1">
        <w:noBreakHyphen/>
      </w:r>
      <w:r w:rsidRPr="00AF1D41">
        <w:t>12-006, R.19-01-011, R.19-03-009, R.19-09-009, R.19-10-005, R.20-01-007, R.20</w:t>
      </w:r>
      <w:r w:rsidR="00894BC1">
        <w:noBreakHyphen/>
      </w:r>
      <w:r w:rsidRPr="00AF1D41">
        <w:t>05-003, R.20-05-012, R.20-08-020, R.20-08-022, R.20-11-003</w:t>
      </w:r>
      <w:r>
        <w:t xml:space="preserve">, </w:t>
      </w:r>
      <w:r w:rsidRPr="00B556C0">
        <w:t>and Application (A.)</w:t>
      </w:r>
      <w:r w:rsidR="00894BC1">
        <w:t> </w:t>
      </w:r>
      <w:r w:rsidRPr="000635FE">
        <w:t>14-11-007 et al., A.17-01-012 et al., A.17</w:t>
      </w:r>
      <w:r w:rsidR="003C3F08">
        <w:noBreakHyphen/>
      </w:r>
      <w:r w:rsidRPr="000635FE">
        <w:t>01-013 et al., and A.18-11-015 et. al</w:t>
      </w:r>
      <w:r w:rsidRPr="00B556C0">
        <w:t xml:space="preserve">.  </w:t>
      </w:r>
    </w:p>
    <w:p w:rsidRPr="008F7EF6" w:rsidR="008669C1" w:rsidP="005D2332" w:rsidRDefault="008669C1" w14:paraId="5C8F3ECB" w14:textId="77777777">
      <w:pPr>
        <w:pStyle w:val="Standard"/>
      </w:pPr>
      <w:r w:rsidRPr="008F7EF6">
        <w:t>This order is effective today.</w:t>
      </w:r>
    </w:p>
    <w:p w:rsidRPr="0012646D" w:rsidR="00A51C42" w:rsidP="00BC44D1" w:rsidRDefault="008F0116" w14:paraId="0918E3B6" w14:textId="7CDC51D5">
      <w:pPr>
        <w:pStyle w:val="Standard"/>
        <w:rPr>
          <w:b/>
          <w:bCs/>
        </w:rPr>
      </w:pPr>
      <w:r w:rsidRPr="008F7EF6">
        <w:t xml:space="preserve">Dated </w:t>
      </w:r>
      <w:r w:rsidRPr="008F7EF6" w:rsidR="1E346051">
        <w:t>_____________</w:t>
      </w:r>
      <w:r w:rsidRPr="008F7EF6">
        <w:t>, at San Francisco, California</w:t>
      </w:r>
      <w:r w:rsidRPr="008F7EF6" w:rsidR="006B5C99">
        <w:t>.</w:t>
      </w:r>
    </w:p>
    <w:sectPr w:rsidRPr="0012646D" w:rsidR="00A51C42" w:rsidSect="00AE078E">
      <w:pgSz w:w="12240" w:h="15840"/>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B700" w14:textId="77777777" w:rsidR="008E07B0" w:rsidRDefault="008E07B0" w:rsidP="0098138E">
      <w:pPr>
        <w:spacing w:line="240" w:lineRule="auto"/>
      </w:pPr>
      <w:r>
        <w:separator/>
      </w:r>
    </w:p>
  </w:endnote>
  <w:endnote w:type="continuationSeparator" w:id="0">
    <w:p w14:paraId="3D60960E" w14:textId="77777777" w:rsidR="008E07B0" w:rsidRDefault="008E07B0" w:rsidP="0098138E">
      <w:pPr>
        <w:spacing w:line="240" w:lineRule="auto"/>
      </w:pPr>
      <w:r>
        <w:continuationSeparator/>
      </w:r>
    </w:p>
  </w:endnote>
  <w:endnote w:type="continuationNotice" w:id="1">
    <w:p w14:paraId="1054CED3" w14:textId="77777777" w:rsidR="008E07B0" w:rsidRDefault="008E07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75205"/>
      <w:docPartObj>
        <w:docPartGallery w:val="Page Numbers (Bottom of Page)"/>
        <w:docPartUnique/>
      </w:docPartObj>
    </w:sdtPr>
    <w:sdtEndPr>
      <w:rPr>
        <w:noProof/>
      </w:rPr>
    </w:sdtEndPr>
    <w:sdtContent>
      <w:p w14:paraId="689D3567" w14:textId="302D2F54" w:rsidR="00195B74" w:rsidRPr="00AE078E" w:rsidRDefault="00AE078E" w:rsidP="00AE0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59A5" w14:textId="28096B69" w:rsidR="00195B74" w:rsidRPr="00AE078E" w:rsidRDefault="00686586" w:rsidP="00686586">
    <w:pPr>
      <w:pStyle w:val="Footer"/>
      <w:ind w:firstLine="0"/>
    </w:pPr>
    <w:r w:rsidRPr="00686586">
      <w:rPr>
        <w:sz w:val="18"/>
        <w:szCs w:val="18"/>
      </w:rPr>
      <w:t>382451995</w:t>
    </w:r>
    <w:r>
      <w:tab/>
    </w:r>
    <w:sdt>
      <w:sdtPr>
        <w:id w:val="1278064937"/>
        <w:docPartObj>
          <w:docPartGallery w:val="Page Numbers (Bottom of Page)"/>
          <w:docPartUnique/>
        </w:docPartObj>
      </w:sdtPr>
      <w:sdtEndPr>
        <w:rPr>
          <w:noProof/>
        </w:rPr>
      </w:sdtEndPr>
      <w:sdtContent>
        <w:r w:rsidR="00AE078E">
          <w:fldChar w:fldCharType="begin"/>
        </w:r>
        <w:r w:rsidR="00AE078E">
          <w:instrText xml:space="preserve"> PAGE   \* MERGEFORMAT </w:instrText>
        </w:r>
        <w:r w:rsidR="00AE078E">
          <w:fldChar w:fldCharType="separate"/>
        </w:r>
        <w:r w:rsidR="00AE078E">
          <w:rPr>
            <w:noProof/>
          </w:rPr>
          <w:t>2</w:t>
        </w:r>
        <w:r w:rsidR="00AE078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50932"/>
      <w:docPartObj>
        <w:docPartGallery w:val="Page Numbers (Bottom of Page)"/>
        <w:docPartUnique/>
      </w:docPartObj>
    </w:sdtPr>
    <w:sdtEndPr>
      <w:rPr>
        <w:noProof/>
      </w:rPr>
    </w:sdtEndPr>
    <w:sdtContent>
      <w:p w14:paraId="446B1AB3" w14:textId="5FDDD76E" w:rsidR="00AE078E" w:rsidRPr="00AE078E" w:rsidRDefault="00AE078E" w:rsidP="00AE0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F953" w14:textId="77777777" w:rsidR="008E07B0" w:rsidRDefault="008E07B0" w:rsidP="00DF58E7">
      <w:pPr>
        <w:spacing w:line="240" w:lineRule="auto"/>
        <w:ind w:firstLine="0"/>
      </w:pPr>
      <w:r>
        <w:separator/>
      </w:r>
    </w:p>
  </w:footnote>
  <w:footnote w:type="continuationSeparator" w:id="0">
    <w:p w14:paraId="55B8ADD6" w14:textId="77777777" w:rsidR="008E07B0" w:rsidRDefault="008E07B0" w:rsidP="00DF58E7">
      <w:pPr>
        <w:spacing w:line="240" w:lineRule="auto"/>
        <w:ind w:firstLine="0"/>
      </w:pPr>
      <w:r>
        <w:continuationSeparator/>
      </w:r>
    </w:p>
  </w:footnote>
  <w:footnote w:type="continuationNotice" w:id="1">
    <w:p w14:paraId="60B8B227" w14:textId="77777777" w:rsidR="008E07B0" w:rsidRPr="00DF58E7" w:rsidRDefault="008E07B0" w:rsidP="00DF58E7">
      <w:pPr>
        <w:spacing w:line="240" w:lineRule="auto"/>
        <w:ind w:firstLine="0"/>
        <w:jc w:val="right"/>
        <w:rPr>
          <w:i/>
          <w:sz w:val="22"/>
        </w:rPr>
      </w:pPr>
      <w:r w:rsidRPr="00DF58E7">
        <w:rPr>
          <w:i/>
          <w:sz w:val="22"/>
        </w:rPr>
        <w:t>Footnote continued on next page.</w:t>
      </w:r>
    </w:p>
  </w:footnote>
  <w:footnote w:id="2">
    <w:p w14:paraId="1758736E" w14:textId="352D9BA8" w:rsidR="00195B74" w:rsidRDefault="00195B74">
      <w:pPr>
        <w:pStyle w:val="FootnoteText"/>
      </w:pPr>
      <w:r>
        <w:rPr>
          <w:rStyle w:val="FootnoteReference"/>
        </w:rPr>
        <w:footnoteRef/>
      </w:r>
      <w:r w:rsidR="00843747">
        <w:t xml:space="preserve">  “</w:t>
      </w:r>
      <w:r>
        <w:t>D</w:t>
      </w:r>
      <w:r w:rsidRPr="00E058D5">
        <w:t>istributed resources</w:t>
      </w:r>
      <w:r>
        <w:t>’</w:t>
      </w:r>
      <w:r w:rsidRPr="00E058D5">
        <w:t xml:space="preserve"> means distributed renewable generation resources, energy efficiency, energy storage, electric vehicles, and demand response technologies</w:t>
      </w:r>
      <w:r>
        <w:t xml:space="preserve">” (AB 327 and Section 769(a)). The Federal Energy Regulatory Commission (FERC) </w:t>
      </w:r>
      <w:r w:rsidRPr="009A366B">
        <w:t>define</w:t>
      </w:r>
      <w:r>
        <w:t>s</w:t>
      </w:r>
      <w:r w:rsidRPr="009A366B">
        <w:t xml:space="preserve"> </w:t>
      </w:r>
      <w:r>
        <w:t>d</w:t>
      </w:r>
      <w:r w:rsidRPr="005C4F1D">
        <w:t xml:space="preserve">istributed </w:t>
      </w:r>
      <w:r>
        <w:t>e</w:t>
      </w:r>
      <w:r w:rsidRPr="005C4F1D">
        <w:t xml:space="preserve">nergy </w:t>
      </w:r>
      <w:r>
        <w:t>r</w:t>
      </w:r>
      <w:r w:rsidRPr="005C4F1D">
        <w:t>esources</w:t>
      </w:r>
      <w:r>
        <w:t xml:space="preserve"> (DERs) “</w:t>
      </w:r>
      <w:r w:rsidRPr="009A366B">
        <w:t>as any resource located on the distribution system, any subsystem thereof or behind a customer meter.</w:t>
      </w:r>
      <w:r>
        <w:t>” … “</w:t>
      </w:r>
      <w:r w:rsidRPr="00DD4B1C">
        <w:t>These resources may include, but are not limited to, resources that are in front of and behind the customer meter, electric storage resources, intermittent generation, distributed generation, demand response, energy efficiency, thermal storage, and electric vehicles and their supply equipment</w:t>
      </w:r>
      <w:r>
        <w:t xml:space="preserve">” (FERC Order No. 2222, </w:t>
      </w:r>
      <w:r w:rsidRPr="00E72A44">
        <w:t>86 FR 16511</w:t>
      </w:r>
      <w:r>
        <w:t>, June 1, 2021, at 11).</w:t>
      </w:r>
    </w:p>
  </w:footnote>
  <w:footnote w:id="3">
    <w:p w14:paraId="769E1381" w14:textId="69A7FE09" w:rsidR="00195B74" w:rsidRDefault="00195B74">
      <w:pPr>
        <w:pStyle w:val="FootnoteText"/>
      </w:pPr>
      <w:r>
        <w:rPr>
          <w:rStyle w:val="FootnoteReference"/>
        </w:rPr>
        <w:footnoteRef/>
      </w:r>
      <w:r>
        <w:t xml:space="preserve"> </w:t>
      </w:r>
      <w:r w:rsidR="00843747">
        <w:t xml:space="preserve"> </w:t>
      </w:r>
      <w:r>
        <w:t>All statutory references are to the California Public Utilities Code unless otherwise noted.</w:t>
      </w:r>
    </w:p>
  </w:footnote>
  <w:footnote w:id="4">
    <w:p w14:paraId="6C165E63" w14:textId="6CC9A05E" w:rsidR="00195B74" w:rsidRDefault="00195B74">
      <w:pPr>
        <w:pStyle w:val="FootnoteText"/>
      </w:pPr>
      <w:r>
        <w:rPr>
          <w:rStyle w:val="FootnoteReference"/>
        </w:rPr>
        <w:footnoteRef/>
      </w:r>
      <w:r>
        <w:t xml:space="preserve"> </w:t>
      </w:r>
      <w:r w:rsidR="00843747">
        <w:t xml:space="preserve"> </w:t>
      </w:r>
      <w:r>
        <w:t>Among the unresolved issues are whether the Integration Capacity Analysis (ICA) data are sufficient to support DER provider siting needs. Recent stakeholder comments about the ICA data will be carried forward into the new proceeding. For details, refer to t</w:t>
      </w:r>
      <w:r w:rsidRPr="00F01F0C">
        <w:t xml:space="preserve">he </w:t>
      </w:r>
      <w:r w:rsidRPr="00F01F0C">
        <w:rPr>
          <w:i/>
          <w:iCs/>
        </w:rPr>
        <w:t>January 27, 2021</w:t>
      </w:r>
      <w:r>
        <w:rPr>
          <w:i/>
          <w:iCs/>
        </w:rPr>
        <w:t>,</w:t>
      </w:r>
      <w:r w:rsidRPr="00F01F0C">
        <w:t xml:space="preserve"> </w:t>
      </w:r>
      <w:r w:rsidRPr="00F01F0C">
        <w:rPr>
          <w:i/>
          <w:iCs/>
        </w:rPr>
        <w:t>Administrative Law Judge’s Ruling on Joint Parties’ Motion for an Order Requiring Refinements to the Integration Capacity Analysis</w:t>
      </w:r>
      <w:r w:rsidRPr="00F01F0C">
        <w:t>.</w:t>
      </w:r>
    </w:p>
  </w:footnote>
  <w:footnote w:id="5">
    <w:p w14:paraId="5A79FD89" w14:textId="0E1A3515" w:rsidR="00195B74" w:rsidRDefault="00195B74" w:rsidP="001A27E5">
      <w:pPr>
        <w:pStyle w:val="FootnoteText"/>
      </w:pPr>
      <w:r>
        <w:rPr>
          <w:rStyle w:val="FootnoteReference"/>
        </w:rPr>
        <w:footnoteRef/>
      </w:r>
      <w:r>
        <w:t xml:space="preserve"> </w:t>
      </w:r>
      <w:r w:rsidR="00843747">
        <w:t xml:space="preserve"> </w:t>
      </w:r>
      <w:r>
        <w:t xml:space="preserve">To the extent that unresolved issues associated with the </w:t>
      </w:r>
      <w:r w:rsidRPr="00341FA9">
        <w:t xml:space="preserve">Avoided Cost Calculator </w:t>
      </w:r>
      <w:r>
        <w:t xml:space="preserve">exist, they </w:t>
      </w:r>
      <w:r w:rsidRPr="00341FA9">
        <w:t>are expected to be scoped into a separate proceeding.</w:t>
      </w:r>
    </w:p>
  </w:footnote>
  <w:footnote w:id="6">
    <w:p w14:paraId="05B70623" w14:textId="128EE50A" w:rsidR="00195B74" w:rsidRPr="006A590D" w:rsidRDefault="00195B74" w:rsidP="001A27E5">
      <w:pPr>
        <w:pStyle w:val="FootnoteText"/>
        <w:rPr>
          <w:i/>
          <w:iCs/>
        </w:rPr>
      </w:pPr>
      <w:r>
        <w:rPr>
          <w:rStyle w:val="FootnoteReference"/>
        </w:rPr>
        <w:footnoteRef/>
      </w:r>
      <w:r>
        <w:t xml:space="preserve"> </w:t>
      </w:r>
      <w:r w:rsidR="00843747">
        <w:t xml:space="preserve"> </w:t>
      </w:r>
      <w:r w:rsidRPr="006A590D">
        <w:rPr>
          <w:i/>
          <w:iCs/>
        </w:rPr>
        <w:t>OIR Regarding Policies, Procedures and Rules for Development of Distribution Resources</w:t>
      </w:r>
      <w:r>
        <w:rPr>
          <w:i/>
          <w:iCs/>
        </w:rPr>
        <w:t xml:space="preserve"> </w:t>
      </w:r>
      <w:r w:rsidRPr="006A590D">
        <w:rPr>
          <w:i/>
          <w:iCs/>
        </w:rPr>
        <w:t>Plans Pursuant to Public Utilities Code Section 769</w:t>
      </w:r>
      <w:r w:rsidRPr="006A590D">
        <w:t>, August 20, 2014</w:t>
      </w:r>
      <w:r>
        <w:t>,</w:t>
      </w:r>
      <w:r w:rsidRPr="006A590D">
        <w:t xml:space="preserve"> R.14-08-013.</w:t>
      </w:r>
    </w:p>
  </w:footnote>
  <w:footnote w:id="7">
    <w:p w14:paraId="59732FD9" w14:textId="0EF56383" w:rsidR="00195B74" w:rsidRDefault="00195B74" w:rsidP="001A27E5">
      <w:pPr>
        <w:pStyle w:val="FootnoteText"/>
      </w:pPr>
      <w:r>
        <w:rPr>
          <w:rStyle w:val="FootnoteReference"/>
        </w:rPr>
        <w:footnoteRef/>
      </w:r>
      <w:r>
        <w:t xml:space="preserve"> </w:t>
      </w:r>
      <w:r w:rsidR="00843747">
        <w:t xml:space="preserve"> </w:t>
      </w:r>
      <w:r w:rsidRPr="00487147">
        <w:rPr>
          <w:i/>
          <w:iCs/>
        </w:rPr>
        <w:t>OIR to Create a Consistent Regulatory Framework for the Guidance, Planning, and Evaluation of Integrated Demand-Side Resource Programs</w:t>
      </w:r>
      <w:r>
        <w:t>, October 8, 2014, R.14-10-003.</w:t>
      </w:r>
    </w:p>
  </w:footnote>
  <w:footnote w:id="8">
    <w:p w14:paraId="2CCDDBA0" w14:textId="76F758E0" w:rsidR="00195B74" w:rsidRDefault="00195B74">
      <w:pPr>
        <w:pStyle w:val="FootnoteText"/>
      </w:pPr>
      <w:r>
        <w:rPr>
          <w:rStyle w:val="FootnoteReference"/>
        </w:rPr>
        <w:footnoteRef/>
      </w:r>
      <w:r>
        <w:t xml:space="preserve"> </w:t>
      </w:r>
      <w:r w:rsidR="00843747">
        <w:t xml:space="preserve"> </w:t>
      </w:r>
      <w:r w:rsidRPr="00D21216">
        <w:t xml:space="preserve">Both proceedings remain open, however, the </w:t>
      </w:r>
      <w:r w:rsidRPr="00F44F79">
        <w:t>Commission</w:t>
      </w:r>
      <w:r w:rsidRPr="00D21216">
        <w:t xml:space="preserve"> intends to conclude them and transfer their records to this OIR. For a full history of the DRP proceeding, </w:t>
      </w:r>
      <w:r w:rsidRPr="00843747">
        <w:rPr>
          <w:i/>
          <w:iCs/>
        </w:rPr>
        <w:t>see</w:t>
      </w:r>
      <w:r w:rsidRPr="00D21216">
        <w:t xml:space="preserve"> R.14-08-013, and for the IDER proceeding, </w:t>
      </w:r>
      <w:r w:rsidRPr="00843747">
        <w:rPr>
          <w:i/>
          <w:iCs/>
        </w:rPr>
        <w:t>see</w:t>
      </w:r>
      <w:r w:rsidRPr="00D21216">
        <w:t xml:space="preserve"> R.14-10-003.</w:t>
      </w:r>
    </w:p>
  </w:footnote>
  <w:footnote w:id="9">
    <w:p w14:paraId="4561C215" w14:textId="0A1983BD" w:rsidR="00195B74" w:rsidRDefault="00195B74" w:rsidP="00DC505B">
      <w:pPr>
        <w:pStyle w:val="FootnoteText"/>
      </w:pPr>
      <w:r>
        <w:rPr>
          <w:rStyle w:val="FootnoteReference"/>
        </w:rPr>
        <w:footnoteRef/>
      </w:r>
      <w:r>
        <w:t xml:space="preserve"> </w:t>
      </w:r>
      <w:r w:rsidR="00843747">
        <w:t xml:space="preserve"> </w:t>
      </w:r>
      <w:r>
        <w:t xml:space="preserve">February 6, 2015, </w:t>
      </w:r>
      <w:r w:rsidRPr="00C97745">
        <w:rPr>
          <w:i/>
          <w:iCs/>
        </w:rPr>
        <w:t>Assigned Commissioner’s Ruling on Guidance for Public Utilities Code Section 769–Distribution Resource Planning</w:t>
      </w:r>
      <w:r>
        <w:t>. R.14-08-013. at 3.</w:t>
      </w:r>
    </w:p>
  </w:footnote>
  <w:footnote w:id="10">
    <w:p w14:paraId="525F6BAE" w14:textId="0FDF8E9A" w:rsidR="00195B74" w:rsidRDefault="00195B74" w:rsidP="00DC505B">
      <w:pPr>
        <w:pStyle w:val="FootnoteText"/>
      </w:pPr>
      <w:r w:rsidRPr="005C53B5">
        <w:rPr>
          <w:rStyle w:val="FootnoteReference"/>
        </w:rPr>
        <w:footnoteRef/>
      </w:r>
      <w:r>
        <w:t xml:space="preserve"> </w:t>
      </w:r>
      <w:r w:rsidR="00843747">
        <w:t xml:space="preserve"> </w:t>
      </w:r>
      <w:r w:rsidRPr="005C53B5">
        <w:rPr>
          <w:i/>
          <w:iCs/>
        </w:rPr>
        <w:t>Decision Addressing Competitive Solicitation Framework and Utility Regulatory Incentive Pilot</w:t>
      </w:r>
      <w:r>
        <w:t>, D.16-12-036, December 15, 2016, at 7 to 8.</w:t>
      </w:r>
    </w:p>
  </w:footnote>
  <w:footnote w:id="11">
    <w:p w14:paraId="31B2DA10" w14:textId="4AEB7CD8" w:rsidR="00195B74" w:rsidRDefault="00195B74" w:rsidP="00DC505B">
      <w:pPr>
        <w:pStyle w:val="FootnoteText"/>
      </w:pPr>
      <w:r>
        <w:rPr>
          <w:rStyle w:val="FootnoteReference"/>
        </w:rPr>
        <w:footnoteRef/>
      </w:r>
      <w:r>
        <w:t xml:space="preserve"> </w:t>
      </w:r>
      <w:r w:rsidR="00191A11">
        <w:t xml:space="preserve"> </w:t>
      </w:r>
      <w:r w:rsidRPr="00191A11">
        <w:rPr>
          <w:i/>
          <w:iCs/>
        </w:rPr>
        <w:t>Ibid</w:t>
      </w:r>
      <w:r>
        <w:t>., at 6 to 8.</w:t>
      </w:r>
    </w:p>
  </w:footnote>
  <w:footnote w:id="12">
    <w:p w14:paraId="64DCA605" w14:textId="47214B20" w:rsidR="00195B74" w:rsidRDefault="00195B74" w:rsidP="00AA3115">
      <w:pPr>
        <w:pStyle w:val="FootnoteText"/>
      </w:pPr>
      <w:r>
        <w:rPr>
          <w:rStyle w:val="FootnoteReference"/>
        </w:rPr>
        <w:footnoteRef/>
      </w:r>
      <w:r>
        <w:t xml:space="preserve"> </w:t>
      </w:r>
      <w:r w:rsidR="00191A11">
        <w:t xml:space="preserve"> </w:t>
      </w:r>
      <w:r>
        <w:t xml:space="preserve">The IOUs file annual Grid Needs Assessment (GNA) and Distribution Deferral Opportunity Report (DDOR) documents pursuant to </w:t>
      </w:r>
      <w:r w:rsidRPr="00847DFE">
        <w:t xml:space="preserve">D.18-02-004, February 15, 2018, and a series of </w:t>
      </w:r>
      <w:r>
        <w:t xml:space="preserve">annual </w:t>
      </w:r>
      <w:r w:rsidRPr="003B25D1">
        <w:t>DIDF reform rulemakings for R.14-08-013.</w:t>
      </w:r>
      <w:r>
        <w:t xml:space="preserve"> The documents provide detailed information about forecast grid needs and investments planned to address the needs. These documents are discussed in utility-hosted </w:t>
      </w:r>
      <w:r w:rsidRPr="000A014C">
        <w:t xml:space="preserve">Distribution Planning Advisory Group </w:t>
      </w:r>
      <w:r>
        <w:t>meetings.</w:t>
      </w:r>
    </w:p>
  </w:footnote>
  <w:footnote w:id="13">
    <w:p w14:paraId="7FD9F357" w14:textId="6C23E05E" w:rsidR="00195B74" w:rsidRPr="003B25D1" w:rsidRDefault="00195B74" w:rsidP="00AA3115">
      <w:pPr>
        <w:pStyle w:val="FootnoteText"/>
      </w:pPr>
      <w:r w:rsidRPr="00847DFE">
        <w:rPr>
          <w:rStyle w:val="FootnoteReference"/>
        </w:rPr>
        <w:footnoteRef/>
      </w:r>
      <w:r w:rsidRPr="00847DFE">
        <w:t xml:space="preserve"> </w:t>
      </w:r>
      <w:r w:rsidR="00191A11">
        <w:t xml:space="preserve"> </w:t>
      </w:r>
      <w:r w:rsidRPr="00847DFE">
        <w:t>D.16-12-036</w:t>
      </w:r>
      <w:r>
        <w:t xml:space="preserve">, </w:t>
      </w:r>
      <w:r w:rsidRPr="00847DFE">
        <w:t>December 22, 2016</w:t>
      </w:r>
      <w:r>
        <w:t xml:space="preserve">, </w:t>
      </w:r>
      <w:r w:rsidRPr="00847DFE">
        <w:t>adopted the Competitive Solicitation Framework for R.14</w:t>
      </w:r>
      <w:r w:rsidR="00191A11">
        <w:noBreakHyphen/>
      </w:r>
      <w:r w:rsidRPr="00847DFE">
        <w:t>10-003</w:t>
      </w:r>
      <w:r>
        <w:t xml:space="preserve"> that </w:t>
      </w:r>
      <w:r w:rsidRPr="00847DFE">
        <w:t xml:space="preserve">was applied to the DIDF pursuant to D.18-02-004, February 15, 2018, </w:t>
      </w:r>
      <w:r w:rsidRPr="003B25D1">
        <w:t>for R.14</w:t>
      </w:r>
      <w:r w:rsidR="00AE078E">
        <w:noBreakHyphen/>
      </w:r>
      <w:r w:rsidRPr="003B25D1">
        <w:t>08-013.</w:t>
      </w:r>
    </w:p>
  </w:footnote>
  <w:footnote w:id="14">
    <w:p w14:paraId="1CF0B9B2" w14:textId="37636737" w:rsidR="00195B74" w:rsidRDefault="00195B74" w:rsidP="00F77588">
      <w:pPr>
        <w:pStyle w:val="FootnoteText"/>
      </w:pPr>
      <w:r w:rsidRPr="003B25D1">
        <w:rPr>
          <w:rStyle w:val="FootnoteReference"/>
        </w:rPr>
        <w:footnoteRef/>
      </w:r>
      <w:r w:rsidRPr="003B25D1">
        <w:t xml:space="preserve"> </w:t>
      </w:r>
      <w:r w:rsidR="00191A11">
        <w:t xml:space="preserve"> </w:t>
      </w:r>
      <w:r>
        <w:t>D.21-02-006 adopted the Partnership Pilot to test a new DER Deferral Tariff in the DIDF</w:t>
      </w:r>
      <w:r w:rsidRPr="003B25D1">
        <w:t>.</w:t>
      </w:r>
      <w:r>
        <w:t xml:space="preserve"> </w:t>
      </w:r>
      <w:r w:rsidR="00AE078E">
        <w:t xml:space="preserve"> </w:t>
      </w:r>
      <w:r>
        <w:t xml:space="preserve">It also adopted significant reforms to streamline DIDF </w:t>
      </w:r>
      <w:r w:rsidRPr="001E270D">
        <w:t>Request for Offer solicitation process</w:t>
      </w:r>
      <w:r>
        <w:t>es, including the pilot of a new Standard Offer Contract mechanism.</w:t>
      </w:r>
    </w:p>
  </w:footnote>
  <w:footnote w:id="15">
    <w:p w14:paraId="7DB3BE14" w14:textId="7B7B8690" w:rsidR="00195B74" w:rsidRDefault="00195B74" w:rsidP="00DB37BE">
      <w:pPr>
        <w:pStyle w:val="FootnoteText"/>
      </w:pPr>
      <w:r w:rsidRPr="009138F1">
        <w:rPr>
          <w:rStyle w:val="FootnoteReference"/>
        </w:rPr>
        <w:footnoteRef/>
      </w:r>
      <w:r w:rsidRPr="009138F1">
        <w:t xml:space="preserve"> </w:t>
      </w:r>
      <w:r w:rsidR="00AE078E">
        <w:t xml:space="preserve"> </w:t>
      </w:r>
      <w:r w:rsidRPr="009138F1">
        <w:t>The DRP Data Portals hosted by the three utilities provide ICA, LNBA, GNA/DDOR, and other data to the public. Confidentiality issues were resolved pursuant to the December 17, 2018 Ruling and July 24, 2018 Ruling for R.14-08-013.</w:t>
      </w:r>
      <w:r>
        <w:t xml:space="preserve"> (A) The Pacific Gas &amp; Electric (PG&amp;E) portal is available at </w:t>
      </w:r>
      <w:hyperlink r:id="rId1" w:history="1">
        <w:r>
          <w:rPr>
            <w:rStyle w:val="Hyperlink"/>
          </w:rPr>
          <w:t>https://www.pge.com/en_US/for-our-business-partners/distribution-resource-planning/distribution-resource-planning-data-portal.page</w:t>
        </w:r>
      </w:hyperlink>
      <w:r>
        <w:t xml:space="preserve">; (B) San Diego Gas &amp; Electric (SDG&amp;E) at </w:t>
      </w:r>
      <w:hyperlink r:id="rId2" w:history="1">
        <w:r>
          <w:rPr>
            <w:rStyle w:val="Hyperlink"/>
          </w:rPr>
          <w:t>https://www.sdge.com/more-information/customer-generation/enhanced-integration-capacity-analysis-ica</w:t>
        </w:r>
      </w:hyperlink>
      <w:r>
        <w:t xml:space="preserve">.; and (C) Southern California Edison (SCE) at </w:t>
      </w:r>
      <w:hyperlink r:id="rId3" w:history="1">
        <w:r w:rsidRPr="00AE22E6">
          <w:rPr>
            <w:rStyle w:val="Hyperlink"/>
          </w:rPr>
          <w:t>https://ltmdrpep.sce.com/drpep</w:t>
        </w:r>
      </w:hyperlink>
    </w:p>
  </w:footnote>
  <w:footnote w:id="16">
    <w:p w14:paraId="6932FEDF" w14:textId="4CE63D7F" w:rsidR="00195B74" w:rsidRDefault="00195B74" w:rsidP="00AA3115">
      <w:pPr>
        <w:pStyle w:val="FootnoteText"/>
      </w:pPr>
      <w:r>
        <w:rPr>
          <w:rStyle w:val="FootnoteReference"/>
        </w:rPr>
        <w:footnoteRef/>
      </w:r>
      <w:r>
        <w:t xml:space="preserve"> </w:t>
      </w:r>
      <w:r w:rsidR="00AE078E">
        <w:t xml:space="preserve"> </w:t>
      </w:r>
      <w:r>
        <w:t>D.17-09-026, September 28, 2017, adopted the ICA and LNBA tools for R.14-08-013.</w:t>
      </w:r>
    </w:p>
  </w:footnote>
  <w:footnote w:id="17">
    <w:p w14:paraId="1CFF1834" w14:textId="37D1FC4A" w:rsidR="00195B74" w:rsidRDefault="00195B74" w:rsidP="00AA3115">
      <w:pPr>
        <w:pStyle w:val="FootnoteText"/>
      </w:pPr>
      <w:r w:rsidRPr="00020AA4">
        <w:rPr>
          <w:rStyle w:val="FootnoteReference"/>
        </w:rPr>
        <w:footnoteRef/>
      </w:r>
      <w:r w:rsidRPr="00020AA4">
        <w:t xml:space="preserve"> </w:t>
      </w:r>
      <w:r w:rsidR="00AE078E">
        <w:t xml:space="preserve"> </w:t>
      </w:r>
      <w:r w:rsidRPr="00020AA4">
        <w:t>D.18-03-023, March 26, 2018, adopted</w:t>
      </w:r>
      <w:r>
        <w:t xml:space="preserve"> requirements for IOU Grid Modernization Plans to be included in their GRC </w:t>
      </w:r>
      <w:r w:rsidRPr="00C205C3">
        <w:t>filings</w:t>
      </w:r>
      <w:r>
        <w:t>.</w:t>
      </w:r>
    </w:p>
  </w:footnote>
  <w:footnote w:id="18">
    <w:p w14:paraId="245B1418" w14:textId="5AA32BE3" w:rsidR="00195B74" w:rsidRDefault="00195B74" w:rsidP="00FE1DE2">
      <w:pPr>
        <w:pStyle w:val="FootnoteText"/>
      </w:pPr>
      <w:r>
        <w:rPr>
          <w:rStyle w:val="FootnoteReference"/>
        </w:rPr>
        <w:footnoteRef/>
      </w:r>
      <w:r>
        <w:t xml:space="preserve"> </w:t>
      </w:r>
      <w:r w:rsidR="00AE078E">
        <w:t xml:space="preserve"> </w:t>
      </w:r>
      <w:r w:rsidRPr="000349E6">
        <w:t>Wood Mackenzie</w:t>
      </w:r>
      <w:r>
        <w:t xml:space="preserve"> defines DERs as having the following characteristics: “grid connected,” “customer-sited,” MW restricted, and with a “voltage range” (</w:t>
      </w:r>
      <w:r w:rsidRPr="000349E6">
        <w:rPr>
          <w:i/>
          <w:iCs/>
        </w:rPr>
        <w:t>United States Distributed Energy Resources Outlook: DER Installations and Forecasts 2016-2025E.</w:t>
      </w:r>
      <w:r w:rsidRPr="000349E6">
        <w:t xml:space="preserve"> Wood Mackenzie, July 2020. Executive Summary</w:t>
      </w:r>
      <w:r>
        <w:t>, at 1).</w:t>
      </w:r>
    </w:p>
  </w:footnote>
  <w:footnote w:id="19">
    <w:p w14:paraId="23A3D60B" w14:textId="537F6D0C" w:rsidR="00195B74" w:rsidRDefault="00195B74" w:rsidP="00040A82">
      <w:pPr>
        <w:pStyle w:val="FootnoteText"/>
      </w:pPr>
      <w:r>
        <w:rPr>
          <w:rStyle w:val="FootnoteReference"/>
        </w:rPr>
        <w:footnoteRef/>
      </w:r>
      <w:r>
        <w:t xml:space="preserve"> </w:t>
      </w:r>
      <w:r w:rsidR="00AE078E">
        <w:t xml:space="preserve"> </w:t>
      </w:r>
      <w:r w:rsidRPr="0071545D">
        <w:rPr>
          <w:i/>
          <w:iCs/>
        </w:rPr>
        <w:t xml:space="preserve">United States </w:t>
      </w:r>
      <w:r>
        <w:rPr>
          <w:i/>
          <w:iCs/>
        </w:rPr>
        <w:t>D</w:t>
      </w:r>
      <w:r w:rsidRPr="0071545D">
        <w:rPr>
          <w:i/>
          <w:iCs/>
        </w:rPr>
        <w:t xml:space="preserve">istributed </w:t>
      </w:r>
      <w:r>
        <w:rPr>
          <w:i/>
          <w:iCs/>
        </w:rPr>
        <w:t>E</w:t>
      </w:r>
      <w:r w:rsidRPr="0071545D">
        <w:rPr>
          <w:i/>
          <w:iCs/>
        </w:rPr>
        <w:t xml:space="preserve">nergy </w:t>
      </w:r>
      <w:r>
        <w:rPr>
          <w:i/>
          <w:iCs/>
        </w:rPr>
        <w:t>R</w:t>
      </w:r>
      <w:r w:rsidRPr="0071545D">
        <w:rPr>
          <w:i/>
          <w:iCs/>
        </w:rPr>
        <w:t xml:space="preserve">esources </w:t>
      </w:r>
      <w:r>
        <w:rPr>
          <w:i/>
          <w:iCs/>
        </w:rPr>
        <w:t>O</w:t>
      </w:r>
      <w:r w:rsidRPr="0071545D">
        <w:rPr>
          <w:i/>
          <w:iCs/>
        </w:rPr>
        <w:t xml:space="preserve">utlook: DER </w:t>
      </w:r>
      <w:r>
        <w:rPr>
          <w:i/>
          <w:iCs/>
        </w:rPr>
        <w:t>I</w:t>
      </w:r>
      <w:r w:rsidRPr="0071545D">
        <w:rPr>
          <w:i/>
          <w:iCs/>
        </w:rPr>
        <w:t xml:space="preserve">nstallations and </w:t>
      </w:r>
      <w:r>
        <w:rPr>
          <w:i/>
          <w:iCs/>
        </w:rPr>
        <w:t>F</w:t>
      </w:r>
      <w:r w:rsidRPr="0071545D">
        <w:rPr>
          <w:i/>
          <w:iCs/>
        </w:rPr>
        <w:t>orecasts 2016-2025E</w:t>
      </w:r>
      <w:r>
        <w:t xml:space="preserve">. </w:t>
      </w:r>
      <w:r w:rsidRPr="00701114">
        <w:t>Wood Mackenzie</w:t>
      </w:r>
      <w:r>
        <w:t>,</w:t>
      </w:r>
      <w:r w:rsidRPr="00701114">
        <w:t xml:space="preserve"> </w:t>
      </w:r>
      <w:r>
        <w:t xml:space="preserve">July </w:t>
      </w:r>
      <w:r w:rsidRPr="00701114">
        <w:t>2020</w:t>
      </w:r>
      <w:r>
        <w:t xml:space="preserve">. Reported in </w:t>
      </w:r>
      <w:r w:rsidRPr="0071545D">
        <w:rPr>
          <w:i/>
          <w:iCs/>
        </w:rPr>
        <w:t>What the Coming Wave of Distributed Energy Resources Means for the US Grid</w:t>
      </w:r>
      <w:r>
        <w:t>. Greentech Media, June 18, 2020. Also from the Wood Mackenzie executive summary for their July 2020 outlook report.</w:t>
      </w:r>
    </w:p>
  </w:footnote>
  <w:footnote w:id="20">
    <w:p w14:paraId="5F3E3C56" w14:textId="5A8753BA" w:rsidR="00195B74" w:rsidRDefault="00195B74" w:rsidP="00040A82">
      <w:pPr>
        <w:pStyle w:val="FootnoteText"/>
      </w:pPr>
      <w:r>
        <w:rPr>
          <w:rStyle w:val="FootnoteReference"/>
        </w:rPr>
        <w:footnoteRef/>
      </w:r>
      <w:r>
        <w:t xml:space="preserve"> </w:t>
      </w:r>
      <w:r w:rsidR="00AE078E">
        <w:t xml:space="preserve"> </w:t>
      </w:r>
      <w:r>
        <w:t>Annual Energy Outlook 2020. Table 9. Electricity Generating Capacity. U.S. Energy Information Administration. Accessed online, November 13, 2020.</w:t>
      </w:r>
    </w:p>
  </w:footnote>
  <w:footnote w:id="21">
    <w:p w14:paraId="4FA9B97D" w14:textId="14A3F5C4" w:rsidR="00195B74" w:rsidRDefault="00195B74" w:rsidP="0093104F">
      <w:pPr>
        <w:pStyle w:val="FootnoteText"/>
      </w:pPr>
      <w:r>
        <w:rPr>
          <w:rStyle w:val="FootnoteReference"/>
        </w:rPr>
        <w:footnoteRef/>
      </w:r>
      <w:r>
        <w:t xml:space="preserve"> </w:t>
      </w:r>
      <w:r w:rsidR="00AE078E">
        <w:t xml:space="preserve"> </w:t>
      </w:r>
      <w:r w:rsidRPr="00AE078E">
        <w:rPr>
          <w:i/>
          <w:iCs/>
        </w:rPr>
        <w:t>See</w:t>
      </w:r>
      <w:r>
        <w:t xml:space="preserve"> </w:t>
      </w:r>
      <w:r w:rsidRPr="004B734C">
        <w:t>Executive Order B-48-18</w:t>
      </w:r>
      <w:r>
        <w:t xml:space="preserve">, </w:t>
      </w:r>
      <w:r w:rsidRPr="00D04936">
        <w:t>Executive Order N-79-20</w:t>
      </w:r>
      <w:r>
        <w:t>, and the California Energy Commission (</w:t>
      </w:r>
      <w:r w:rsidRPr="004B734C">
        <w:t>CEC</w:t>
      </w:r>
      <w:r>
        <w:t>)</w:t>
      </w:r>
      <w:r w:rsidRPr="004B734C">
        <w:t xml:space="preserve"> 2018</w:t>
      </w:r>
      <w:r>
        <w:t xml:space="preserve"> EV projections in the </w:t>
      </w:r>
      <w:r w:rsidRPr="00306554">
        <w:t>Staff Report</w:t>
      </w:r>
      <w:r>
        <w:t xml:space="preserve">, </w:t>
      </w:r>
      <w:r w:rsidRPr="00306554">
        <w:rPr>
          <w:i/>
          <w:iCs/>
        </w:rPr>
        <w:t>California PEV Infrastructure Projections 2017-2025</w:t>
      </w:r>
      <w:r>
        <w:t xml:space="preserve"> (Docket 17-ALT-01, 2018-2019 Investment Plan Update for the Alternative and Renewable Fuel and Vehicle Technology Program).</w:t>
      </w:r>
    </w:p>
  </w:footnote>
  <w:footnote w:id="22">
    <w:p w14:paraId="4C8A26CB" w14:textId="0C749167" w:rsidR="00195B74" w:rsidRDefault="00195B74" w:rsidP="00C736C0">
      <w:pPr>
        <w:pStyle w:val="FootnoteText"/>
      </w:pPr>
      <w:r w:rsidRPr="00987A84">
        <w:rPr>
          <w:rStyle w:val="FootnoteReference"/>
        </w:rPr>
        <w:footnoteRef/>
      </w:r>
      <w:r w:rsidRPr="00987A84">
        <w:t xml:space="preserve"> </w:t>
      </w:r>
      <w:r w:rsidR="00A22568">
        <w:t xml:space="preserve"> </w:t>
      </w:r>
      <w:r>
        <w:t xml:space="preserve">BTM solar generated 15,800 GWh in 2019 and is forecast to generate 41,200 GWh by 2030 (mid case). </w:t>
      </w:r>
      <w:r w:rsidR="00A22568">
        <w:t xml:space="preserve"> </w:t>
      </w:r>
      <w:r>
        <w:t xml:space="preserve">BTM energy storage capacity was 340 MW in 2019 and is forecast to reach 2,600 MW by 2030 (mid case). </w:t>
      </w:r>
      <w:r w:rsidR="00A22568">
        <w:t xml:space="preserve"> </w:t>
      </w:r>
      <w:r>
        <w:t>Consumption by all types of EVs is currently about 5,000 GWh and is forecast to reach 18,500 GWh by 2030.</w:t>
      </w:r>
      <w:r w:rsidRPr="00987A84">
        <w:t xml:space="preserve"> </w:t>
      </w:r>
      <w:r>
        <w:t xml:space="preserve">See </w:t>
      </w:r>
      <w:r w:rsidRPr="00510688">
        <w:rPr>
          <w:i/>
          <w:iCs/>
        </w:rPr>
        <w:t>Final 2020 Integrated Energy Policy Report Update Volume III California Energy Demand Forecast Update</w:t>
      </w:r>
      <w:r>
        <w:t>, March 23, 2021, TN #237269.</w:t>
      </w:r>
    </w:p>
  </w:footnote>
  <w:footnote w:id="23">
    <w:p w14:paraId="30D1C666" w14:textId="6EFAC3FA" w:rsidR="00195B74" w:rsidRDefault="00195B74" w:rsidP="009D7A77">
      <w:pPr>
        <w:pStyle w:val="FootnoteText"/>
      </w:pPr>
      <w:r>
        <w:rPr>
          <w:rStyle w:val="FootnoteReference"/>
        </w:rPr>
        <w:footnoteRef/>
      </w:r>
      <w:r>
        <w:t xml:space="preserve"> </w:t>
      </w:r>
      <w:r w:rsidR="00A22568">
        <w:t xml:space="preserve"> </w:t>
      </w:r>
      <w:r>
        <w:t xml:space="preserve">Refer to the </w:t>
      </w:r>
      <w:r w:rsidRPr="000349E6">
        <w:t>Wood Mackenzie July 2020</w:t>
      </w:r>
      <w:r>
        <w:t xml:space="preserve"> DER outlook report previously cited</w:t>
      </w:r>
      <w:r w:rsidRPr="000349E6">
        <w:t xml:space="preserve">. </w:t>
      </w:r>
      <w:r>
        <w:t>The report considers reduced DER installations due to the 2020 pandemic and forecasts the 2019 peak in DER capacity installations will not be exceeded until 2024.</w:t>
      </w:r>
    </w:p>
  </w:footnote>
  <w:footnote w:id="24">
    <w:p w14:paraId="259474C3" w14:textId="253D4A6E" w:rsidR="00195B74" w:rsidRDefault="00195B74" w:rsidP="00F61E07">
      <w:pPr>
        <w:pStyle w:val="FootnoteText"/>
      </w:pPr>
      <w:r>
        <w:rPr>
          <w:rStyle w:val="FootnoteReference"/>
        </w:rPr>
        <w:footnoteRef/>
      </w:r>
      <w:r w:rsidR="00A22568">
        <w:t xml:space="preserve"> </w:t>
      </w:r>
      <w:r>
        <w:t xml:space="preserve"> </w:t>
      </w:r>
      <w:r>
        <w:rPr>
          <w:i/>
          <w:iCs/>
        </w:rPr>
        <w:t>Ibid.</w:t>
      </w:r>
    </w:p>
  </w:footnote>
  <w:footnote w:id="25">
    <w:p w14:paraId="55B66CDB" w14:textId="3B5D1422" w:rsidR="00195B74" w:rsidRDefault="00195B74" w:rsidP="000C5DBB">
      <w:pPr>
        <w:pStyle w:val="FootnoteText"/>
      </w:pPr>
      <w:r>
        <w:rPr>
          <w:rStyle w:val="FootnoteReference"/>
        </w:rPr>
        <w:footnoteRef/>
      </w:r>
      <w:r w:rsidR="00A22568">
        <w:t xml:space="preserve"> </w:t>
      </w:r>
      <w:r>
        <w:t xml:space="preserve"> Senate Bill 1477 and AB 3232 and Building Decarbonization (R.19-01-011) and Long-Term Gas System Planning (R.20-01-007) proceedings.</w:t>
      </w:r>
    </w:p>
  </w:footnote>
  <w:footnote w:id="26">
    <w:p w14:paraId="04375C54" w14:textId="7CDA42B3" w:rsidR="00195B74" w:rsidRDefault="00195B74">
      <w:pPr>
        <w:pStyle w:val="FootnoteText"/>
      </w:pPr>
      <w:r>
        <w:rPr>
          <w:rStyle w:val="FootnoteReference"/>
        </w:rPr>
        <w:footnoteRef/>
      </w:r>
      <w:r>
        <w:t xml:space="preserve"> </w:t>
      </w:r>
      <w:r w:rsidR="00A22568">
        <w:t xml:space="preserve"> </w:t>
      </w:r>
      <w:r>
        <w:t>Reach codes are local building codes that seek higher energy savings and emission reductions than those required by the State’s Title 24 building standards</w:t>
      </w:r>
      <w:r w:rsidRPr="00FE2ECE">
        <w:t>.</w:t>
      </w:r>
    </w:p>
  </w:footnote>
  <w:footnote w:id="27">
    <w:p w14:paraId="24CF44CB" w14:textId="5C3DD1E0" w:rsidR="00195B74" w:rsidRDefault="00195B74">
      <w:pPr>
        <w:pStyle w:val="FootnoteText"/>
      </w:pPr>
      <w:r>
        <w:rPr>
          <w:rStyle w:val="FootnoteReference"/>
        </w:rPr>
        <w:footnoteRef/>
      </w:r>
      <w:r w:rsidR="00A22568">
        <w:t xml:space="preserve"> </w:t>
      </w:r>
      <w:r>
        <w:t xml:space="preserve"> </w:t>
      </w:r>
      <w:r w:rsidRPr="00510688">
        <w:rPr>
          <w:i/>
          <w:iCs/>
        </w:rPr>
        <w:t>Electricity and Natural Gas Demand Forecast, Statewide and Planning Area Summary</w:t>
      </w:r>
      <w:r>
        <w:t xml:space="preserve">, </w:t>
      </w:r>
      <w:r w:rsidRPr="00987A84">
        <w:t xml:space="preserve">Cary Garcia, </w:t>
      </w:r>
      <w:r>
        <w:t xml:space="preserve">CEC, </w:t>
      </w:r>
      <w:r w:rsidRPr="00987A84">
        <w:t>December 2, 2019, TN #230923.</w:t>
      </w:r>
    </w:p>
  </w:footnote>
  <w:footnote w:id="28">
    <w:p w14:paraId="6C3F44D9" w14:textId="36B7D9A2" w:rsidR="00195B74" w:rsidRDefault="00195B74" w:rsidP="00C40A70">
      <w:pPr>
        <w:pStyle w:val="FootnoteText"/>
      </w:pPr>
      <w:r>
        <w:rPr>
          <w:rStyle w:val="FootnoteReference"/>
        </w:rPr>
        <w:footnoteRef/>
      </w:r>
      <w:r>
        <w:t xml:space="preserve"> </w:t>
      </w:r>
      <w:r w:rsidR="00A22568">
        <w:t xml:space="preserve"> </w:t>
      </w:r>
      <w:r w:rsidRPr="0044113B">
        <w:t xml:space="preserve">For primary distribution system and/or secondary system (e.g., service line) upgrades to accommodate TE between 2011 and 2018, costs varied widely from $1 to more than $338,274 across PG&amp;E, SCE, and SDG&amp;E service areas. The highest average cost ($19,262) was in PG&amp;E’s service territory for </w:t>
      </w:r>
      <w:r>
        <w:t>a</w:t>
      </w:r>
      <w:r w:rsidRPr="0044113B">
        <w:t xml:space="preserve"> distribution upgrade</w:t>
      </w:r>
      <w:r>
        <w:t>.</w:t>
      </w:r>
      <w:r w:rsidRPr="0022306A">
        <w:t xml:space="preserve"> </w:t>
      </w:r>
      <w:r>
        <w:t>The highest average service line upgrade cost was $1,382 (SCE territory)</w:t>
      </w:r>
      <w:r w:rsidRPr="0044113B">
        <w:t>.</w:t>
      </w:r>
      <w:r>
        <w:t xml:space="preserve"> See </w:t>
      </w:r>
      <w:r w:rsidRPr="00636CDD">
        <w:rPr>
          <w:i/>
          <w:iCs/>
        </w:rPr>
        <w:t>Joint IOU Electric Vehicle Load Research</w:t>
      </w:r>
      <w:r>
        <w:t xml:space="preserve">, 7th Report, filed April 2, 2019 at the CEC, at 8. Available at </w:t>
      </w:r>
      <w:hyperlink r:id="rId4" w:history="1">
        <w:r w:rsidRPr="00F8748B">
          <w:rPr>
            <w:rStyle w:val="Hyperlink"/>
          </w:rPr>
          <w:t>https://efiling.energy.ca.gov/GetDocument.aspx?tn=228787-14&amp;DocumentContentId=60075</w:t>
        </w:r>
      </w:hyperlink>
      <w:r>
        <w:t xml:space="preserve"> </w:t>
      </w:r>
    </w:p>
  </w:footnote>
  <w:footnote w:id="29">
    <w:p w14:paraId="79080CFD" w14:textId="4624F2EB" w:rsidR="00195B74" w:rsidRDefault="00195B74">
      <w:pPr>
        <w:pStyle w:val="FootnoteText"/>
      </w:pPr>
      <w:r>
        <w:rPr>
          <w:rStyle w:val="FootnoteReference"/>
        </w:rPr>
        <w:footnoteRef/>
      </w:r>
      <w:r>
        <w:t xml:space="preserve"> </w:t>
      </w:r>
      <w:r w:rsidR="00A22568">
        <w:t xml:space="preserve"> </w:t>
      </w:r>
      <w:r w:rsidRPr="00E50E96">
        <w:t xml:space="preserve">En Bancs </w:t>
      </w:r>
      <w:r>
        <w:t xml:space="preserve">are </w:t>
      </w:r>
      <w:r w:rsidRPr="00F44F79">
        <w:t>Commission</w:t>
      </w:r>
      <w:r>
        <w:t>-hosted public events held for a proceeding that are attended by all commissioners instead of the assigned commissioner alone.</w:t>
      </w:r>
    </w:p>
  </w:footnote>
  <w:footnote w:id="30">
    <w:p w14:paraId="0DC09472" w14:textId="1287FDC3" w:rsidR="00195B74" w:rsidRDefault="00195B74" w:rsidP="003B4CF8">
      <w:pPr>
        <w:pStyle w:val="FootnoteText"/>
      </w:pPr>
      <w:r>
        <w:rPr>
          <w:rStyle w:val="FootnoteReference"/>
        </w:rPr>
        <w:footnoteRef/>
      </w:r>
      <w:r>
        <w:t xml:space="preserve"> </w:t>
      </w:r>
      <w:r w:rsidR="00A22568">
        <w:t xml:space="preserve"> </w:t>
      </w:r>
      <w:r w:rsidRPr="00A22568">
        <w:rPr>
          <w:i/>
          <w:iCs/>
        </w:rPr>
        <w:t>See</w:t>
      </w:r>
      <w:r>
        <w:t xml:space="preserve"> </w:t>
      </w:r>
      <w:r w:rsidRPr="002F0CCE">
        <w:rPr>
          <w:i/>
          <w:iCs/>
        </w:rPr>
        <w:t>Utility Costs and Affordability of the Grid of the Future: An Evaluation of Electric Costs, Rates, and Equity Issues Pursuant to P.U. Code Section 913.1</w:t>
      </w:r>
      <w:r>
        <w:t xml:space="preserve">, CPUC, February 2021, at </w:t>
      </w:r>
      <w:hyperlink r:id="rId5" w:history="1">
        <w:r w:rsidRPr="00420498">
          <w:rPr>
            <w:rStyle w:val="Hyperlink"/>
          </w:rPr>
          <w:t>https://www.cpuc.ca.gov/General.aspx?id=6442467418</w:t>
        </w:r>
      </w:hyperlink>
      <w:r>
        <w:t xml:space="preserve">. </w:t>
      </w:r>
    </w:p>
  </w:footnote>
  <w:footnote w:id="31">
    <w:p w14:paraId="48F8AC34" w14:textId="3241691F" w:rsidR="00195B74" w:rsidRDefault="00195B74" w:rsidP="00C325CE">
      <w:pPr>
        <w:pStyle w:val="FootnoteText"/>
      </w:pPr>
      <w:r>
        <w:rPr>
          <w:rStyle w:val="FootnoteReference"/>
        </w:rPr>
        <w:footnoteRef/>
      </w:r>
      <w:r>
        <w:t xml:space="preserve"> </w:t>
      </w:r>
      <w:r w:rsidR="00A22568">
        <w:t xml:space="preserve"> </w:t>
      </w:r>
      <w:r>
        <w:t xml:space="preserve">The DNV GL study was prepared as Addendum B to DNV GL’s </w:t>
      </w:r>
      <w:r w:rsidRPr="002D4716">
        <w:t>February 1, 2020</w:t>
      </w:r>
      <w:r>
        <w:t>,</w:t>
      </w:r>
      <w:r>
        <w:rPr>
          <w:i/>
          <w:iCs/>
        </w:rPr>
        <w:t xml:space="preserve"> </w:t>
      </w:r>
      <w:r w:rsidRPr="002B2393">
        <w:rPr>
          <w:i/>
          <w:iCs/>
        </w:rPr>
        <w:t>Customer Distributed Energy Resources Grid Integration Study: DER Grid Impacts Analysis. In Compliance with Public Utilities Code 913.6</w:t>
      </w:r>
      <w:r>
        <w:rPr>
          <w:i/>
          <w:iCs/>
        </w:rPr>
        <w:t xml:space="preserve">. </w:t>
      </w:r>
      <w:r w:rsidRPr="002B2393">
        <w:rPr>
          <w:i/>
          <w:iCs/>
        </w:rPr>
        <w:t>CPUC Legislative Report on Customer Distributed Energy Resources Grid Integration</w:t>
      </w:r>
      <w:r>
        <w:t xml:space="preserve">. Addendum B is circulated as Appendix B to this OIR but was not published with the prior, February 1, 2020, DNV GL report. </w:t>
      </w:r>
      <w:r w:rsidRPr="00013720">
        <w:t>Page numbering begins at 81 because the study was an addendum to the prior report.</w:t>
      </w:r>
    </w:p>
  </w:footnote>
  <w:footnote w:id="32">
    <w:p w14:paraId="4F4DBCBE" w14:textId="4FB430E8" w:rsidR="00195B74" w:rsidRDefault="00195B74" w:rsidP="00A54B58">
      <w:pPr>
        <w:pStyle w:val="FootnoteText"/>
      </w:pPr>
      <w:r>
        <w:rPr>
          <w:rStyle w:val="FootnoteReference"/>
        </w:rPr>
        <w:footnoteRef/>
      </w:r>
      <w:r>
        <w:t xml:space="preserve"> </w:t>
      </w:r>
      <w:r w:rsidR="00A22568">
        <w:t xml:space="preserve"> </w:t>
      </w:r>
      <w:r>
        <w:t xml:space="preserve">The tools and planning processes include ICA, LNBA, DER Growth Forecast Working Group, and the DIDF (GNA/DDOR and </w:t>
      </w:r>
      <w:r w:rsidRPr="007A1197">
        <w:t>Distribution Planning Advisory Group</w:t>
      </w:r>
      <w:r>
        <w:t>).</w:t>
      </w:r>
    </w:p>
  </w:footnote>
  <w:footnote w:id="33">
    <w:p w14:paraId="1E8AE140" w14:textId="286148F5" w:rsidR="00195B74" w:rsidRDefault="00195B74">
      <w:pPr>
        <w:pStyle w:val="FootnoteText"/>
      </w:pPr>
      <w:r>
        <w:rPr>
          <w:rStyle w:val="FootnoteReference"/>
        </w:rPr>
        <w:footnoteRef/>
      </w:r>
      <w:r>
        <w:t xml:space="preserve"> </w:t>
      </w:r>
      <w:r w:rsidR="006D4C9F">
        <w:t xml:space="preserve"> </w:t>
      </w:r>
      <w:r>
        <w:t xml:space="preserve">Senate Bill 676 (2019) and Section 740.16 require, among other things, that the </w:t>
      </w:r>
      <w:r w:rsidRPr="00F44F79">
        <w:t>Commission</w:t>
      </w:r>
      <w:r>
        <w:t xml:space="preserve"> to </w:t>
      </w:r>
      <w:r w:rsidRPr="00C7670A">
        <w:t>consider how, or if, electric vehicle grid integration can mitigate any generation, transmission, or distribution costs</w:t>
      </w:r>
      <w:r>
        <w:t xml:space="preserve"> (proceeding R.18-12-006).</w:t>
      </w:r>
    </w:p>
  </w:footnote>
  <w:footnote w:id="34">
    <w:p w14:paraId="1BAFF2CC" w14:textId="3738B001" w:rsidR="00195B74" w:rsidRDefault="00195B74">
      <w:pPr>
        <w:pStyle w:val="FootnoteText"/>
      </w:pPr>
      <w:r>
        <w:rPr>
          <w:rStyle w:val="FootnoteReference"/>
        </w:rPr>
        <w:footnoteRef/>
      </w:r>
      <w:r>
        <w:t xml:space="preserve"> </w:t>
      </w:r>
      <w:r w:rsidR="006D4C9F">
        <w:t xml:space="preserve"> </w:t>
      </w:r>
      <w:r>
        <w:t xml:space="preserve">Assembly Bill 841 (2020) and Section 740.19 require that </w:t>
      </w:r>
      <w:r w:rsidRPr="00B8594B">
        <w:t xml:space="preserve">the Commission </w:t>
      </w:r>
      <w:r w:rsidRPr="00147947">
        <w:t xml:space="preserve">change the practice of authorizing </w:t>
      </w:r>
      <w:r>
        <w:t xml:space="preserve">utility-side </w:t>
      </w:r>
      <w:r w:rsidRPr="00147947">
        <w:t xml:space="preserve">distribution infrastructure needed to charge electric vehicles on a case-by-case basis to a practice of considering that infrastructure as </w:t>
      </w:r>
      <w:r>
        <w:t xml:space="preserve">a </w:t>
      </w:r>
      <w:r w:rsidRPr="00147947">
        <w:t xml:space="preserve">core utility business, treated the same as other infrastructure authorized </w:t>
      </w:r>
      <w:r>
        <w:t>in GRCs (proceeding R.18-12-006).</w:t>
      </w:r>
    </w:p>
  </w:footnote>
  <w:footnote w:id="35">
    <w:p w14:paraId="2724DBE3" w14:textId="2F8C9FE5" w:rsidR="00195B74" w:rsidRDefault="00195B74" w:rsidP="00F26E62">
      <w:pPr>
        <w:pStyle w:val="FootnoteText"/>
      </w:pPr>
      <w:r>
        <w:rPr>
          <w:rStyle w:val="FootnoteReference"/>
        </w:rPr>
        <w:footnoteRef/>
      </w:r>
      <w:r>
        <w:t xml:space="preserve"> </w:t>
      </w:r>
      <w:r w:rsidR="006D4C9F">
        <w:t xml:space="preserve"> </w:t>
      </w:r>
      <w:r w:rsidRPr="006D4C9F">
        <w:rPr>
          <w:i/>
          <w:iCs/>
        </w:rPr>
        <w:t>See</w:t>
      </w:r>
      <w:r>
        <w:t xml:space="preserve"> reforms 18 and 34 in the </w:t>
      </w:r>
      <w:r w:rsidRPr="00BA6AEA">
        <w:rPr>
          <w:i/>
          <w:iCs/>
        </w:rPr>
        <w:t>May 11, 2020 Administrative Law Judge’s Ruling Modifying the Distribution Investment Deferral Framework Process</w:t>
      </w:r>
      <w:r>
        <w:t>. Reform 18 requires that project IDs be used in the DDOR to enable project information (e.g., cost) to be tracked in GRC filings.</w:t>
      </w:r>
      <w:r w:rsidR="006D4C9F">
        <w:t xml:space="preserve"> </w:t>
      </w:r>
      <w:r>
        <w:t xml:space="preserve"> Reform 34 requires the IOUs to explain discrepancies between project costs reported in the DDOR and in GRC filings.</w:t>
      </w:r>
    </w:p>
  </w:footnote>
  <w:footnote w:id="36">
    <w:p w14:paraId="205E12BA" w14:textId="5E88575E" w:rsidR="00195B74" w:rsidRDefault="00195B74" w:rsidP="00F82F71">
      <w:pPr>
        <w:pStyle w:val="FootnoteText"/>
      </w:pPr>
      <w:r>
        <w:rPr>
          <w:rStyle w:val="FootnoteReference"/>
        </w:rPr>
        <w:footnoteRef/>
      </w:r>
      <w:r>
        <w:t xml:space="preserve"> </w:t>
      </w:r>
      <w:r w:rsidR="006D4C9F">
        <w:t xml:space="preserve"> </w:t>
      </w:r>
      <w:r>
        <w:t xml:space="preserve">Refer to the </w:t>
      </w:r>
      <w:r w:rsidRPr="00F44F79">
        <w:t>Commission</w:t>
      </w:r>
      <w:r>
        <w:t xml:space="preserve">’s </w:t>
      </w:r>
      <w:r w:rsidRPr="001F359B">
        <w:rPr>
          <w:i/>
          <w:iCs/>
        </w:rPr>
        <w:t>ESJ Action Plan</w:t>
      </w:r>
      <w:r>
        <w:t xml:space="preserve">, Version 1.0, February 21, 2019 at </w:t>
      </w:r>
      <w:hyperlink r:id="rId6" w:history="1">
        <w:r w:rsidRPr="00420498">
          <w:rPr>
            <w:rStyle w:val="Hyperlink"/>
          </w:rPr>
          <w:t>https://www.cpuc.ca.gov/esjactionplan</w:t>
        </w:r>
      </w:hyperlink>
      <w:r>
        <w:t>.</w:t>
      </w:r>
    </w:p>
  </w:footnote>
  <w:footnote w:id="37">
    <w:p w14:paraId="1D559875" w14:textId="40DED980" w:rsidR="00195B74" w:rsidRDefault="00195B74" w:rsidP="00F46993">
      <w:pPr>
        <w:pStyle w:val="FootnoteText"/>
      </w:pPr>
      <w:r>
        <w:rPr>
          <w:rStyle w:val="FootnoteReference"/>
        </w:rPr>
        <w:footnoteRef/>
      </w:r>
      <w:r>
        <w:t xml:space="preserve"> </w:t>
      </w:r>
      <w:r w:rsidR="006D4C9F">
        <w:t xml:space="preserve"> </w:t>
      </w:r>
      <w:r>
        <w:t xml:space="preserve">On September 17, 2020, the FERC issued the landmark Order 2222, </w:t>
      </w:r>
      <w:r w:rsidRPr="00B43A41">
        <w:t>enabling DER aggregators to compete in wholesale electric markets.</w:t>
      </w:r>
      <w:r>
        <w:t xml:space="preserve"> In the Order, FERC suggested that the CAISO Distributed Energy Resource Provider (DERP) tariff could provide an example of how retail authorities could be involved in coordinating the participation of DER aggregations.</w:t>
      </w:r>
    </w:p>
  </w:footnote>
  <w:footnote w:id="38">
    <w:p w14:paraId="77C67C85" w14:textId="7C48AAD1" w:rsidR="00195B74" w:rsidRDefault="00195B74" w:rsidP="00F46993">
      <w:pPr>
        <w:pStyle w:val="FootnoteText"/>
      </w:pPr>
      <w:r>
        <w:rPr>
          <w:rStyle w:val="FootnoteReference"/>
        </w:rPr>
        <w:footnoteRef/>
      </w:r>
      <w:r>
        <w:t xml:space="preserve"> </w:t>
      </w:r>
      <w:r w:rsidR="006D4C9F">
        <w:t xml:space="preserve"> </w:t>
      </w:r>
      <w:r>
        <w:t xml:space="preserve">DSO models, the CAISO DERP tariff, and CAISO </w:t>
      </w:r>
      <w:r w:rsidRPr="00565CE8">
        <w:t>Distributed Energy Resource Aggregation</w:t>
      </w:r>
      <w:r>
        <w:t xml:space="preserve">s are further discussed in, </w:t>
      </w:r>
      <w:r w:rsidRPr="00341A8D">
        <w:rPr>
          <w:i/>
          <w:iCs/>
        </w:rPr>
        <w:t>Coordination of Transmission and Distribution Operations in a High Distributed Energy Resource Electric Grid</w:t>
      </w:r>
      <w:r>
        <w:t xml:space="preserve">, June 2017, by staff at the CAISO, PG&amp;E, SCE, SDG&amp;E, and More than Smart. Available at: </w:t>
      </w:r>
      <w:hyperlink r:id="rId7" w:history="1">
        <w:r w:rsidR="006D4C9F" w:rsidRPr="00E51084">
          <w:rPr>
            <w:rStyle w:val="Hyperlink"/>
          </w:rPr>
          <w:t>https://gridworks.org/wp</w:t>
        </w:r>
        <w:r w:rsidR="006D4C9F" w:rsidRPr="00E51084">
          <w:rPr>
            <w:rStyle w:val="Hyperlink"/>
          </w:rPr>
          <w:noBreakHyphen/>
          <w:t>content/uploads/2018/11/MoreThanSmartReport</w:t>
        </w:r>
        <w:r w:rsidR="006D4C9F" w:rsidRPr="00E51084">
          <w:rPr>
            <w:rStyle w:val="Hyperlink"/>
          </w:rPr>
          <w:noBreakHyphen/>
          <w:t>Coordinating</w:t>
        </w:r>
        <w:r w:rsidR="006D4C9F" w:rsidRPr="00E51084">
          <w:rPr>
            <w:rStyle w:val="Hyperlink"/>
          </w:rPr>
          <w:br/>
          <w:t>Transmission_DistributionGridOperations.pdf</w:t>
        </w:r>
      </w:hyperlink>
      <w:r w:rsidR="006D4C9F">
        <w:t xml:space="preserve"> </w:t>
      </w:r>
    </w:p>
  </w:footnote>
  <w:footnote w:id="39">
    <w:p w14:paraId="14A3E71E" w14:textId="006CDA8E" w:rsidR="00195B74" w:rsidRDefault="00195B74" w:rsidP="00F46993">
      <w:pPr>
        <w:pStyle w:val="FootnoteText"/>
      </w:pPr>
      <w:r>
        <w:rPr>
          <w:rStyle w:val="FootnoteReference"/>
        </w:rPr>
        <w:footnoteRef/>
      </w:r>
      <w:r>
        <w:t xml:space="preserve"> </w:t>
      </w:r>
      <w:r w:rsidR="006D4C9F">
        <w:t xml:space="preserve"> </w:t>
      </w:r>
      <w:r w:rsidRPr="00BF5BB5">
        <w:t>Grid Architecture</w:t>
      </w:r>
      <w:r>
        <w:t xml:space="preserve"> </w:t>
      </w:r>
      <w:r w:rsidRPr="00BF5BB5">
        <w:t xml:space="preserve">is </w:t>
      </w:r>
      <w:r>
        <w:t xml:space="preserve">a discipline with roots in </w:t>
      </w:r>
      <w:r w:rsidRPr="00BF5BB5">
        <w:t xml:space="preserve">system architecture, network theory, control </w:t>
      </w:r>
      <w:r>
        <w:t xml:space="preserve">engineering, and software architecture applied </w:t>
      </w:r>
      <w:r w:rsidRPr="00BF5BB5">
        <w:t xml:space="preserve">to the electric power grid. </w:t>
      </w:r>
      <w:r w:rsidRPr="0003288D">
        <w:t>An architectural description is a structural representation of a system that helps people think about the overall shape of the system, its attributes, and how the parts interact.</w:t>
      </w:r>
      <w:r>
        <w:t xml:space="preserve"> </w:t>
      </w:r>
      <w:r w:rsidRPr="003A0F08">
        <w:t xml:space="preserve">Most of all, grid architecture provides insight to stakeholders </w:t>
      </w:r>
      <w:r>
        <w:t xml:space="preserve">for </w:t>
      </w:r>
      <w:r w:rsidRPr="003A0F08">
        <w:t>mak</w:t>
      </w:r>
      <w:r>
        <w:t>ing</w:t>
      </w:r>
      <w:r w:rsidRPr="003A0F08">
        <w:t xml:space="preserve"> informed decisions about grid modernization</w:t>
      </w:r>
      <w:r>
        <w:t xml:space="preserve"> when planning for the future electric system</w:t>
      </w:r>
      <w:r w:rsidRPr="003A0F08">
        <w:t>.</w:t>
      </w:r>
      <w:r>
        <w:t xml:space="preserve"> </w:t>
      </w:r>
      <w:r w:rsidR="006D4C9F">
        <w:t xml:space="preserve"> </w:t>
      </w:r>
      <w:r w:rsidRPr="006D4C9F">
        <w:rPr>
          <w:i/>
          <w:iCs/>
        </w:rPr>
        <w:t>See</w:t>
      </w:r>
      <w:r>
        <w:t xml:space="preserve"> </w:t>
      </w:r>
      <w:hyperlink r:id="rId8" w:history="1">
        <w:r w:rsidRPr="00DF403D">
          <w:rPr>
            <w:rStyle w:val="Hyperlink"/>
          </w:rPr>
          <w:t>https://www.pnnl.gov/grid-architecture</w:t>
        </w:r>
      </w:hyperlink>
      <w:r>
        <w:t xml:space="preserve">. </w:t>
      </w:r>
    </w:p>
  </w:footnote>
  <w:footnote w:id="40">
    <w:p w14:paraId="6EE6137B" w14:textId="28B0C22E" w:rsidR="00195B74" w:rsidRDefault="00195B74" w:rsidP="00F46993">
      <w:pPr>
        <w:pStyle w:val="FootnoteText"/>
      </w:pPr>
      <w:r>
        <w:rPr>
          <w:rStyle w:val="FootnoteReference"/>
        </w:rPr>
        <w:footnoteRef/>
      </w:r>
      <w:r w:rsidR="00E14477">
        <w:t xml:space="preserve"> </w:t>
      </w:r>
      <w:r>
        <w:t xml:space="preserve"> The Hawaii Public Utilities Commission adopted a performance-based ratemaking framework that is designed to incentivize the utility to prepare for DER deployment? on December 23, 2020, see </w:t>
      </w:r>
      <w:hyperlink r:id="rId9" w:history="1">
        <w:r w:rsidRPr="00F8748B">
          <w:rPr>
            <w:rStyle w:val="Hyperlink"/>
          </w:rPr>
          <w:t>https://puc.hawaii.gov/wp-content/uploads/2020/12/PBR-Phase-2-DO.Page-Press-Release.Final_.12-22-2020.pdf</w:t>
        </w:r>
      </w:hyperlink>
      <w:r>
        <w:t xml:space="preserve">. </w:t>
      </w:r>
    </w:p>
  </w:footnote>
  <w:footnote w:id="41">
    <w:p w14:paraId="70EAA2A2" w14:textId="2016327C" w:rsidR="00195B74" w:rsidRDefault="00195B74">
      <w:pPr>
        <w:pStyle w:val="FootnoteText"/>
      </w:pPr>
      <w:r>
        <w:rPr>
          <w:rStyle w:val="FootnoteReference"/>
        </w:rPr>
        <w:footnoteRef/>
      </w:r>
      <w:r>
        <w:t xml:space="preserve"> </w:t>
      </w:r>
      <w:r w:rsidR="00E14477">
        <w:t xml:space="preserve"> </w:t>
      </w:r>
      <w:r>
        <w:t xml:space="preserve">In 2020, Oregon (Order 20-485, Docket No. UM 2005) established community and stakeholder engagement processes and required increased data transparency for distribution planning, and Colorado opened a proceeding to develop similar rules for Distribution System Planning (Decision C20-0837, Proceeding 20R-0516E). </w:t>
      </w:r>
    </w:p>
  </w:footnote>
  <w:footnote w:id="42">
    <w:p w14:paraId="2A1E2F5A" w14:textId="6ABCE0D0" w:rsidR="00195B74" w:rsidRPr="008F6483" w:rsidRDefault="00195B74" w:rsidP="00E01EAC">
      <w:pPr>
        <w:pStyle w:val="FootnoteText"/>
      </w:pPr>
      <w:r>
        <w:rPr>
          <w:rStyle w:val="FootnoteReference"/>
        </w:rPr>
        <w:footnoteRef/>
      </w:r>
      <w:r>
        <w:t xml:space="preserve"> </w:t>
      </w:r>
      <w:r w:rsidR="00E14477">
        <w:t xml:space="preserve"> </w:t>
      </w:r>
      <w:r w:rsidRPr="00DE464C">
        <w:t>D.20-03-004</w:t>
      </w:r>
      <w:r>
        <w:t>, March 18, 2020, required c</w:t>
      </w:r>
      <w:r w:rsidRPr="00DE464C">
        <w:t>ommunity outreach before, during, and after wildfires</w:t>
      </w:r>
      <w:r>
        <w:t xml:space="preserve"> (wildfire mitigation, R.18-10-007).</w:t>
      </w:r>
      <w:r w:rsidR="00E14477">
        <w:t xml:space="preserve"> </w:t>
      </w:r>
      <w:r>
        <w:t xml:space="preserve"> D.20-05-051, June 5, 2020, required that the IOUs convene quarterly (at minimum) working groups at a regional level and establish advisory boards (de</w:t>
      </w:r>
      <w:r w:rsidR="00E14477">
        <w:noBreakHyphen/>
      </w:r>
      <w:r>
        <w:t xml:space="preserve">energization, </w:t>
      </w:r>
      <w:r w:rsidRPr="00ED1965">
        <w:t>R.18-12-005</w:t>
      </w:r>
      <w:r>
        <w:t>).</w:t>
      </w:r>
      <w:r w:rsidR="00E14477">
        <w:t xml:space="preserve"> </w:t>
      </w:r>
      <w:r>
        <w:t xml:space="preserve"> </w:t>
      </w:r>
      <w:r w:rsidRPr="00F751FC">
        <w:t>D.20-06-017</w:t>
      </w:r>
      <w:r>
        <w:t xml:space="preserve">, June 17, 2020, required that the IOUs conduct </w:t>
      </w:r>
      <w:r w:rsidRPr="00F751FC">
        <w:t>face</w:t>
      </w:r>
      <w:r w:rsidR="00E14477">
        <w:noBreakHyphen/>
      </w:r>
      <w:r w:rsidRPr="00F751FC">
        <w:t>to</w:t>
      </w:r>
      <w:r w:rsidR="00E14477">
        <w:noBreakHyphen/>
      </w:r>
      <w:r w:rsidRPr="00F751FC">
        <w:t>face</w:t>
      </w:r>
      <w:r>
        <w:t xml:space="preserve">, </w:t>
      </w:r>
      <w:r w:rsidRPr="00F751FC">
        <w:t>county-level community outreach</w:t>
      </w:r>
      <w:r>
        <w:t xml:space="preserve"> on a </w:t>
      </w:r>
      <w:r w:rsidRPr="00F751FC">
        <w:t xml:space="preserve">semi-annual </w:t>
      </w:r>
      <w:r>
        <w:t>basis (microgrids and resiliency, R.19</w:t>
      </w:r>
      <w:r w:rsidR="00E14477">
        <w:noBreakHyphen/>
      </w:r>
      <w:r>
        <w:t>09-</w:t>
      </w:r>
      <w:r w:rsidRPr="008F6483">
        <w:t>009).</w:t>
      </w:r>
      <w:r w:rsidR="00E14477">
        <w:t xml:space="preserve"> </w:t>
      </w:r>
      <w:r w:rsidRPr="008F6483">
        <w:t xml:space="preserve"> D.20-08-046, September 3, 2020, requires that the IOUs develop Community Engagement Plans for disadvantaged communities (climate adaptation, R.18</w:t>
      </w:r>
      <w:r w:rsidR="00E14477">
        <w:noBreakHyphen/>
      </w:r>
      <w:r w:rsidRPr="008F6483">
        <w:t>04</w:t>
      </w:r>
      <w:r w:rsidR="00E14477">
        <w:noBreakHyphen/>
      </w:r>
      <w:r w:rsidRPr="008F6483">
        <w:t>019).</w:t>
      </w:r>
    </w:p>
  </w:footnote>
  <w:footnote w:id="43">
    <w:p w14:paraId="4BFFA443" w14:textId="64E556AC" w:rsidR="00195B74" w:rsidRDefault="00195B74" w:rsidP="00A04D71">
      <w:pPr>
        <w:pStyle w:val="FootnoteText"/>
      </w:pPr>
      <w:r w:rsidRPr="008F6483">
        <w:rPr>
          <w:rStyle w:val="FootnoteReference"/>
        </w:rPr>
        <w:footnoteRef/>
      </w:r>
      <w:r w:rsidRPr="008F6483">
        <w:t xml:space="preserve"> </w:t>
      </w:r>
      <w:r w:rsidR="00E14477">
        <w:t xml:space="preserve"> </w:t>
      </w:r>
      <w:r w:rsidRPr="008F6483">
        <w:t xml:space="preserve">Policies related to DERs organized as microgrids pursuant to the </w:t>
      </w:r>
      <w:r>
        <w:t>Code Section</w:t>
      </w:r>
      <w:r w:rsidRPr="008F6483">
        <w:t xml:space="preserve"> 8370 definition are scoped into proceeding R.19-09-009. Microgrid and resiliency issues will be addressed in proceeding R.19-09-009. </w:t>
      </w:r>
      <w:bookmarkStart w:id="17" w:name="_Hlk69804072"/>
      <w:r w:rsidR="00E14477">
        <w:t xml:space="preserve"> </w:t>
      </w:r>
      <w:r>
        <w:t>To the extent the proceeding opened pursuant to this OIR addresses distribution planning and grid modernization issues that impact microgrids and resiliency issues, t</w:t>
      </w:r>
      <w:r w:rsidRPr="008F6483">
        <w:t>he proceeding</w:t>
      </w:r>
      <w:r>
        <w:t xml:space="preserve"> </w:t>
      </w:r>
      <w:r w:rsidRPr="008F6483">
        <w:t xml:space="preserve">will coordinate </w:t>
      </w:r>
      <w:r>
        <w:t xml:space="preserve">closely </w:t>
      </w:r>
      <w:r w:rsidRPr="008F6483">
        <w:t>with proceeding R.19-09-009.</w:t>
      </w:r>
      <w:bookmarkEnd w:id="17"/>
    </w:p>
  </w:footnote>
  <w:footnote w:id="44">
    <w:p w14:paraId="393C7D6F" w14:textId="6B097549" w:rsidR="00195B74" w:rsidRDefault="00195B74" w:rsidP="007C7E28">
      <w:pPr>
        <w:pStyle w:val="FootnoteText"/>
      </w:pPr>
      <w:r>
        <w:rPr>
          <w:rStyle w:val="FootnoteReference"/>
        </w:rPr>
        <w:footnoteRef/>
      </w:r>
      <w:r>
        <w:t xml:space="preserve"> </w:t>
      </w:r>
      <w:r w:rsidR="00E14477">
        <w:t xml:space="preserve"> </w:t>
      </w:r>
      <w:r>
        <w:t>C</w:t>
      </w:r>
      <w:r w:rsidRPr="00D0575B">
        <w:t>ommercial/industrial rooftop or community-scale</w:t>
      </w:r>
      <w:r>
        <w:t xml:space="preserve"> solar installations could be cost-effective for powering EVSE as opposed to installing new distribution infrastructure (</w:t>
      </w:r>
      <w:r w:rsidRPr="00FF48AB">
        <w:rPr>
          <w:i/>
          <w:iCs/>
        </w:rPr>
        <w:t>Distribution Costs and Distributed Generation</w:t>
      </w:r>
      <w:r>
        <w:t xml:space="preserve">, February 8, 2021, at </w:t>
      </w:r>
      <w:hyperlink r:id="rId10" w:history="1">
        <w:r w:rsidRPr="00CF5498">
          <w:rPr>
            <w:rStyle w:val="Hyperlink"/>
          </w:rPr>
          <w:t>https://energyathaas.wordpress.com/2021/02/08/distribution-costs-and-distributed-generation</w:t>
        </w:r>
      </w:hyperlink>
      <w:r>
        <w:t>.)</w:t>
      </w:r>
    </w:p>
  </w:footnote>
  <w:footnote w:id="45">
    <w:p w14:paraId="79B284B2" w14:textId="1911A367" w:rsidR="00195B74" w:rsidRDefault="00195B74" w:rsidP="005A4726">
      <w:pPr>
        <w:pStyle w:val="FootnoteText"/>
      </w:pPr>
      <w:r>
        <w:rPr>
          <w:rStyle w:val="FootnoteReference"/>
        </w:rPr>
        <w:footnoteRef/>
      </w:r>
      <w:r>
        <w:t xml:space="preserve"> </w:t>
      </w:r>
      <w:r w:rsidRPr="00EB18F7">
        <w:t xml:space="preserve"> </w:t>
      </w:r>
      <w:r>
        <w:t xml:space="preserve">GO </w:t>
      </w:r>
      <w:r w:rsidRPr="00EB18F7">
        <w:t>131-D</w:t>
      </w:r>
      <w:r>
        <w:t>,</w:t>
      </w:r>
      <w:r w:rsidRPr="00EB18F7">
        <w:t xml:space="preserve"> Section III.C.</w:t>
      </w:r>
      <w:r>
        <w:t xml:space="preserve">, states that electric distribution (under 50 kV) facilities neither require a </w:t>
      </w:r>
      <w:r w:rsidRPr="00F44F79">
        <w:t>Commission</w:t>
      </w:r>
      <w:r>
        <w:t xml:space="preserve"> permit nor discretionary permits or approvals by local governments. “However, to ensure safety and compliance with local building standards, the utility must first communicate with, and obtain the input of, local authorities regarding land use matters and obtain any non-discretionary local permits required for the construction and operation of these projects.” Section XIV.B. further states, “</w:t>
      </w:r>
      <w:r w:rsidRPr="00026FED">
        <w:t>in locating such projects, the public utilities shall consult with local agencies regarding land use matters.</w:t>
      </w:r>
      <w:r>
        <w:t>”</w:t>
      </w:r>
    </w:p>
  </w:footnote>
  <w:footnote w:id="46">
    <w:p w14:paraId="277CC9C8" w14:textId="4547F532" w:rsidR="00195B74" w:rsidRPr="008F6483" w:rsidRDefault="00195B74" w:rsidP="00F74E3A">
      <w:pPr>
        <w:pStyle w:val="FootnoteText"/>
      </w:pPr>
      <w:r>
        <w:rPr>
          <w:rStyle w:val="FootnoteReference"/>
        </w:rPr>
        <w:footnoteRef/>
      </w:r>
      <w:r>
        <w:t xml:space="preserve"> “Pre-Application Projects” are transmission and sub-transmission projects with associated grid needs under </w:t>
      </w:r>
      <w:r w:rsidRPr="00E442BF">
        <w:t>C</w:t>
      </w:r>
      <w:r>
        <w:t xml:space="preserve">ommission jurisdiction that are expected to require review pursuant to GO 131-D. Applications for projects filed under GO 131-D typically require review pursuant to the California Environmental Quality Act as well. Projects included in IOU DIDF filings that are already </w:t>
      </w:r>
      <w:r w:rsidRPr="008F6483">
        <w:t>undergoing review pursuant to a GO 131-D application process are considered “Post-Application Projects.”</w:t>
      </w:r>
    </w:p>
  </w:footnote>
  <w:footnote w:id="47">
    <w:p w14:paraId="15788891" w14:textId="03AFAD09" w:rsidR="00195B74" w:rsidRPr="008F6483" w:rsidRDefault="00195B74" w:rsidP="002A7A7A">
      <w:pPr>
        <w:pStyle w:val="FootnoteText"/>
      </w:pPr>
      <w:r w:rsidRPr="008F6483">
        <w:rPr>
          <w:rStyle w:val="FootnoteReference"/>
        </w:rPr>
        <w:footnoteRef/>
      </w:r>
      <w:r w:rsidRPr="008F6483">
        <w:t xml:space="preserve"> </w:t>
      </w:r>
      <w:r w:rsidR="00E14477">
        <w:t xml:space="preserve"> </w:t>
      </w:r>
      <w:r w:rsidRPr="008F6483">
        <w:t>According to PG&amp;E, high-speed EV charging facilities may result in customer load applications for 5 MW to 10 MW at a specific location (PG&amp;E 2020 DDOR at 27).</w:t>
      </w:r>
    </w:p>
  </w:footnote>
  <w:footnote w:id="48">
    <w:p w14:paraId="759CA553" w14:textId="058DE107" w:rsidR="00195B74" w:rsidRPr="008F6483" w:rsidRDefault="00195B74">
      <w:pPr>
        <w:pStyle w:val="FootnoteText"/>
      </w:pPr>
      <w:r w:rsidRPr="008F6483">
        <w:rPr>
          <w:rStyle w:val="FootnoteReference"/>
        </w:rPr>
        <w:footnoteRef/>
      </w:r>
      <w:r w:rsidRPr="008F6483">
        <w:t xml:space="preserve"> </w:t>
      </w:r>
      <w:r w:rsidR="00E14477">
        <w:t xml:space="preserve"> </w:t>
      </w:r>
      <w:r w:rsidRPr="008F6483">
        <w:t xml:space="preserve">AB 2127 (Ting, 2018) and </w:t>
      </w:r>
      <w:r>
        <w:t>Section</w:t>
      </w:r>
      <w:r w:rsidRPr="008F6483">
        <w:t xml:space="preserve"> 25229 requires the </w:t>
      </w:r>
      <w:r w:rsidRPr="00F44F79">
        <w:t>Commission</w:t>
      </w:r>
      <w:r w:rsidRPr="008F6483">
        <w:t xml:space="preserve"> to support the CEC with their biannual electric vehicle infrastructure projections that considers all necessary charging infrastructure to accelerate the adoption of electric vehicles to meet State goals.</w:t>
      </w:r>
    </w:p>
  </w:footnote>
  <w:footnote w:id="49">
    <w:p w14:paraId="47FF9F10" w14:textId="50C3637C" w:rsidR="00195B74" w:rsidRPr="003B4739" w:rsidRDefault="00195B74">
      <w:pPr>
        <w:pStyle w:val="FootnoteText"/>
      </w:pPr>
      <w:r>
        <w:rPr>
          <w:rStyle w:val="FootnoteReference"/>
        </w:rPr>
        <w:footnoteRef/>
      </w:r>
      <w:r>
        <w:t xml:space="preserve"> </w:t>
      </w:r>
      <w:r w:rsidRPr="00FA558E">
        <w:t>CEC’s EVSE</w:t>
      </w:r>
      <w:r>
        <w:t xml:space="preserve"> </w:t>
      </w:r>
      <w:r w:rsidRPr="00FA558E">
        <w:t>Deployment and Grid Evaluation</w:t>
      </w:r>
      <w:r>
        <w:t xml:space="preserve"> model (the “</w:t>
      </w:r>
      <w:r w:rsidRPr="00FA558E">
        <w:t>EDGE</w:t>
      </w:r>
      <w:r>
        <w:t>”</w:t>
      </w:r>
      <w:r w:rsidRPr="00FA558E">
        <w:t xml:space="preserve"> model</w:t>
      </w:r>
      <w:r>
        <w:t>)</w:t>
      </w:r>
      <w:r w:rsidRPr="00FA558E">
        <w:t xml:space="preserve"> is used to geospatially analyze and track local grid capacity, air quality, travel demand, and equity </w:t>
      </w:r>
      <w:r w:rsidRPr="003B4739">
        <w:t xml:space="preserve">considerations. It uses the ICA and GNA data to identify areas where grid capacity is available for EVSE (e.g., chargers). For further information, refer to the CEC’s </w:t>
      </w:r>
      <w:r w:rsidRPr="003B4739">
        <w:rPr>
          <w:i/>
          <w:iCs/>
        </w:rPr>
        <w:t>Assembly Bill 2127 Electric Vehicle Charging Infrastructure Assessment</w:t>
      </w:r>
      <w:r w:rsidRPr="003B4739">
        <w:t>, January 7, 2021.</w:t>
      </w:r>
    </w:p>
  </w:footnote>
  <w:footnote w:id="50">
    <w:p w14:paraId="7106370A" w14:textId="02FE0AE8" w:rsidR="00195B74" w:rsidRPr="003B4739" w:rsidRDefault="00195B74">
      <w:pPr>
        <w:pStyle w:val="FootnoteText"/>
      </w:pPr>
      <w:r w:rsidRPr="003B4739">
        <w:rPr>
          <w:rStyle w:val="FootnoteReference"/>
        </w:rPr>
        <w:footnoteRef/>
      </w:r>
      <w:r w:rsidRPr="003B4739">
        <w:t xml:space="preserve"> The December 21, 2020, </w:t>
      </w:r>
      <w:r w:rsidRPr="003B4739">
        <w:rPr>
          <w:i/>
          <w:iCs/>
        </w:rPr>
        <w:t>Decision Concerning Implementation of Senate Bill 676 and Vehicle-to-Grid Integration Strategies</w:t>
      </w:r>
      <w:r w:rsidRPr="003B4739">
        <w:t xml:space="preserve">, (D.20-12-029 for proceeding R.18-12-006), states at 31, “The large electrical corporations should consider opportunities to advance distribution deferral in any pilots or other policy actions under this decision, as well as other venues related to distribution infrastructure planning (such as distribution resources plans). In addition, integrating VGI [Vehicle-Grid Integration] across all relevant business activities (see section 6.6) is particularly relevant for avoiding distribution upgrades as noted in the draft TEF [Transportation Electrification Framework] (at 23) including any future solicitations for distribution deferral projects.” The IOU vehicle-grid integration load profiles coming in March 2022 (D.20-12-029 at 58 and 78) may inform DIDF deferral opportunity selection and DER-provider offers in response to solicitations. </w:t>
      </w:r>
    </w:p>
  </w:footnote>
  <w:footnote w:id="51">
    <w:p w14:paraId="08E416F7" w14:textId="0558FE60" w:rsidR="00195B74" w:rsidRDefault="00195B74">
      <w:pPr>
        <w:pStyle w:val="FootnoteText"/>
      </w:pPr>
      <w:r w:rsidRPr="003B4739">
        <w:rPr>
          <w:rStyle w:val="FootnoteReference"/>
        </w:rPr>
        <w:footnoteRef/>
      </w:r>
      <w:r w:rsidRPr="003B4739">
        <w:t xml:space="preserve"> The Vehicle-Grid Integration Working Group identified avoiding utility system upgrades as an application of vehicle-grid integration. Managing charging to leverage time-of-use rates and reduce customer bills is another example. Refer to the June 30, 2020, </w:t>
      </w:r>
      <w:r w:rsidRPr="003B4739">
        <w:rPr>
          <w:i/>
          <w:iCs/>
        </w:rPr>
        <w:t>Final Report of the California Joint Agencies Vehicle-Grid Integration Working Group,</w:t>
      </w:r>
      <w:r w:rsidRPr="003B4739">
        <w:rPr>
          <w:rStyle w:val="Hyperlink"/>
          <w:u w:val="none"/>
        </w:rPr>
        <w:t xml:space="preserve"> </w:t>
      </w:r>
      <w:r w:rsidRPr="003B4739">
        <w:t xml:space="preserve">at: </w:t>
      </w:r>
      <w:hyperlink r:id="rId11" w:history="1">
        <w:r w:rsidRPr="003B4739">
          <w:rPr>
            <w:rStyle w:val="Hyperlink"/>
          </w:rPr>
          <w:t>https://gridworks.org/wp-content/uploads/2020/09/GW_VehicleGrid-Integration-Working-Group.pdf</w:t>
        </w:r>
      </w:hyperlink>
      <w:r w:rsidRPr="003B4739">
        <w:t>.</w:t>
      </w:r>
    </w:p>
  </w:footnote>
  <w:footnote w:id="52">
    <w:p w14:paraId="3179EA63" w14:textId="68A6A66D" w:rsidR="00195B74" w:rsidRPr="00F01F0C" w:rsidRDefault="00195B74" w:rsidP="005C7665">
      <w:pPr>
        <w:pStyle w:val="FootnoteText"/>
      </w:pPr>
      <w:r w:rsidRPr="00F01F0C">
        <w:rPr>
          <w:rStyle w:val="FootnoteReference"/>
        </w:rPr>
        <w:footnoteRef/>
      </w:r>
      <w:r w:rsidR="00E14477">
        <w:t xml:space="preserve"> </w:t>
      </w:r>
      <w:r w:rsidRPr="00F01F0C">
        <w:t xml:space="preserve"> The </w:t>
      </w:r>
      <w:r w:rsidRPr="00F01F0C">
        <w:rPr>
          <w:i/>
          <w:iCs/>
        </w:rPr>
        <w:t>January 27, 2021</w:t>
      </w:r>
      <w:r>
        <w:rPr>
          <w:i/>
          <w:iCs/>
        </w:rPr>
        <w:t>,</w:t>
      </w:r>
      <w:r w:rsidRPr="00F01F0C">
        <w:t xml:space="preserve"> </w:t>
      </w:r>
      <w:r w:rsidRPr="00F01F0C">
        <w:rPr>
          <w:i/>
          <w:iCs/>
        </w:rPr>
        <w:t xml:space="preserve">Administrative Law Judge’s Ruling on Joint Parties’ Motion for an Order Requiring Refinements to the Integration Capacity Analysis, </w:t>
      </w:r>
      <w:r w:rsidRPr="00F01F0C">
        <w:t>orders the IOUs to retain an independent technical expert to review their data validation plans and efforts.</w:t>
      </w:r>
    </w:p>
  </w:footnote>
  <w:footnote w:id="53">
    <w:p w14:paraId="3296480E" w14:textId="5C4B812F" w:rsidR="00195B74" w:rsidRDefault="00195B74">
      <w:pPr>
        <w:pStyle w:val="FootnoteText"/>
      </w:pPr>
      <w:r w:rsidRPr="00F01F0C">
        <w:rPr>
          <w:rStyle w:val="FootnoteReference"/>
        </w:rPr>
        <w:footnoteRef/>
      </w:r>
      <w:r w:rsidRPr="00F01F0C">
        <w:t xml:space="preserve"> </w:t>
      </w:r>
      <w:r w:rsidR="00E14477">
        <w:t xml:space="preserve"> </w:t>
      </w:r>
      <w:r w:rsidRPr="00E14477">
        <w:rPr>
          <w:i/>
          <w:iCs/>
        </w:rPr>
        <w:t>See</w:t>
      </w:r>
      <w:r w:rsidRPr="00F01F0C">
        <w:t xml:space="preserve"> Section 3.1.4 in the </w:t>
      </w:r>
      <w:r w:rsidRPr="00F01F0C">
        <w:rPr>
          <w:i/>
          <w:iCs/>
        </w:rPr>
        <w:t>Transportation Electrification Framework, Energy Division Staff Proposal</w:t>
      </w:r>
      <w:r w:rsidRPr="00F01F0C">
        <w:t xml:space="preserve">, February 2020, regarding DRP proceeding coordination and ICA data use. Available at: </w:t>
      </w:r>
      <w:hyperlink r:id="rId12" w:history="1">
        <w:r w:rsidRPr="0030210D">
          <w:rPr>
            <w:rStyle w:val="Hyperlink"/>
          </w:rPr>
          <w:t>https://www.cpuc.ca.gov/zev</w:t>
        </w:r>
      </w:hyperlink>
      <w:r w:rsidRPr="00F01F0C">
        <w:t>.</w:t>
      </w:r>
    </w:p>
  </w:footnote>
  <w:footnote w:id="54">
    <w:p w14:paraId="20A0DE9A" w14:textId="57A7BCE4" w:rsidR="00195B74" w:rsidRDefault="00195B74" w:rsidP="004A071A">
      <w:pPr>
        <w:pStyle w:val="FootnoteText"/>
      </w:pPr>
      <w:r>
        <w:rPr>
          <w:rStyle w:val="FootnoteReference"/>
        </w:rPr>
        <w:footnoteRef/>
      </w:r>
      <w:r>
        <w:t xml:space="preserve"> </w:t>
      </w:r>
      <w:r w:rsidR="00E14477">
        <w:t xml:space="preserve"> </w:t>
      </w:r>
      <w:r>
        <w:t>T</w:t>
      </w:r>
      <w:r w:rsidRPr="009C3D5F">
        <w:t>he IOUs</w:t>
      </w:r>
      <w:r>
        <w:t xml:space="preserve"> are developing </w:t>
      </w:r>
      <w:r w:rsidRPr="009C3D5F">
        <w:t>Microgrid Data Portals for the microgrids and resiliency proceeding (R.19-09-009)</w:t>
      </w:r>
      <w:r>
        <w:t>. SCE currently expects their Microgrid Data Portal to be fully deployed in 2022. PG&amp;E expects to fully deploy in 2021, states SCE, and SCE’s portal might be partially deployed late 2021. SCE indicated that the infrastructure behind SCE’s DRP Data Portal is out of capacity to accommodate microgrid data (see SCE Reply to Protest of Kern and Santa Barbara Counties of Advice 4294-E, October 14, 2020). SCE’s new Microgrids for Developers webpage is intended to be a guide for local and tribal government entities interested in deploying microgrids (see Supplement to Advice Letter 4259-E, Southern California Edison Company’s Resiliency Project Engagement Guide, November 17, 2020).</w:t>
      </w:r>
    </w:p>
  </w:footnote>
  <w:footnote w:id="55">
    <w:p w14:paraId="650A8768" w14:textId="4827B559" w:rsidR="00195B74" w:rsidRDefault="00195B74">
      <w:pPr>
        <w:pStyle w:val="FootnoteText"/>
      </w:pPr>
      <w:r>
        <w:rPr>
          <w:rStyle w:val="FootnoteReference"/>
        </w:rPr>
        <w:footnoteRef/>
      </w:r>
      <w:r>
        <w:t xml:space="preserve"> </w:t>
      </w:r>
      <w:r w:rsidR="00E14477">
        <w:t xml:space="preserve"> </w:t>
      </w:r>
      <w:r w:rsidRPr="00E46E83">
        <w:t>D.20-06-017</w:t>
      </w:r>
      <w:r>
        <w:t>, Ordering Paragraph 11(b) at 127, states</w:t>
      </w:r>
      <w:r w:rsidRPr="00E46E83">
        <w:t xml:space="preserve"> that</w:t>
      </w:r>
      <w:r>
        <w:t xml:space="preserve"> local and tribal government</w:t>
      </w:r>
      <w:r w:rsidRPr="00E46E83">
        <w:t xml:space="preserve"> access to </w:t>
      </w:r>
      <w:r>
        <w:t>Microgrid Data Portal</w:t>
      </w:r>
      <w:r w:rsidRPr="00E46E83">
        <w:t xml:space="preserve"> data should not require the execution of non-disclosure agreement</w:t>
      </w:r>
      <w:r>
        <w:t>s</w:t>
      </w:r>
      <w:r w:rsidRPr="00E46E83">
        <w:t xml:space="preserve"> but </w:t>
      </w:r>
      <w:r>
        <w:t xml:space="preserve">the data </w:t>
      </w:r>
      <w:r w:rsidRPr="00E46E83">
        <w:t xml:space="preserve">should </w:t>
      </w:r>
      <w:r>
        <w:t xml:space="preserve">still </w:t>
      </w:r>
      <w:r w:rsidRPr="00E46E83">
        <w:t>be subject to confidential treatment</w:t>
      </w:r>
      <w:r>
        <w:t>.</w:t>
      </w:r>
    </w:p>
  </w:footnote>
  <w:footnote w:id="56">
    <w:p w14:paraId="3DEE4881" w14:textId="3664E6E8" w:rsidR="00195B74" w:rsidRDefault="00195B74">
      <w:pPr>
        <w:pStyle w:val="FootnoteText"/>
      </w:pPr>
      <w:r>
        <w:rPr>
          <w:rStyle w:val="FootnoteReference"/>
        </w:rPr>
        <w:footnoteRef/>
      </w:r>
      <w:r>
        <w:t xml:space="preserve"> </w:t>
      </w:r>
      <w:r w:rsidR="00E14477">
        <w:t xml:space="preserve"> </w:t>
      </w:r>
      <w:r w:rsidRPr="0098081C">
        <w:rPr>
          <w:rFonts w:eastAsia="Arial" w:cs="Arial"/>
          <w:color w:val="000000" w:themeColor="text1"/>
          <w:szCs w:val="22"/>
        </w:rPr>
        <w:t xml:space="preserve">Refer to CECI Pilot 2 and CESI Pilot 3 (planning area pilots) in the Staff Proposal, </w:t>
      </w:r>
      <w:r w:rsidRPr="0098081C">
        <w:rPr>
          <w:rFonts w:eastAsia="Arial" w:cs="Arial"/>
          <w:i/>
          <w:iCs/>
          <w:color w:val="000000" w:themeColor="text1"/>
          <w:szCs w:val="22"/>
        </w:rPr>
        <w:t>Distributed Energy Resources Deferral Tariff and Request for Offer Streamlining</w:t>
      </w:r>
      <w:r w:rsidRPr="0098081C">
        <w:rPr>
          <w:rFonts w:eastAsia="Arial" w:cs="Arial"/>
          <w:color w:val="000000" w:themeColor="text1"/>
          <w:szCs w:val="22"/>
        </w:rPr>
        <w:t>, October 5, 2020, proceeding R.14-03-003. It is an attachment to both the proposed and adopted decisions (D.21-02-006).</w:t>
      </w:r>
    </w:p>
  </w:footnote>
  <w:footnote w:id="57">
    <w:p w14:paraId="294A068D" w14:textId="55FD65AE" w:rsidR="00195B74" w:rsidRPr="008564D1" w:rsidRDefault="00195B74">
      <w:pPr>
        <w:pStyle w:val="FootnoteText"/>
      </w:pPr>
      <w:r>
        <w:rPr>
          <w:rStyle w:val="FootnoteReference"/>
        </w:rPr>
        <w:footnoteRef/>
      </w:r>
      <w:r>
        <w:t xml:space="preserve"> </w:t>
      </w:r>
      <w:r w:rsidR="00E14477">
        <w:t xml:space="preserve"> </w:t>
      </w:r>
      <w:r>
        <w:t xml:space="preserve">The California Energy Storage Alliance commented that </w:t>
      </w:r>
      <w:r w:rsidRPr="0053280A">
        <w:t>multiple-use application</w:t>
      </w:r>
      <w:r>
        <w:t xml:space="preserve"> Rule 6 should allow the same capacity to be used at the same time for both RA and distribution deferral purposes and that RA value should be available to deferral providers in all days of a month when not otherwise counted toward an IOU’s RA capacity (Opening Comments, Modifying the </w:t>
      </w:r>
      <w:r w:rsidRPr="008564D1">
        <w:t xml:space="preserve">Distribution Investment Deferral Framework, January 20, 2021, R.14-08-013, at 7 to 9). </w:t>
      </w:r>
      <w:r w:rsidR="00E14477">
        <w:t xml:space="preserve"> </w:t>
      </w:r>
      <w:r w:rsidRPr="008564D1">
        <w:t>SCE replied that they are open to increased rule flexibility while ensuring reliability. They note that RA program rules would need to be revised such that capacity could be provided for timeframes of less than an entire month (SCE Reply Comments, March 12, 2021, at 11 to 12).</w:t>
      </w:r>
    </w:p>
  </w:footnote>
  <w:footnote w:id="58">
    <w:p w14:paraId="1298DE37" w14:textId="5948B966" w:rsidR="00195B74" w:rsidRDefault="00195B74">
      <w:pPr>
        <w:pStyle w:val="FootnoteText"/>
      </w:pPr>
      <w:r w:rsidRPr="008564D1">
        <w:rPr>
          <w:rStyle w:val="FootnoteReference"/>
        </w:rPr>
        <w:footnoteRef/>
      </w:r>
      <w:r w:rsidRPr="008564D1">
        <w:t xml:space="preserve"> </w:t>
      </w:r>
      <w:r w:rsidR="00E14477">
        <w:t xml:space="preserve"> </w:t>
      </w:r>
      <w:r w:rsidRPr="00E14477">
        <w:rPr>
          <w:i/>
          <w:iCs/>
        </w:rPr>
        <w:t>See</w:t>
      </w:r>
      <w:r w:rsidRPr="008564D1">
        <w:t xml:space="preserve"> Section 3.1 in the </w:t>
      </w:r>
      <w:r w:rsidRPr="008564D1">
        <w:rPr>
          <w:i/>
          <w:iCs/>
        </w:rPr>
        <w:t>Transportation Electrification Framework, Energy Division Staff Proposal</w:t>
      </w:r>
      <w:r w:rsidRPr="008564D1">
        <w:t xml:space="preserve">, February 2020, regarding the Staff proposal for IOU strategic, long-term Transportation Electrification Plans. Available at </w:t>
      </w:r>
      <w:hyperlink r:id="rId13" w:history="1">
        <w:r w:rsidRPr="0030210D">
          <w:rPr>
            <w:rStyle w:val="Hyperlink"/>
          </w:rPr>
          <w:t>https://www.cpuc.ca.gov/zev</w:t>
        </w:r>
      </w:hyperlink>
      <w:r w:rsidRPr="008564D1">
        <w:t>.</w:t>
      </w:r>
    </w:p>
  </w:footnote>
  <w:footnote w:id="59">
    <w:p w14:paraId="187125FD" w14:textId="7D638074" w:rsidR="00195B74" w:rsidRDefault="00195B74">
      <w:pPr>
        <w:pStyle w:val="FootnoteText"/>
      </w:pPr>
      <w:r>
        <w:rPr>
          <w:rStyle w:val="FootnoteReference"/>
        </w:rPr>
        <w:footnoteRef/>
      </w:r>
      <w:r>
        <w:t xml:space="preserve"> </w:t>
      </w:r>
      <w:r w:rsidR="00E14477">
        <w:t xml:space="preserve"> </w:t>
      </w:r>
      <w:r>
        <w:t xml:space="preserve">PG&amp;E’s next GRC filing date will be in June 2021, SDG&amp;E’s in May 2022, and SCE’s in May 2023. </w:t>
      </w:r>
      <w:r w:rsidR="00E14477">
        <w:t xml:space="preserve"> </w:t>
      </w:r>
      <w:r w:rsidRPr="00E14477">
        <w:rPr>
          <w:i/>
          <w:iCs/>
        </w:rPr>
        <w:t>See</w:t>
      </w:r>
      <w:r>
        <w:t xml:space="preserve"> Appendix B to D.20-01-002 for the GRC safety, reliability, and revisions proceeding (R.13-11-006), which implement four-year GRC cycles instead of three-year cycles.</w:t>
      </w:r>
    </w:p>
  </w:footnote>
  <w:footnote w:id="60">
    <w:p w14:paraId="568F4FBC" w14:textId="6D43DF6B" w:rsidR="00195B74" w:rsidRDefault="00195B74">
      <w:pPr>
        <w:pStyle w:val="FootnoteText"/>
      </w:pPr>
      <w:r>
        <w:rPr>
          <w:rStyle w:val="FootnoteReference"/>
        </w:rPr>
        <w:footnoteRef/>
      </w:r>
      <w:r>
        <w:t xml:space="preserve"> </w:t>
      </w:r>
      <w:r w:rsidR="00E14477">
        <w:t xml:space="preserve"> </w:t>
      </w:r>
      <w:r>
        <w:t>Decision Adopting Recommendations from Working Groups Two, Three, and Subgroup, D.20-09-035, September 30, 2020, R.17-07-007.</w:t>
      </w:r>
    </w:p>
  </w:footnote>
  <w:footnote w:id="61">
    <w:p w14:paraId="29523E62" w14:textId="092A1A4F" w:rsidR="00195B74" w:rsidRDefault="00195B74">
      <w:pPr>
        <w:pStyle w:val="FootnoteText"/>
      </w:pPr>
      <w:r>
        <w:rPr>
          <w:rStyle w:val="FootnoteReference"/>
        </w:rPr>
        <w:footnoteRef/>
      </w:r>
      <w:r>
        <w:t xml:space="preserve"> </w:t>
      </w:r>
      <w:r w:rsidR="00E14477">
        <w:t xml:space="preserve"> </w:t>
      </w:r>
      <w:r w:rsidRPr="00973FDC">
        <w:t>Rule 21 Working Group Four Final Report, August 12, 2020, California Public Utilities Commission Interconnection Rulemaking (R.17-07-007).</w:t>
      </w:r>
      <w:r w:rsidR="00E14477">
        <w:t xml:space="preserve"> </w:t>
      </w:r>
      <w:r w:rsidRPr="00973FDC">
        <w:t xml:space="preserve"> Available at </w:t>
      </w:r>
      <w:hyperlink r:id="rId14" w:tgtFrame="_blank" w:history="1">
        <w:r w:rsidRPr="00973FDC">
          <w:rPr>
            <w:rStyle w:val="Hyperlink"/>
          </w:rPr>
          <w:t>https://gridworks.org/wp-content/uploads/2020/08/R21-WG4-Final-Report.pdf</w:t>
        </w:r>
      </w:hyperlink>
      <w:r w:rsidRPr="00973FDC">
        <w:t>.</w:t>
      </w:r>
      <w:r>
        <w:rPr>
          <w:rStyle w:val="normaltextrun"/>
          <w:rFonts w:ascii="Garamond" w:hAnsi="Garamond"/>
          <w:color w:val="000000"/>
          <w:sz w:val="20"/>
          <w:shd w:val="clear" w:color="auto" w:fill="FFFFFF"/>
        </w:rPr>
        <w:t> </w:t>
      </w:r>
    </w:p>
  </w:footnote>
  <w:footnote w:id="62">
    <w:p w14:paraId="00946A3A" w14:textId="51160E25" w:rsidR="00195B74" w:rsidRDefault="00195B74" w:rsidP="000802E2">
      <w:pPr>
        <w:pStyle w:val="FootnoteText"/>
      </w:pPr>
      <w:r>
        <w:rPr>
          <w:rStyle w:val="FootnoteReference"/>
        </w:rPr>
        <w:footnoteRef/>
      </w:r>
      <w:r>
        <w:t xml:space="preserve">  The DRP Data Portals hosted by the three IOUs provide ICA, LNBA, GNA/DDOR, and other data to the public to support, among other goals, the siting and sizing of customer-owned DERs, public vetting of the IOU’s GNA/DDOR filings, and third</w:t>
      </w:r>
      <w:r>
        <w:noBreakHyphen/>
        <w:t>-</w:t>
      </w:r>
      <w:r>
        <w:noBreakHyphen/>
        <w:t>party bidding on distribution deferral opportunities. Data specific to microgrid and resiliency planning are under development by the IOUs. Other electric and gas IOU data portals that may be developed would also be incorporated into the consultant’s scope of work.</w:t>
      </w:r>
    </w:p>
  </w:footnote>
  <w:footnote w:id="63">
    <w:p w14:paraId="1296FA42" w14:textId="0B9493B0" w:rsidR="00195B74" w:rsidRDefault="00195B74" w:rsidP="0072569E">
      <w:pPr>
        <w:pStyle w:val="FootnoteText"/>
      </w:pPr>
      <w:r>
        <w:rPr>
          <w:rStyle w:val="FootnoteReference"/>
        </w:rPr>
        <w:footnoteRef/>
      </w:r>
      <w:r>
        <w:t xml:space="preserve"> </w:t>
      </w:r>
      <w:r w:rsidR="003C3F08">
        <w:t xml:space="preserve"> </w:t>
      </w:r>
      <w:r w:rsidRPr="00C72D69">
        <w:t xml:space="preserve">The technical analysis used to produce the </w:t>
      </w:r>
      <w:r w:rsidRPr="00C72D69">
        <w:rPr>
          <w:i/>
          <w:iCs/>
        </w:rPr>
        <w:t xml:space="preserve">2021 </w:t>
      </w:r>
      <w:r>
        <w:rPr>
          <w:i/>
          <w:iCs/>
        </w:rPr>
        <w:t xml:space="preserve">SB 100 </w:t>
      </w:r>
      <w:r w:rsidRPr="00C72D69">
        <w:rPr>
          <w:i/>
          <w:iCs/>
        </w:rPr>
        <w:t>Joint Agency Report</w:t>
      </w:r>
      <w:r>
        <w:rPr>
          <w:i/>
          <w:iCs/>
        </w:rPr>
        <w:t xml:space="preserve">: </w:t>
      </w:r>
      <w:r w:rsidRPr="00C72D69">
        <w:rPr>
          <w:i/>
          <w:iCs/>
        </w:rPr>
        <w:t>Achieving 100 Percent Clean Electricity in California</w:t>
      </w:r>
      <w:r>
        <w:rPr>
          <w:i/>
          <w:iCs/>
        </w:rPr>
        <w:t>,</w:t>
      </w:r>
      <w:r w:rsidRPr="0046000B">
        <w:rPr>
          <w:i/>
          <w:iCs/>
        </w:rPr>
        <w:t xml:space="preserve"> An Initial Assessment</w:t>
      </w:r>
      <w:r w:rsidRPr="00C72D69">
        <w:t xml:space="preserve"> </w:t>
      </w:r>
      <w:r>
        <w:t xml:space="preserve">(Mach 2021) </w:t>
      </w:r>
      <w:r w:rsidRPr="00C72D69">
        <w:t>focused on large-scale generation and the transmission grid</w:t>
      </w:r>
      <w:r>
        <w:t xml:space="preserve">. It did not focus on how </w:t>
      </w:r>
      <w:r w:rsidRPr="00C72D69">
        <w:t>DER</w:t>
      </w:r>
      <w:r>
        <w:t>s</w:t>
      </w:r>
      <w:r w:rsidRPr="00C72D69">
        <w:t xml:space="preserve"> could </w:t>
      </w:r>
      <w:r>
        <w:t xml:space="preserve">help reach </w:t>
      </w:r>
      <w:r w:rsidRPr="00C72D69">
        <w:t>S</w:t>
      </w:r>
      <w:r>
        <w:t xml:space="preserve">enate </w:t>
      </w:r>
      <w:r w:rsidRPr="00C72D69">
        <w:t>B</w:t>
      </w:r>
      <w:r>
        <w:t>ill</w:t>
      </w:r>
      <w:r w:rsidRPr="00C72D69">
        <w:t xml:space="preserve"> 100 goals</w:t>
      </w:r>
      <w:r>
        <w:t xml:space="preserve"> (100 percent renewable and zero-</w:t>
      </w:r>
      <w:r w:rsidRPr="00227E45">
        <w:t>carbon retail electricity by 2045</w:t>
      </w:r>
      <w:r>
        <w:t>)</w:t>
      </w:r>
      <w:r w:rsidRPr="00C72D69">
        <w:t xml:space="preserve">. </w:t>
      </w:r>
      <w:r w:rsidR="003C3F08">
        <w:t xml:space="preserve"> </w:t>
      </w:r>
      <w:r>
        <w:t xml:space="preserve">The report is available at: </w:t>
      </w:r>
      <w:hyperlink r:id="rId15" w:history="1">
        <w:r w:rsidRPr="00A1422F">
          <w:rPr>
            <w:rStyle w:val="Hyperlink"/>
          </w:rPr>
          <w:t>https://www.energy.ca.gov/sb100</w:t>
        </w:r>
      </w:hyperlink>
      <w:r>
        <w:t xml:space="preserve">. </w:t>
      </w:r>
      <w:r w:rsidR="003C3F08">
        <w:t xml:space="preserve"> </w:t>
      </w:r>
      <w:r w:rsidRPr="00C72D69">
        <w:t xml:space="preserve">CEC staff </w:t>
      </w:r>
      <w:r>
        <w:t xml:space="preserve">plan </w:t>
      </w:r>
      <w:r w:rsidRPr="00C72D69">
        <w:t>to analyze the potential for DER to offset anticipated increases in electrification loads due to decarbonization in future years.</w:t>
      </w:r>
    </w:p>
  </w:footnote>
  <w:footnote w:id="64">
    <w:p w14:paraId="771FC129" w14:textId="0BE8E052" w:rsidR="00195B74" w:rsidRDefault="00195B74" w:rsidP="00194B3E">
      <w:pPr>
        <w:pStyle w:val="FootnoteText"/>
      </w:pPr>
      <w:r>
        <w:rPr>
          <w:rStyle w:val="FootnoteReference"/>
        </w:rPr>
        <w:footnoteRef/>
      </w:r>
      <w:r>
        <w:t xml:space="preserve"> </w:t>
      </w:r>
      <w:r w:rsidR="003C3F08">
        <w:t xml:space="preserve"> </w:t>
      </w:r>
      <w:r>
        <w:t xml:space="preserve">The CEC is currently gathering the following datasets (among others): Advanced Metering Infrastructure data in hourly (8760) or 15-minute intervals (kW, kWh) with Greenwich Mean Time timestamps; power flow modeling data; utility wildfire datasets; </w:t>
      </w:r>
      <w:r w:rsidR="003C3F08">
        <w:t xml:space="preserve"> </w:t>
      </w:r>
      <w:r>
        <w:t xml:space="preserve">IOU hosting capacity information for each line segment, feeder, and substation; existing solar installation data from California Solar Initiative and Net Energy Metering interconnection datasets; </w:t>
      </w:r>
      <w:r w:rsidR="003C3F08">
        <w:t xml:space="preserve"> </w:t>
      </w:r>
      <w:r>
        <w:t>existing Self</w:t>
      </w:r>
      <w:r w:rsidR="003C3F08">
        <w:noBreakHyphen/>
      </w:r>
      <w:r>
        <w:t>Generation Incentive Program projects data; existing demand response projects data; and DIDF filings data.</w:t>
      </w:r>
    </w:p>
  </w:footnote>
  <w:footnote w:id="65">
    <w:p w14:paraId="53172E81" w14:textId="0F193514" w:rsidR="00195B74" w:rsidRDefault="00195B74" w:rsidP="000C427C">
      <w:pPr>
        <w:pStyle w:val="FootnoteText"/>
      </w:pPr>
      <w:r>
        <w:rPr>
          <w:rStyle w:val="FootnoteReference"/>
        </w:rPr>
        <w:footnoteRef/>
      </w:r>
      <w:r>
        <w:t xml:space="preserve"> </w:t>
      </w:r>
      <w:r w:rsidR="003C3F08">
        <w:t xml:space="preserve"> </w:t>
      </w:r>
      <w:r>
        <w:t>The DIDF Guidelines would document all existing DIDF rules and requirements pursuant to decisions and rulings of the DRP and IDER proceedings and associated proceedings as relevant.</w:t>
      </w:r>
    </w:p>
  </w:footnote>
  <w:footnote w:id="66">
    <w:p w14:paraId="21A4D7F0" w14:textId="5515F58A" w:rsidR="00195B74" w:rsidRPr="00BE7C0A" w:rsidRDefault="00195B74">
      <w:pPr>
        <w:pStyle w:val="FootnoteText"/>
      </w:pPr>
      <w:r w:rsidRPr="00BE7C0A">
        <w:rPr>
          <w:rStyle w:val="FootnoteReference"/>
        </w:rPr>
        <w:footnoteRef/>
      </w:r>
      <w:r w:rsidRPr="00BE7C0A">
        <w:t xml:space="preserve"> </w:t>
      </w:r>
      <w:r w:rsidR="003C3F08">
        <w:t xml:space="preserve"> </w:t>
      </w:r>
      <w:r w:rsidRPr="00BE7C0A">
        <w:t>The Phase 1 Electrification Impacts on Distribution Planning Report would forecast the scope and cost of grid impacts.</w:t>
      </w:r>
    </w:p>
  </w:footnote>
  <w:footnote w:id="67">
    <w:p w14:paraId="149DECB0" w14:textId="46798E97" w:rsidR="00195B74" w:rsidRDefault="00195B74" w:rsidP="005955FF">
      <w:pPr>
        <w:pStyle w:val="FootnoteText"/>
      </w:pPr>
      <w:r w:rsidRPr="00BE7C0A">
        <w:rPr>
          <w:rStyle w:val="FootnoteReference"/>
        </w:rPr>
        <w:footnoteRef/>
      </w:r>
      <w:r w:rsidRPr="00BE7C0A">
        <w:t xml:space="preserve"> </w:t>
      </w:r>
      <w:r w:rsidR="003C3F08">
        <w:t xml:space="preserve"> </w:t>
      </w:r>
      <w:r w:rsidRPr="00BE7C0A">
        <w:t xml:space="preserve">The Phase 2 Electrification Impacts on Distribution Planning Report would be prepared as a Staff Proposal focused on improving distribution planning to mitigate </w:t>
      </w:r>
      <w:r>
        <w:t xml:space="preserve">grid </w:t>
      </w:r>
      <w:r w:rsidRPr="00BE7C0A">
        <w:t>impacts identified in the Phase 1 report.</w:t>
      </w:r>
    </w:p>
  </w:footnote>
  <w:footnote w:id="68">
    <w:p w14:paraId="764B3C71" w14:textId="62A7B2A6" w:rsidR="00195B74" w:rsidRDefault="00195B74" w:rsidP="002E605C">
      <w:pPr>
        <w:pStyle w:val="FootnoteText"/>
      </w:pPr>
      <w:r>
        <w:rPr>
          <w:rStyle w:val="FootnoteReference"/>
        </w:rPr>
        <w:footnoteRef/>
      </w:r>
      <w:r>
        <w:t xml:space="preserve"> </w:t>
      </w:r>
      <w:r w:rsidR="003C3F08">
        <w:t xml:space="preserve"> </w:t>
      </w:r>
      <w:r>
        <w:t>DPP Staff Proposal would include details from the DIDF Guidelines and electrification impacts, DRP Data Portals improvement, grid modernization, and smart inverter operationalization reports and proposals. The DIDF Guidelines would be replaced by a new, DPP Guidelines document.</w:t>
      </w:r>
    </w:p>
  </w:footnote>
  <w:footnote w:id="69">
    <w:p w14:paraId="31A016AC" w14:textId="76EE180B" w:rsidR="00195B74" w:rsidRDefault="00195B74">
      <w:pPr>
        <w:pStyle w:val="FootnoteText"/>
      </w:pPr>
      <w:r>
        <w:rPr>
          <w:rStyle w:val="FootnoteReference"/>
        </w:rPr>
        <w:footnoteRef/>
      </w:r>
      <w:r>
        <w:t xml:space="preserve"> </w:t>
      </w:r>
      <w:r w:rsidR="003C3F08">
        <w:t xml:space="preserve"> </w:t>
      </w:r>
      <w:r w:rsidRPr="009B0E81">
        <w:t xml:space="preserve">Formation of the Disadvantaged Communities Advisory Group was called for in Senate Bill 350, the Clean Energy and Pollution Reduction Act of 2015. The 11-member group meets several times a year to review </w:t>
      </w:r>
      <w:r w:rsidRPr="00F44F79">
        <w:t>Commission</w:t>
      </w:r>
      <w:r w:rsidRPr="009B0E81">
        <w:t xml:space="preserve"> and CEC clean energy programs and policies to ensure that disadvantaged communities, including tribal and rural communities, benefit from proposed clean energy and pollution reduction programs.</w:t>
      </w:r>
    </w:p>
  </w:footnote>
  <w:footnote w:id="70">
    <w:p w14:paraId="0EE01952" w14:textId="271D4F84" w:rsidR="00195B74" w:rsidRDefault="00195B74" w:rsidP="00017D2A">
      <w:pPr>
        <w:pStyle w:val="FootnoteText"/>
      </w:pPr>
      <w:r>
        <w:rPr>
          <w:rStyle w:val="FootnoteReference"/>
        </w:rPr>
        <w:footnoteRef/>
      </w:r>
      <w:r>
        <w:t xml:space="preserve"> </w:t>
      </w:r>
      <w:r w:rsidR="003C3F08">
        <w:t xml:space="preserve"> </w:t>
      </w:r>
      <w:r>
        <w:t xml:space="preserve">The </w:t>
      </w:r>
      <w:r w:rsidRPr="00F44F79">
        <w:t>Commission</w:t>
      </w:r>
      <w:r>
        <w:t xml:space="preserve">’s </w:t>
      </w:r>
      <w:r w:rsidRPr="004840F3">
        <w:t xml:space="preserve">Wildfire Safety Division will transition to the California Natural Resources Agency in Summer 2021 </w:t>
      </w:r>
      <w:r>
        <w:t xml:space="preserve">and become the </w:t>
      </w:r>
      <w:r w:rsidRPr="00AE0E01">
        <w:rPr>
          <w:szCs w:val="26"/>
        </w:rPr>
        <w:t>Office of Energy Infrastructure Safety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7F36" w14:textId="77777777" w:rsidR="00AE078E" w:rsidRDefault="00AE078E" w:rsidP="00AE078E">
    <w:pPr>
      <w:pStyle w:val="Header"/>
      <w:tabs>
        <w:tab w:val="clear" w:pos="4680"/>
      </w:tabs>
      <w:ind w:firstLine="0"/>
      <w:rPr>
        <w:b/>
        <w:bCs/>
        <w:iCs/>
      </w:rPr>
    </w:pPr>
    <w:r>
      <w:rPr>
        <w:iCs/>
      </w:rPr>
      <w:t>R._________</w:t>
    </w:r>
    <w:proofErr w:type="gramStart"/>
    <w:r>
      <w:rPr>
        <w:iCs/>
      </w:rPr>
      <w:t>_  COM</w:t>
    </w:r>
    <w:proofErr w:type="gramEnd"/>
    <w:r>
      <w:rPr>
        <w:iCs/>
      </w:rPr>
      <w:t>/___/gp2</w:t>
    </w:r>
    <w:r>
      <w:rPr>
        <w:iCs/>
      </w:rPr>
      <w:tab/>
    </w:r>
    <w:r>
      <w:rPr>
        <w:b/>
        <w:bCs/>
        <w:iCs/>
      </w:rPr>
      <w:t>PROPOSED DECISION</w:t>
    </w:r>
  </w:p>
  <w:p w14:paraId="0EEA2432" w14:textId="77777777" w:rsidR="00195B74" w:rsidRPr="00AE078E" w:rsidRDefault="00195B74" w:rsidP="00AE078E">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F338" w14:textId="350E6E8B" w:rsidR="00195B74" w:rsidRPr="00FC5EF4" w:rsidRDefault="00195B74" w:rsidP="00FC5EF4">
    <w:pPr>
      <w:pStyle w:val="Header"/>
      <w:tabs>
        <w:tab w:val="clear" w:pos="4680"/>
      </w:tabs>
      <w:ind w:firstLine="0"/>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F024" w14:textId="2C08C27D" w:rsidR="009D4B65" w:rsidRDefault="009D4B65" w:rsidP="00FC5EF4">
    <w:pPr>
      <w:pStyle w:val="Header"/>
      <w:tabs>
        <w:tab w:val="clear" w:pos="4680"/>
      </w:tabs>
      <w:ind w:firstLine="0"/>
      <w:rPr>
        <w:b/>
        <w:bCs/>
        <w:iCs/>
      </w:rPr>
    </w:pPr>
    <w:r>
      <w:rPr>
        <w:iCs/>
      </w:rPr>
      <w:t>R.</w:t>
    </w:r>
    <w:r w:rsidR="002D6F47">
      <w:rPr>
        <w:iCs/>
      </w:rPr>
      <w:t>_________</w:t>
    </w:r>
    <w:proofErr w:type="gramStart"/>
    <w:r w:rsidR="002D6F47">
      <w:rPr>
        <w:iCs/>
      </w:rPr>
      <w:t>_  COM</w:t>
    </w:r>
    <w:proofErr w:type="gramEnd"/>
    <w:r w:rsidR="002D6F47">
      <w:rPr>
        <w:iCs/>
      </w:rPr>
      <w:t>/___/gp2</w:t>
    </w:r>
    <w:r w:rsidR="002D6F47">
      <w:rPr>
        <w:iCs/>
      </w:rPr>
      <w:tab/>
    </w:r>
    <w:r w:rsidR="002D6F47">
      <w:rPr>
        <w:b/>
        <w:bCs/>
        <w:iCs/>
      </w:rPr>
      <w:t>PROPOSED DECISION</w:t>
    </w:r>
  </w:p>
  <w:p w14:paraId="31D952EB" w14:textId="77777777" w:rsidR="00843747" w:rsidRPr="00B3087D" w:rsidRDefault="00843747" w:rsidP="00843747">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D6A8B"/>
    <w:multiLevelType w:val="hybridMultilevel"/>
    <w:tmpl w:val="0C4A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722F8"/>
    <w:multiLevelType w:val="hybridMultilevel"/>
    <w:tmpl w:val="7E60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76CDB"/>
    <w:multiLevelType w:val="hybridMultilevel"/>
    <w:tmpl w:val="ADC8476A"/>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146C1C14"/>
    <w:multiLevelType w:val="hybridMultilevel"/>
    <w:tmpl w:val="18F4A5AC"/>
    <w:styleLink w:val="FoFCoLOP"/>
    <w:lvl w:ilvl="0" w:tplc="EE8AC2BA">
      <w:start w:val="1"/>
      <w:numFmt w:val="decimal"/>
      <w:lvlText w:val="%1."/>
      <w:lvlJc w:val="right"/>
      <w:pPr>
        <w:ind w:left="0" w:firstLine="540"/>
      </w:pPr>
      <w:rPr>
        <w:rFonts w:hint="default"/>
      </w:rPr>
    </w:lvl>
    <w:lvl w:ilvl="1" w:tplc="FBD6E956">
      <w:start w:val="1"/>
      <w:numFmt w:val="lowerLetter"/>
      <w:lvlText w:val="(%2)"/>
      <w:lvlJc w:val="right"/>
      <w:pPr>
        <w:ind w:left="1152" w:hanging="72"/>
      </w:pPr>
      <w:rPr>
        <w:rFonts w:hint="default"/>
      </w:rPr>
    </w:lvl>
    <w:lvl w:ilvl="2" w:tplc="3B8CE9A4">
      <w:start w:val="1"/>
      <w:numFmt w:val="none"/>
      <w:lvlText w:val=""/>
      <w:lvlJc w:val="left"/>
      <w:pPr>
        <w:ind w:left="720" w:firstLine="0"/>
      </w:pPr>
      <w:rPr>
        <w:rFonts w:hint="default"/>
      </w:rPr>
    </w:lvl>
    <w:lvl w:ilvl="3" w:tplc="ED9C4132">
      <w:start w:val="1"/>
      <w:numFmt w:val="none"/>
      <w:lvlText w:val=""/>
      <w:lvlJc w:val="left"/>
      <w:pPr>
        <w:ind w:left="720" w:firstLine="0"/>
      </w:pPr>
      <w:rPr>
        <w:rFonts w:hint="default"/>
      </w:rPr>
    </w:lvl>
    <w:lvl w:ilvl="4" w:tplc="88967406">
      <w:start w:val="1"/>
      <w:numFmt w:val="none"/>
      <w:lvlText w:val=""/>
      <w:lvlJc w:val="left"/>
      <w:pPr>
        <w:ind w:left="720" w:firstLine="0"/>
      </w:pPr>
      <w:rPr>
        <w:rFonts w:hint="default"/>
      </w:rPr>
    </w:lvl>
    <w:lvl w:ilvl="5" w:tplc="7C5E8370">
      <w:start w:val="1"/>
      <w:numFmt w:val="none"/>
      <w:lvlText w:val=""/>
      <w:lvlJc w:val="left"/>
      <w:pPr>
        <w:ind w:left="720" w:firstLine="0"/>
      </w:pPr>
      <w:rPr>
        <w:rFonts w:hint="default"/>
      </w:rPr>
    </w:lvl>
    <w:lvl w:ilvl="6" w:tplc="D03060CA">
      <w:start w:val="1"/>
      <w:numFmt w:val="none"/>
      <w:lvlText w:val=""/>
      <w:lvlJc w:val="left"/>
      <w:pPr>
        <w:ind w:left="720" w:firstLine="0"/>
      </w:pPr>
      <w:rPr>
        <w:rFonts w:hint="default"/>
      </w:rPr>
    </w:lvl>
    <w:lvl w:ilvl="7" w:tplc="A2D696BE">
      <w:start w:val="1"/>
      <w:numFmt w:val="none"/>
      <w:lvlText w:val=""/>
      <w:lvlJc w:val="left"/>
      <w:pPr>
        <w:ind w:left="720" w:firstLine="0"/>
      </w:pPr>
      <w:rPr>
        <w:rFonts w:hint="default"/>
      </w:rPr>
    </w:lvl>
    <w:lvl w:ilvl="8" w:tplc="643262DE">
      <w:start w:val="1"/>
      <w:numFmt w:val="none"/>
      <w:lvlText w:val=""/>
      <w:lvlJc w:val="left"/>
      <w:pPr>
        <w:ind w:left="720" w:firstLine="0"/>
      </w:pPr>
      <w:rPr>
        <w:rFonts w:hint="default"/>
      </w:rPr>
    </w:lvl>
  </w:abstractNum>
  <w:abstractNum w:abstractNumId="5" w15:restartNumberingAfterBreak="0">
    <w:nsid w:val="159D5FCA"/>
    <w:multiLevelType w:val="hybridMultilevel"/>
    <w:tmpl w:val="0C4AD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056CB"/>
    <w:multiLevelType w:val="hybridMultilevel"/>
    <w:tmpl w:val="18F4A5AC"/>
    <w:numStyleLink w:val="FoFCoLOP"/>
  </w:abstractNum>
  <w:abstractNum w:abstractNumId="7" w15:restartNumberingAfterBreak="0">
    <w:nsid w:val="178E58C7"/>
    <w:multiLevelType w:val="hybridMultilevel"/>
    <w:tmpl w:val="36D29668"/>
    <w:lvl w:ilvl="0" w:tplc="BFB63CAC">
      <w:start w:val="2"/>
      <w:numFmt w:val="decimal"/>
      <w:lvlText w:val="%1."/>
      <w:lvlJc w:val="left"/>
      <w:pPr>
        <w:tabs>
          <w:tab w:val="num" w:pos="720"/>
        </w:tabs>
        <w:ind w:left="720" w:hanging="360"/>
      </w:pPr>
    </w:lvl>
    <w:lvl w:ilvl="1" w:tplc="F260E7FC" w:tentative="1">
      <w:start w:val="1"/>
      <w:numFmt w:val="decimal"/>
      <w:lvlText w:val="%2."/>
      <w:lvlJc w:val="left"/>
      <w:pPr>
        <w:tabs>
          <w:tab w:val="num" w:pos="1440"/>
        </w:tabs>
        <w:ind w:left="1440" w:hanging="360"/>
      </w:pPr>
    </w:lvl>
    <w:lvl w:ilvl="2" w:tplc="60AAEA5E" w:tentative="1">
      <w:start w:val="1"/>
      <w:numFmt w:val="decimal"/>
      <w:lvlText w:val="%3."/>
      <w:lvlJc w:val="left"/>
      <w:pPr>
        <w:tabs>
          <w:tab w:val="num" w:pos="2160"/>
        </w:tabs>
        <w:ind w:left="2160" w:hanging="360"/>
      </w:pPr>
    </w:lvl>
    <w:lvl w:ilvl="3" w:tplc="B7EA2826" w:tentative="1">
      <w:start w:val="1"/>
      <w:numFmt w:val="decimal"/>
      <w:lvlText w:val="%4."/>
      <w:lvlJc w:val="left"/>
      <w:pPr>
        <w:tabs>
          <w:tab w:val="num" w:pos="2880"/>
        </w:tabs>
        <w:ind w:left="2880" w:hanging="360"/>
      </w:pPr>
    </w:lvl>
    <w:lvl w:ilvl="4" w:tplc="9E603F9E" w:tentative="1">
      <w:start w:val="1"/>
      <w:numFmt w:val="decimal"/>
      <w:lvlText w:val="%5."/>
      <w:lvlJc w:val="left"/>
      <w:pPr>
        <w:tabs>
          <w:tab w:val="num" w:pos="3600"/>
        </w:tabs>
        <w:ind w:left="3600" w:hanging="360"/>
      </w:pPr>
    </w:lvl>
    <w:lvl w:ilvl="5" w:tplc="181891B8" w:tentative="1">
      <w:start w:val="1"/>
      <w:numFmt w:val="decimal"/>
      <w:lvlText w:val="%6."/>
      <w:lvlJc w:val="left"/>
      <w:pPr>
        <w:tabs>
          <w:tab w:val="num" w:pos="4320"/>
        </w:tabs>
        <w:ind w:left="4320" w:hanging="360"/>
      </w:pPr>
    </w:lvl>
    <w:lvl w:ilvl="6" w:tplc="BEA2E018" w:tentative="1">
      <w:start w:val="1"/>
      <w:numFmt w:val="decimal"/>
      <w:lvlText w:val="%7."/>
      <w:lvlJc w:val="left"/>
      <w:pPr>
        <w:tabs>
          <w:tab w:val="num" w:pos="5040"/>
        </w:tabs>
        <w:ind w:left="5040" w:hanging="360"/>
      </w:pPr>
    </w:lvl>
    <w:lvl w:ilvl="7" w:tplc="A0849048" w:tentative="1">
      <w:start w:val="1"/>
      <w:numFmt w:val="decimal"/>
      <w:lvlText w:val="%8."/>
      <w:lvlJc w:val="left"/>
      <w:pPr>
        <w:tabs>
          <w:tab w:val="num" w:pos="5760"/>
        </w:tabs>
        <w:ind w:left="5760" w:hanging="360"/>
      </w:pPr>
    </w:lvl>
    <w:lvl w:ilvl="8" w:tplc="9D9C1A26" w:tentative="1">
      <w:start w:val="1"/>
      <w:numFmt w:val="decimal"/>
      <w:lvlText w:val="%9."/>
      <w:lvlJc w:val="left"/>
      <w:pPr>
        <w:tabs>
          <w:tab w:val="num" w:pos="6480"/>
        </w:tabs>
        <w:ind w:left="6480" w:hanging="360"/>
      </w:pPr>
    </w:lvl>
  </w:abstractNum>
  <w:abstractNum w:abstractNumId="8" w15:restartNumberingAfterBreak="0">
    <w:nsid w:val="1A317757"/>
    <w:multiLevelType w:val="hybridMultilevel"/>
    <w:tmpl w:val="597A0AF8"/>
    <w:lvl w:ilvl="0" w:tplc="29340EEE">
      <w:start w:val="1"/>
      <w:numFmt w:val="decimal"/>
      <w:pStyle w:val="OP"/>
      <w:lvlText w:val="%1."/>
      <w:lvlJc w:val="left"/>
      <w:pPr>
        <w:ind w:left="1260" w:hanging="360"/>
      </w:pPr>
      <w:rPr>
        <w:rFonts w:ascii="Book Antiqua" w:hAnsi="Book Antiqu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4254A0"/>
    <w:multiLevelType w:val="hybridMultilevel"/>
    <w:tmpl w:val="0C4A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19409F"/>
    <w:multiLevelType w:val="hybridMultilevel"/>
    <w:tmpl w:val="BEE2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E15EEE"/>
    <w:multiLevelType w:val="hybridMultilevel"/>
    <w:tmpl w:val="0C4A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1049C2"/>
    <w:multiLevelType w:val="hybridMultilevel"/>
    <w:tmpl w:val="BFF84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D42"/>
    <w:multiLevelType w:val="multilevel"/>
    <w:tmpl w:val="F0F0EA0A"/>
    <w:styleLink w:val="Headings"/>
    <w:lvl w:ilvl="0">
      <w:start w:val="1"/>
      <w:numFmt w:val="decimal"/>
      <w:lvlText w:val="%1."/>
      <w:lvlJc w:val="left"/>
      <w:pPr>
        <w:tabs>
          <w:tab w:val="num" w:pos="720"/>
        </w:tabs>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5DA1FEF"/>
    <w:multiLevelType w:val="hybridMultilevel"/>
    <w:tmpl w:val="A3BAAC6E"/>
    <w:lvl w:ilvl="0" w:tplc="E10C07AC">
      <w:start w:val="4"/>
      <w:numFmt w:val="decimal"/>
      <w:lvlText w:val="%1."/>
      <w:lvlJc w:val="left"/>
      <w:pPr>
        <w:tabs>
          <w:tab w:val="num" w:pos="720"/>
        </w:tabs>
        <w:ind w:left="720" w:hanging="360"/>
      </w:pPr>
    </w:lvl>
    <w:lvl w:ilvl="1" w:tplc="9D2C3732" w:tentative="1">
      <w:start w:val="1"/>
      <w:numFmt w:val="decimal"/>
      <w:lvlText w:val="%2."/>
      <w:lvlJc w:val="left"/>
      <w:pPr>
        <w:tabs>
          <w:tab w:val="num" w:pos="1440"/>
        </w:tabs>
        <w:ind w:left="1440" w:hanging="360"/>
      </w:pPr>
    </w:lvl>
    <w:lvl w:ilvl="2" w:tplc="D7986F7C" w:tentative="1">
      <w:start w:val="1"/>
      <w:numFmt w:val="decimal"/>
      <w:lvlText w:val="%3."/>
      <w:lvlJc w:val="left"/>
      <w:pPr>
        <w:tabs>
          <w:tab w:val="num" w:pos="2160"/>
        </w:tabs>
        <w:ind w:left="2160" w:hanging="360"/>
      </w:pPr>
    </w:lvl>
    <w:lvl w:ilvl="3" w:tplc="5C9C34DE" w:tentative="1">
      <w:start w:val="1"/>
      <w:numFmt w:val="decimal"/>
      <w:lvlText w:val="%4."/>
      <w:lvlJc w:val="left"/>
      <w:pPr>
        <w:tabs>
          <w:tab w:val="num" w:pos="2880"/>
        </w:tabs>
        <w:ind w:left="2880" w:hanging="360"/>
      </w:pPr>
    </w:lvl>
    <w:lvl w:ilvl="4" w:tplc="90DE4000" w:tentative="1">
      <w:start w:val="1"/>
      <w:numFmt w:val="decimal"/>
      <w:lvlText w:val="%5."/>
      <w:lvlJc w:val="left"/>
      <w:pPr>
        <w:tabs>
          <w:tab w:val="num" w:pos="3600"/>
        </w:tabs>
        <w:ind w:left="3600" w:hanging="360"/>
      </w:pPr>
    </w:lvl>
    <w:lvl w:ilvl="5" w:tplc="C026FB16" w:tentative="1">
      <w:start w:val="1"/>
      <w:numFmt w:val="decimal"/>
      <w:lvlText w:val="%6."/>
      <w:lvlJc w:val="left"/>
      <w:pPr>
        <w:tabs>
          <w:tab w:val="num" w:pos="4320"/>
        </w:tabs>
        <w:ind w:left="4320" w:hanging="360"/>
      </w:pPr>
    </w:lvl>
    <w:lvl w:ilvl="6" w:tplc="37F63744" w:tentative="1">
      <w:start w:val="1"/>
      <w:numFmt w:val="decimal"/>
      <w:lvlText w:val="%7."/>
      <w:lvlJc w:val="left"/>
      <w:pPr>
        <w:tabs>
          <w:tab w:val="num" w:pos="5040"/>
        </w:tabs>
        <w:ind w:left="5040" w:hanging="360"/>
      </w:pPr>
    </w:lvl>
    <w:lvl w:ilvl="7" w:tplc="8EEEAC46" w:tentative="1">
      <w:start w:val="1"/>
      <w:numFmt w:val="decimal"/>
      <w:lvlText w:val="%8."/>
      <w:lvlJc w:val="left"/>
      <w:pPr>
        <w:tabs>
          <w:tab w:val="num" w:pos="5760"/>
        </w:tabs>
        <w:ind w:left="5760" w:hanging="360"/>
      </w:pPr>
    </w:lvl>
    <w:lvl w:ilvl="8" w:tplc="76ECAE5E" w:tentative="1">
      <w:start w:val="1"/>
      <w:numFmt w:val="decimal"/>
      <w:lvlText w:val="%9."/>
      <w:lvlJc w:val="left"/>
      <w:pPr>
        <w:tabs>
          <w:tab w:val="num" w:pos="6480"/>
        </w:tabs>
        <w:ind w:left="6480" w:hanging="360"/>
      </w:pPr>
    </w:lvl>
  </w:abstractNum>
  <w:abstractNum w:abstractNumId="15" w15:restartNumberingAfterBreak="0">
    <w:nsid w:val="37E3362A"/>
    <w:multiLevelType w:val="hybridMultilevel"/>
    <w:tmpl w:val="43963F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B035BF"/>
    <w:multiLevelType w:val="multilevel"/>
    <w:tmpl w:val="D29439A4"/>
    <w:lvl w:ilvl="0">
      <w:start w:val="1"/>
      <w:numFmt w:val="decimal"/>
      <w:pStyle w:val="Heading1"/>
      <w:lvlText w:val="%1."/>
      <w:lvlJc w:val="left"/>
      <w:pPr>
        <w:tabs>
          <w:tab w:val="num" w:pos="720"/>
        </w:tabs>
        <w:ind w:left="720" w:hanging="720"/>
      </w:pPr>
      <w:rPr>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decimal"/>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7" w15:restartNumberingAfterBreak="0">
    <w:nsid w:val="477757D7"/>
    <w:multiLevelType w:val="hybridMultilevel"/>
    <w:tmpl w:val="D3EA52C2"/>
    <w:lvl w:ilvl="0" w:tplc="3CFAD202">
      <w:start w:val="1"/>
      <w:numFmt w:val="decimal"/>
      <w:lvlText w:val="%1."/>
      <w:lvlJc w:val="left"/>
      <w:pPr>
        <w:ind w:left="720" w:hanging="360"/>
      </w:pPr>
      <w:rPr>
        <w:rFonts w:ascii="Book Antiqua" w:hAnsi="Book Antiqua" w:hint="default"/>
      </w:rPr>
    </w:lvl>
    <w:lvl w:ilvl="1" w:tplc="C7C0C1C0">
      <w:start w:val="1"/>
      <w:numFmt w:val="lowerLetter"/>
      <w:lvlText w:val="%2."/>
      <w:lvlJc w:val="left"/>
      <w:pPr>
        <w:ind w:left="1440" w:hanging="360"/>
      </w:pPr>
    </w:lvl>
    <w:lvl w:ilvl="2" w:tplc="8AB60B18">
      <w:start w:val="1"/>
      <w:numFmt w:val="lowerRoman"/>
      <w:lvlText w:val="%3."/>
      <w:lvlJc w:val="right"/>
      <w:pPr>
        <w:ind w:left="2160" w:hanging="180"/>
      </w:pPr>
    </w:lvl>
    <w:lvl w:ilvl="3" w:tplc="D8027A64">
      <w:start w:val="1"/>
      <w:numFmt w:val="decimal"/>
      <w:lvlText w:val="%4."/>
      <w:lvlJc w:val="left"/>
      <w:pPr>
        <w:ind w:left="2880" w:hanging="360"/>
      </w:pPr>
    </w:lvl>
    <w:lvl w:ilvl="4" w:tplc="F162EE42">
      <w:start w:val="1"/>
      <w:numFmt w:val="lowerLetter"/>
      <w:lvlText w:val="%5."/>
      <w:lvlJc w:val="left"/>
      <w:pPr>
        <w:ind w:left="3600" w:hanging="360"/>
      </w:pPr>
    </w:lvl>
    <w:lvl w:ilvl="5" w:tplc="E4AA07C8">
      <w:start w:val="1"/>
      <w:numFmt w:val="lowerRoman"/>
      <w:lvlText w:val="%6."/>
      <w:lvlJc w:val="right"/>
      <w:pPr>
        <w:ind w:left="4320" w:hanging="180"/>
      </w:pPr>
    </w:lvl>
    <w:lvl w:ilvl="6" w:tplc="F6AEFA98">
      <w:start w:val="1"/>
      <w:numFmt w:val="decimal"/>
      <w:lvlText w:val="%7."/>
      <w:lvlJc w:val="left"/>
      <w:pPr>
        <w:ind w:left="5040" w:hanging="360"/>
      </w:pPr>
    </w:lvl>
    <w:lvl w:ilvl="7" w:tplc="6336A88E">
      <w:start w:val="1"/>
      <w:numFmt w:val="lowerLetter"/>
      <w:lvlText w:val="%8."/>
      <w:lvlJc w:val="left"/>
      <w:pPr>
        <w:ind w:left="5760" w:hanging="360"/>
      </w:pPr>
    </w:lvl>
    <w:lvl w:ilvl="8" w:tplc="E790221C">
      <w:start w:val="1"/>
      <w:numFmt w:val="lowerRoman"/>
      <w:lvlText w:val="%9."/>
      <w:lvlJc w:val="right"/>
      <w:pPr>
        <w:ind w:left="6480" w:hanging="180"/>
      </w:pPr>
    </w:lvl>
  </w:abstractNum>
  <w:abstractNum w:abstractNumId="18" w15:restartNumberingAfterBreak="0">
    <w:nsid w:val="48813FA8"/>
    <w:multiLevelType w:val="hybridMultilevel"/>
    <w:tmpl w:val="9EB4C9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2E7B85"/>
    <w:multiLevelType w:val="hybridMultilevel"/>
    <w:tmpl w:val="0AA49A8C"/>
    <w:lvl w:ilvl="0" w:tplc="0409000F">
      <w:start w:val="1"/>
      <w:numFmt w:val="decimal"/>
      <w:lvlText w:val="%1."/>
      <w:lvlJc w:val="left"/>
      <w:pPr>
        <w:ind w:left="1440" w:hanging="360"/>
      </w:pPr>
    </w:lvl>
    <w:lvl w:ilvl="1" w:tplc="74905A4A">
      <w:start w:val="1"/>
      <w:numFmt w:val="lowerLetter"/>
      <w:lvlText w:val="%2."/>
      <w:lvlJc w:val="left"/>
      <w:pPr>
        <w:ind w:left="2160" w:hanging="360"/>
      </w:pPr>
      <w:rPr>
        <w:rFonts w:ascii="Book Antiqua" w:hAnsi="Book Antiqu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910398"/>
    <w:multiLevelType w:val="hybridMultilevel"/>
    <w:tmpl w:val="189C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F7942"/>
    <w:multiLevelType w:val="hybridMultilevel"/>
    <w:tmpl w:val="55FA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116CD"/>
    <w:multiLevelType w:val="hybridMultilevel"/>
    <w:tmpl w:val="BF163ADA"/>
    <w:lvl w:ilvl="0" w:tplc="DE504DC0">
      <w:start w:val="1"/>
      <w:numFmt w:val="decimal"/>
      <w:lvlText w:val="%1."/>
      <w:lvlJc w:val="left"/>
      <w:pPr>
        <w:tabs>
          <w:tab w:val="num" w:pos="720"/>
        </w:tabs>
        <w:ind w:left="720" w:hanging="360"/>
      </w:pPr>
    </w:lvl>
    <w:lvl w:ilvl="1" w:tplc="29029106" w:tentative="1">
      <w:start w:val="1"/>
      <w:numFmt w:val="decimal"/>
      <w:lvlText w:val="%2."/>
      <w:lvlJc w:val="left"/>
      <w:pPr>
        <w:tabs>
          <w:tab w:val="num" w:pos="1440"/>
        </w:tabs>
        <w:ind w:left="1440" w:hanging="360"/>
      </w:pPr>
    </w:lvl>
    <w:lvl w:ilvl="2" w:tplc="1180B358" w:tentative="1">
      <w:start w:val="1"/>
      <w:numFmt w:val="decimal"/>
      <w:lvlText w:val="%3."/>
      <w:lvlJc w:val="left"/>
      <w:pPr>
        <w:tabs>
          <w:tab w:val="num" w:pos="2160"/>
        </w:tabs>
        <w:ind w:left="2160" w:hanging="360"/>
      </w:pPr>
    </w:lvl>
    <w:lvl w:ilvl="3" w:tplc="E05E37E6" w:tentative="1">
      <w:start w:val="1"/>
      <w:numFmt w:val="decimal"/>
      <w:lvlText w:val="%4."/>
      <w:lvlJc w:val="left"/>
      <w:pPr>
        <w:tabs>
          <w:tab w:val="num" w:pos="2880"/>
        </w:tabs>
        <w:ind w:left="2880" w:hanging="360"/>
      </w:pPr>
    </w:lvl>
    <w:lvl w:ilvl="4" w:tplc="E0D858EC" w:tentative="1">
      <w:start w:val="1"/>
      <w:numFmt w:val="decimal"/>
      <w:lvlText w:val="%5."/>
      <w:lvlJc w:val="left"/>
      <w:pPr>
        <w:tabs>
          <w:tab w:val="num" w:pos="3600"/>
        </w:tabs>
        <w:ind w:left="3600" w:hanging="360"/>
      </w:pPr>
    </w:lvl>
    <w:lvl w:ilvl="5" w:tplc="D8524CE4" w:tentative="1">
      <w:start w:val="1"/>
      <w:numFmt w:val="decimal"/>
      <w:lvlText w:val="%6."/>
      <w:lvlJc w:val="left"/>
      <w:pPr>
        <w:tabs>
          <w:tab w:val="num" w:pos="4320"/>
        </w:tabs>
        <w:ind w:left="4320" w:hanging="360"/>
      </w:pPr>
    </w:lvl>
    <w:lvl w:ilvl="6" w:tplc="33220A64" w:tentative="1">
      <w:start w:val="1"/>
      <w:numFmt w:val="decimal"/>
      <w:lvlText w:val="%7."/>
      <w:lvlJc w:val="left"/>
      <w:pPr>
        <w:tabs>
          <w:tab w:val="num" w:pos="5040"/>
        </w:tabs>
        <w:ind w:left="5040" w:hanging="360"/>
      </w:pPr>
    </w:lvl>
    <w:lvl w:ilvl="7" w:tplc="F836B93A" w:tentative="1">
      <w:start w:val="1"/>
      <w:numFmt w:val="decimal"/>
      <w:lvlText w:val="%8."/>
      <w:lvlJc w:val="left"/>
      <w:pPr>
        <w:tabs>
          <w:tab w:val="num" w:pos="5760"/>
        </w:tabs>
        <w:ind w:left="5760" w:hanging="360"/>
      </w:pPr>
    </w:lvl>
    <w:lvl w:ilvl="8" w:tplc="898A11D8" w:tentative="1">
      <w:start w:val="1"/>
      <w:numFmt w:val="decimal"/>
      <w:lvlText w:val="%9."/>
      <w:lvlJc w:val="left"/>
      <w:pPr>
        <w:tabs>
          <w:tab w:val="num" w:pos="6480"/>
        </w:tabs>
        <w:ind w:left="6480" w:hanging="360"/>
      </w:pPr>
    </w:lvl>
  </w:abstractNum>
  <w:abstractNum w:abstractNumId="23" w15:restartNumberingAfterBreak="0">
    <w:nsid w:val="54C6046C"/>
    <w:multiLevelType w:val="hybridMultilevel"/>
    <w:tmpl w:val="0C4AD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D9149A"/>
    <w:multiLevelType w:val="hybridMultilevel"/>
    <w:tmpl w:val="F73A1D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D042D7"/>
    <w:multiLevelType w:val="hybridMultilevel"/>
    <w:tmpl w:val="18F4A5AC"/>
    <w:numStyleLink w:val="FoFCoLOP"/>
  </w:abstractNum>
  <w:abstractNum w:abstractNumId="26" w15:restartNumberingAfterBreak="0">
    <w:nsid w:val="5F371235"/>
    <w:multiLevelType w:val="hybridMultilevel"/>
    <w:tmpl w:val="0C4A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376C6B"/>
    <w:multiLevelType w:val="hybridMultilevel"/>
    <w:tmpl w:val="3BC8CC4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FD7F30"/>
    <w:multiLevelType w:val="hybridMultilevel"/>
    <w:tmpl w:val="317A7C2E"/>
    <w:lvl w:ilvl="0" w:tplc="89F89414">
      <w:start w:val="1"/>
      <w:numFmt w:val="decimal"/>
      <w:lvlText w:val="%1)"/>
      <w:lvlJc w:val="left"/>
      <w:pPr>
        <w:ind w:left="1080" w:hanging="360"/>
      </w:pPr>
      <w:rPr>
        <w:rFonts w:ascii="Book Antiqua" w:eastAsiaTheme="minorHAnsi" w:hAnsi="Book Antiqua"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727936"/>
    <w:multiLevelType w:val="hybridMultilevel"/>
    <w:tmpl w:val="B7D85DB0"/>
    <w:lvl w:ilvl="0" w:tplc="0409000F">
      <w:start w:val="1"/>
      <w:numFmt w:val="decimal"/>
      <w:lvlText w:val="%1."/>
      <w:lvlJc w:val="left"/>
      <w:pPr>
        <w:ind w:left="1509" w:hanging="360"/>
      </w:pPr>
      <w:rPr>
        <w:rFont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0" w15:restartNumberingAfterBreak="0">
    <w:nsid w:val="76D927E8"/>
    <w:multiLevelType w:val="hybridMultilevel"/>
    <w:tmpl w:val="3DB01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D91A0C"/>
    <w:multiLevelType w:val="hybridMultilevel"/>
    <w:tmpl w:val="227C6E88"/>
    <w:lvl w:ilvl="0" w:tplc="E0B88F6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6682978">
      <w:start w:val="1"/>
      <w:numFmt w:val="lowerRoman"/>
      <w:lvlText w:val="%3."/>
      <w:lvlJc w:val="right"/>
      <w:pPr>
        <w:ind w:left="2160" w:hanging="180"/>
      </w:pPr>
    </w:lvl>
    <w:lvl w:ilvl="3" w:tplc="2EEC68EE">
      <w:start w:val="1"/>
      <w:numFmt w:val="decimal"/>
      <w:lvlText w:val="%4."/>
      <w:lvlJc w:val="left"/>
      <w:pPr>
        <w:ind w:left="2880" w:hanging="360"/>
      </w:pPr>
    </w:lvl>
    <w:lvl w:ilvl="4" w:tplc="03FC5176">
      <w:start w:val="1"/>
      <w:numFmt w:val="lowerLetter"/>
      <w:lvlText w:val="%5."/>
      <w:lvlJc w:val="left"/>
      <w:pPr>
        <w:ind w:left="3600" w:hanging="360"/>
      </w:pPr>
    </w:lvl>
    <w:lvl w:ilvl="5" w:tplc="9984C4A0">
      <w:start w:val="1"/>
      <w:numFmt w:val="lowerRoman"/>
      <w:lvlText w:val="%6."/>
      <w:lvlJc w:val="right"/>
      <w:pPr>
        <w:ind w:left="4320" w:hanging="180"/>
      </w:pPr>
    </w:lvl>
    <w:lvl w:ilvl="6" w:tplc="B49426FE">
      <w:start w:val="1"/>
      <w:numFmt w:val="decimal"/>
      <w:lvlText w:val="%7."/>
      <w:lvlJc w:val="left"/>
      <w:pPr>
        <w:ind w:left="5040" w:hanging="360"/>
      </w:pPr>
    </w:lvl>
    <w:lvl w:ilvl="7" w:tplc="434294B0">
      <w:start w:val="1"/>
      <w:numFmt w:val="lowerLetter"/>
      <w:lvlText w:val="%8."/>
      <w:lvlJc w:val="left"/>
      <w:pPr>
        <w:ind w:left="5760" w:hanging="360"/>
      </w:pPr>
    </w:lvl>
    <w:lvl w:ilvl="8" w:tplc="9C4EFEA2">
      <w:start w:val="1"/>
      <w:numFmt w:val="lowerRoman"/>
      <w:lvlText w:val="%9."/>
      <w:lvlJc w:val="right"/>
      <w:pPr>
        <w:ind w:left="6480" w:hanging="180"/>
      </w:pPr>
    </w:lvl>
  </w:abstractNum>
  <w:abstractNum w:abstractNumId="32" w15:restartNumberingAfterBreak="0">
    <w:nsid w:val="78290EFB"/>
    <w:multiLevelType w:val="hybridMultilevel"/>
    <w:tmpl w:val="B78275BA"/>
    <w:lvl w:ilvl="0" w:tplc="07D02B68">
      <w:start w:val="1"/>
      <w:numFmt w:val="bullet"/>
      <w:lvlText w:val=""/>
      <w:lvlJc w:val="left"/>
      <w:pPr>
        <w:tabs>
          <w:tab w:val="num" w:pos="720"/>
        </w:tabs>
        <w:ind w:left="720" w:hanging="360"/>
      </w:pPr>
      <w:rPr>
        <w:rFonts w:ascii="Symbol" w:hAnsi="Symbol" w:hint="default"/>
        <w:sz w:val="20"/>
      </w:rPr>
    </w:lvl>
    <w:lvl w:ilvl="1" w:tplc="79F8C2E6" w:tentative="1">
      <w:start w:val="1"/>
      <w:numFmt w:val="bullet"/>
      <w:lvlText w:val=""/>
      <w:lvlJc w:val="left"/>
      <w:pPr>
        <w:tabs>
          <w:tab w:val="num" w:pos="1440"/>
        </w:tabs>
        <w:ind w:left="1440" w:hanging="360"/>
      </w:pPr>
      <w:rPr>
        <w:rFonts w:ascii="Symbol" w:hAnsi="Symbol" w:hint="default"/>
        <w:sz w:val="20"/>
      </w:rPr>
    </w:lvl>
    <w:lvl w:ilvl="2" w:tplc="7438FED2" w:tentative="1">
      <w:start w:val="1"/>
      <w:numFmt w:val="bullet"/>
      <w:lvlText w:val=""/>
      <w:lvlJc w:val="left"/>
      <w:pPr>
        <w:tabs>
          <w:tab w:val="num" w:pos="2160"/>
        </w:tabs>
        <w:ind w:left="2160" w:hanging="360"/>
      </w:pPr>
      <w:rPr>
        <w:rFonts w:ascii="Symbol" w:hAnsi="Symbol" w:hint="default"/>
        <w:sz w:val="20"/>
      </w:rPr>
    </w:lvl>
    <w:lvl w:ilvl="3" w:tplc="86F4D3D2" w:tentative="1">
      <w:start w:val="1"/>
      <w:numFmt w:val="bullet"/>
      <w:lvlText w:val=""/>
      <w:lvlJc w:val="left"/>
      <w:pPr>
        <w:tabs>
          <w:tab w:val="num" w:pos="2880"/>
        </w:tabs>
        <w:ind w:left="2880" w:hanging="360"/>
      </w:pPr>
      <w:rPr>
        <w:rFonts w:ascii="Symbol" w:hAnsi="Symbol" w:hint="default"/>
        <w:sz w:val="20"/>
      </w:rPr>
    </w:lvl>
    <w:lvl w:ilvl="4" w:tplc="A61AC462" w:tentative="1">
      <w:start w:val="1"/>
      <w:numFmt w:val="bullet"/>
      <w:lvlText w:val=""/>
      <w:lvlJc w:val="left"/>
      <w:pPr>
        <w:tabs>
          <w:tab w:val="num" w:pos="3600"/>
        </w:tabs>
        <w:ind w:left="3600" w:hanging="360"/>
      </w:pPr>
      <w:rPr>
        <w:rFonts w:ascii="Symbol" w:hAnsi="Symbol" w:hint="default"/>
        <w:sz w:val="20"/>
      </w:rPr>
    </w:lvl>
    <w:lvl w:ilvl="5" w:tplc="9B1ABB6E" w:tentative="1">
      <w:start w:val="1"/>
      <w:numFmt w:val="bullet"/>
      <w:lvlText w:val=""/>
      <w:lvlJc w:val="left"/>
      <w:pPr>
        <w:tabs>
          <w:tab w:val="num" w:pos="4320"/>
        </w:tabs>
        <w:ind w:left="4320" w:hanging="360"/>
      </w:pPr>
      <w:rPr>
        <w:rFonts w:ascii="Symbol" w:hAnsi="Symbol" w:hint="default"/>
        <w:sz w:val="20"/>
      </w:rPr>
    </w:lvl>
    <w:lvl w:ilvl="6" w:tplc="01904AE4" w:tentative="1">
      <w:start w:val="1"/>
      <w:numFmt w:val="bullet"/>
      <w:lvlText w:val=""/>
      <w:lvlJc w:val="left"/>
      <w:pPr>
        <w:tabs>
          <w:tab w:val="num" w:pos="5040"/>
        </w:tabs>
        <w:ind w:left="5040" w:hanging="360"/>
      </w:pPr>
      <w:rPr>
        <w:rFonts w:ascii="Symbol" w:hAnsi="Symbol" w:hint="default"/>
        <w:sz w:val="20"/>
      </w:rPr>
    </w:lvl>
    <w:lvl w:ilvl="7" w:tplc="9EA6BA24" w:tentative="1">
      <w:start w:val="1"/>
      <w:numFmt w:val="bullet"/>
      <w:lvlText w:val=""/>
      <w:lvlJc w:val="left"/>
      <w:pPr>
        <w:tabs>
          <w:tab w:val="num" w:pos="5760"/>
        </w:tabs>
        <w:ind w:left="5760" w:hanging="360"/>
      </w:pPr>
      <w:rPr>
        <w:rFonts w:ascii="Symbol" w:hAnsi="Symbol" w:hint="default"/>
        <w:sz w:val="20"/>
      </w:rPr>
    </w:lvl>
    <w:lvl w:ilvl="8" w:tplc="B048362A"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6B29DB"/>
    <w:multiLevelType w:val="hybridMultilevel"/>
    <w:tmpl w:val="E1145AFE"/>
    <w:lvl w:ilvl="0" w:tplc="605E82EC">
      <w:start w:val="3"/>
      <w:numFmt w:val="decimal"/>
      <w:lvlText w:val="%1."/>
      <w:lvlJc w:val="left"/>
      <w:pPr>
        <w:tabs>
          <w:tab w:val="num" w:pos="720"/>
        </w:tabs>
        <w:ind w:left="720" w:hanging="360"/>
      </w:pPr>
    </w:lvl>
    <w:lvl w:ilvl="1" w:tplc="193460D0" w:tentative="1">
      <w:start w:val="1"/>
      <w:numFmt w:val="decimal"/>
      <w:lvlText w:val="%2."/>
      <w:lvlJc w:val="left"/>
      <w:pPr>
        <w:tabs>
          <w:tab w:val="num" w:pos="1440"/>
        </w:tabs>
        <w:ind w:left="1440" w:hanging="360"/>
      </w:pPr>
    </w:lvl>
    <w:lvl w:ilvl="2" w:tplc="9830DD9E" w:tentative="1">
      <w:start w:val="1"/>
      <w:numFmt w:val="decimal"/>
      <w:lvlText w:val="%3."/>
      <w:lvlJc w:val="left"/>
      <w:pPr>
        <w:tabs>
          <w:tab w:val="num" w:pos="2160"/>
        </w:tabs>
        <w:ind w:left="2160" w:hanging="360"/>
      </w:pPr>
    </w:lvl>
    <w:lvl w:ilvl="3" w:tplc="9B36F224" w:tentative="1">
      <w:start w:val="1"/>
      <w:numFmt w:val="decimal"/>
      <w:lvlText w:val="%4."/>
      <w:lvlJc w:val="left"/>
      <w:pPr>
        <w:tabs>
          <w:tab w:val="num" w:pos="2880"/>
        </w:tabs>
        <w:ind w:left="2880" w:hanging="360"/>
      </w:pPr>
    </w:lvl>
    <w:lvl w:ilvl="4" w:tplc="D0DC27B4" w:tentative="1">
      <w:start w:val="1"/>
      <w:numFmt w:val="decimal"/>
      <w:lvlText w:val="%5."/>
      <w:lvlJc w:val="left"/>
      <w:pPr>
        <w:tabs>
          <w:tab w:val="num" w:pos="3600"/>
        </w:tabs>
        <w:ind w:left="3600" w:hanging="360"/>
      </w:pPr>
    </w:lvl>
    <w:lvl w:ilvl="5" w:tplc="8BEEA95C" w:tentative="1">
      <w:start w:val="1"/>
      <w:numFmt w:val="decimal"/>
      <w:lvlText w:val="%6."/>
      <w:lvlJc w:val="left"/>
      <w:pPr>
        <w:tabs>
          <w:tab w:val="num" w:pos="4320"/>
        </w:tabs>
        <w:ind w:left="4320" w:hanging="360"/>
      </w:pPr>
    </w:lvl>
    <w:lvl w:ilvl="6" w:tplc="D6029200" w:tentative="1">
      <w:start w:val="1"/>
      <w:numFmt w:val="decimal"/>
      <w:lvlText w:val="%7."/>
      <w:lvlJc w:val="left"/>
      <w:pPr>
        <w:tabs>
          <w:tab w:val="num" w:pos="5040"/>
        </w:tabs>
        <w:ind w:left="5040" w:hanging="360"/>
      </w:pPr>
    </w:lvl>
    <w:lvl w:ilvl="7" w:tplc="A7F6F30C" w:tentative="1">
      <w:start w:val="1"/>
      <w:numFmt w:val="decimal"/>
      <w:lvlText w:val="%8."/>
      <w:lvlJc w:val="left"/>
      <w:pPr>
        <w:tabs>
          <w:tab w:val="num" w:pos="5760"/>
        </w:tabs>
        <w:ind w:left="5760" w:hanging="360"/>
      </w:pPr>
    </w:lvl>
    <w:lvl w:ilvl="8" w:tplc="99E0CE0A" w:tentative="1">
      <w:start w:val="1"/>
      <w:numFmt w:val="decimal"/>
      <w:lvlText w:val="%9."/>
      <w:lvlJc w:val="left"/>
      <w:pPr>
        <w:tabs>
          <w:tab w:val="num" w:pos="6480"/>
        </w:tabs>
        <w:ind w:left="6480" w:hanging="360"/>
      </w:pPr>
    </w:lvl>
  </w:abstractNum>
  <w:abstractNum w:abstractNumId="34" w15:restartNumberingAfterBreak="0">
    <w:nsid w:val="7B1C30FD"/>
    <w:multiLevelType w:val="singleLevel"/>
    <w:tmpl w:val="2FB6A734"/>
    <w:lvl w:ilvl="0">
      <w:start w:val="1"/>
      <w:numFmt w:val="decimal"/>
      <w:lvlText w:val="%1."/>
      <w:legacy w:legacy="1" w:legacySpace="144" w:legacyIndent="0"/>
      <w:lvlJc w:val="left"/>
    </w:lvl>
  </w:abstractNum>
  <w:num w:numId="1">
    <w:abstractNumId w:val="31"/>
  </w:num>
  <w:num w:numId="2">
    <w:abstractNumId w:val="4"/>
  </w:num>
  <w:num w:numId="3">
    <w:abstractNumId w:val="25"/>
  </w:num>
  <w:num w:numId="4">
    <w:abstractNumId w:val="6"/>
  </w:num>
  <w:num w:numId="5">
    <w:abstractNumId w:val="13"/>
  </w:num>
  <w:num w:numId="6">
    <w:abstractNumId w:val="0"/>
  </w:num>
  <w:num w:numId="7">
    <w:abstractNumId w:val="16"/>
  </w:num>
  <w:num w:numId="8">
    <w:abstractNumId w:val="15"/>
  </w:num>
  <w:num w:numId="9">
    <w:abstractNumId w:val="30"/>
  </w:num>
  <w:num w:numId="10">
    <w:abstractNumId w:val="5"/>
  </w:num>
  <w:num w:numId="11">
    <w:abstractNumId w:val="17"/>
  </w:num>
  <w:num w:numId="12">
    <w:abstractNumId w:val="16"/>
  </w:num>
  <w:num w:numId="13">
    <w:abstractNumId w:val="16"/>
  </w:num>
  <w:num w:numId="14">
    <w:abstractNumId w:val="12"/>
  </w:num>
  <w:num w:numId="15">
    <w:abstractNumId w:val="24"/>
  </w:num>
  <w:num w:numId="16">
    <w:abstractNumId w:val="27"/>
  </w:num>
  <w:num w:numId="17">
    <w:abstractNumId w:val="22"/>
  </w:num>
  <w:num w:numId="18">
    <w:abstractNumId w:val="7"/>
  </w:num>
  <w:num w:numId="19">
    <w:abstractNumId w:val="33"/>
  </w:num>
  <w:num w:numId="20">
    <w:abstractNumId w:val="14"/>
  </w:num>
  <w:num w:numId="21">
    <w:abstractNumId w:val="9"/>
  </w:num>
  <w:num w:numId="22">
    <w:abstractNumId w:val="1"/>
  </w:num>
  <w:num w:numId="23">
    <w:abstractNumId w:val="26"/>
  </w:num>
  <w:num w:numId="24">
    <w:abstractNumId w:val="11"/>
  </w:num>
  <w:num w:numId="25">
    <w:abstractNumId w:val="21"/>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3"/>
  </w:num>
  <w:num w:numId="31">
    <w:abstractNumId w:val="32"/>
  </w:num>
  <w:num w:numId="32">
    <w:abstractNumId w:val="19"/>
  </w:num>
  <w:num w:numId="33">
    <w:abstractNumId w:val="2"/>
  </w:num>
  <w:num w:numId="34">
    <w:abstractNumId w:val="3"/>
  </w:num>
  <w:num w:numId="35">
    <w:abstractNumId w:val="2"/>
  </w:num>
  <w:num w:numId="36">
    <w:abstractNumId w:val="29"/>
  </w:num>
  <w:num w:numId="37">
    <w:abstractNumId w:val="28"/>
  </w:num>
  <w:num w:numId="38">
    <w:abstractNumId w:val="20"/>
  </w:num>
  <w:num w:numId="39">
    <w:abstractNumId w:val="16"/>
  </w:num>
  <w:num w:numId="40">
    <w:abstractNumId w:val="23"/>
  </w:num>
  <w:num w:numId="41">
    <w:abstractNumId w:val="3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3B"/>
    <w:rsid w:val="000009A5"/>
    <w:rsid w:val="00000F6A"/>
    <w:rsid w:val="00000FB2"/>
    <w:rsid w:val="000017F4"/>
    <w:rsid w:val="00001CC6"/>
    <w:rsid w:val="00002199"/>
    <w:rsid w:val="00002BED"/>
    <w:rsid w:val="00002F9F"/>
    <w:rsid w:val="0000343C"/>
    <w:rsid w:val="00003C39"/>
    <w:rsid w:val="00003E0A"/>
    <w:rsid w:val="0000403A"/>
    <w:rsid w:val="00004696"/>
    <w:rsid w:val="00004719"/>
    <w:rsid w:val="00004B64"/>
    <w:rsid w:val="00005302"/>
    <w:rsid w:val="00005906"/>
    <w:rsid w:val="0000612D"/>
    <w:rsid w:val="00006E6E"/>
    <w:rsid w:val="0000774B"/>
    <w:rsid w:val="00007A6A"/>
    <w:rsid w:val="00007B5E"/>
    <w:rsid w:val="00007D08"/>
    <w:rsid w:val="00007E83"/>
    <w:rsid w:val="00007F15"/>
    <w:rsid w:val="000102A8"/>
    <w:rsid w:val="00010768"/>
    <w:rsid w:val="00010B59"/>
    <w:rsid w:val="00011359"/>
    <w:rsid w:val="00011899"/>
    <w:rsid w:val="00011EFC"/>
    <w:rsid w:val="00011F45"/>
    <w:rsid w:val="00012E13"/>
    <w:rsid w:val="00013083"/>
    <w:rsid w:val="00013720"/>
    <w:rsid w:val="000140ED"/>
    <w:rsid w:val="0001429C"/>
    <w:rsid w:val="00014429"/>
    <w:rsid w:val="0001447B"/>
    <w:rsid w:val="00014A34"/>
    <w:rsid w:val="0001517D"/>
    <w:rsid w:val="000152BF"/>
    <w:rsid w:val="000153F3"/>
    <w:rsid w:val="0001559C"/>
    <w:rsid w:val="00015B25"/>
    <w:rsid w:val="00015EE8"/>
    <w:rsid w:val="00016C86"/>
    <w:rsid w:val="000177B4"/>
    <w:rsid w:val="0001790A"/>
    <w:rsid w:val="00017D2A"/>
    <w:rsid w:val="00017F53"/>
    <w:rsid w:val="00020127"/>
    <w:rsid w:val="0002091F"/>
    <w:rsid w:val="00020AA4"/>
    <w:rsid w:val="00020FAC"/>
    <w:rsid w:val="00021074"/>
    <w:rsid w:val="00021240"/>
    <w:rsid w:val="00021594"/>
    <w:rsid w:val="00021F86"/>
    <w:rsid w:val="00022341"/>
    <w:rsid w:val="00022C22"/>
    <w:rsid w:val="00023154"/>
    <w:rsid w:val="000235A6"/>
    <w:rsid w:val="00023B2F"/>
    <w:rsid w:val="0002403D"/>
    <w:rsid w:val="00024200"/>
    <w:rsid w:val="00024406"/>
    <w:rsid w:val="00024850"/>
    <w:rsid w:val="00025B69"/>
    <w:rsid w:val="00025BF5"/>
    <w:rsid w:val="00026300"/>
    <w:rsid w:val="00026FED"/>
    <w:rsid w:val="000270F7"/>
    <w:rsid w:val="000272CF"/>
    <w:rsid w:val="00027509"/>
    <w:rsid w:val="00030058"/>
    <w:rsid w:val="000301BB"/>
    <w:rsid w:val="00030704"/>
    <w:rsid w:val="00030F0D"/>
    <w:rsid w:val="0003143F"/>
    <w:rsid w:val="00031588"/>
    <w:rsid w:val="0003271A"/>
    <w:rsid w:val="000327D5"/>
    <w:rsid w:val="00032862"/>
    <w:rsid w:val="00032882"/>
    <w:rsid w:val="0003288D"/>
    <w:rsid w:val="00033401"/>
    <w:rsid w:val="0003347B"/>
    <w:rsid w:val="0003358B"/>
    <w:rsid w:val="00033EFE"/>
    <w:rsid w:val="00034364"/>
    <w:rsid w:val="00034667"/>
    <w:rsid w:val="000349E6"/>
    <w:rsid w:val="00035068"/>
    <w:rsid w:val="000350D0"/>
    <w:rsid w:val="000351E8"/>
    <w:rsid w:val="00035381"/>
    <w:rsid w:val="0003598B"/>
    <w:rsid w:val="0003637F"/>
    <w:rsid w:val="00036C9B"/>
    <w:rsid w:val="000375E9"/>
    <w:rsid w:val="00037E22"/>
    <w:rsid w:val="000408C9"/>
    <w:rsid w:val="00040935"/>
    <w:rsid w:val="00040A69"/>
    <w:rsid w:val="00040A82"/>
    <w:rsid w:val="00040B21"/>
    <w:rsid w:val="000421DB"/>
    <w:rsid w:val="0004235D"/>
    <w:rsid w:val="00042C3E"/>
    <w:rsid w:val="00042F12"/>
    <w:rsid w:val="000431E7"/>
    <w:rsid w:val="000435CB"/>
    <w:rsid w:val="00043AF2"/>
    <w:rsid w:val="00043E12"/>
    <w:rsid w:val="0004480C"/>
    <w:rsid w:val="00044D54"/>
    <w:rsid w:val="00044DA3"/>
    <w:rsid w:val="00045C5A"/>
    <w:rsid w:val="00045CD2"/>
    <w:rsid w:val="00046206"/>
    <w:rsid w:val="000465B1"/>
    <w:rsid w:val="00046641"/>
    <w:rsid w:val="000468AE"/>
    <w:rsid w:val="00047AF5"/>
    <w:rsid w:val="00050066"/>
    <w:rsid w:val="00050479"/>
    <w:rsid w:val="000504C0"/>
    <w:rsid w:val="00050B9B"/>
    <w:rsid w:val="00050DB1"/>
    <w:rsid w:val="0005104F"/>
    <w:rsid w:val="0005169A"/>
    <w:rsid w:val="00052181"/>
    <w:rsid w:val="00052470"/>
    <w:rsid w:val="000528BE"/>
    <w:rsid w:val="000531E0"/>
    <w:rsid w:val="00053337"/>
    <w:rsid w:val="00053345"/>
    <w:rsid w:val="00053539"/>
    <w:rsid w:val="00053680"/>
    <w:rsid w:val="00053836"/>
    <w:rsid w:val="00053BDD"/>
    <w:rsid w:val="00053FF1"/>
    <w:rsid w:val="000545AE"/>
    <w:rsid w:val="000546DD"/>
    <w:rsid w:val="00054FEC"/>
    <w:rsid w:val="00055602"/>
    <w:rsid w:val="000562E2"/>
    <w:rsid w:val="000563AF"/>
    <w:rsid w:val="00056419"/>
    <w:rsid w:val="00056AB7"/>
    <w:rsid w:val="00056B7A"/>
    <w:rsid w:val="00056F1F"/>
    <w:rsid w:val="00056F6D"/>
    <w:rsid w:val="00057259"/>
    <w:rsid w:val="000604A3"/>
    <w:rsid w:val="00060722"/>
    <w:rsid w:val="00061E5E"/>
    <w:rsid w:val="000621B1"/>
    <w:rsid w:val="00062426"/>
    <w:rsid w:val="000634C7"/>
    <w:rsid w:val="000635FE"/>
    <w:rsid w:val="000636A1"/>
    <w:rsid w:val="000637A8"/>
    <w:rsid w:val="000647F9"/>
    <w:rsid w:val="00064BA6"/>
    <w:rsid w:val="00065151"/>
    <w:rsid w:val="00065168"/>
    <w:rsid w:val="00065262"/>
    <w:rsid w:val="00065734"/>
    <w:rsid w:val="000659BF"/>
    <w:rsid w:val="00065DE2"/>
    <w:rsid w:val="00065DE5"/>
    <w:rsid w:val="000661B0"/>
    <w:rsid w:val="00066B27"/>
    <w:rsid w:val="000670A9"/>
    <w:rsid w:val="000670B7"/>
    <w:rsid w:val="0006746D"/>
    <w:rsid w:val="0007007A"/>
    <w:rsid w:val="000709DD"/>
    <w:rsid w:val="00070A94"/>
    <w:rsid w:val="0007115A"/>
    <w:rsid w:val="00071478"/>
    <w:rsid w:val="000715FA"/>
    <w:rsid w:val="000716DB"/>
    <w:rsid w:val="00071754"/>
    <w:rsid w:val="00071BA8"/>
    <w:rsid w:val="00071EB0"/>
    <w:rsid w:val="00072914"/>
    <w:rsid w:val="00072A28"/>
    <w:rsid w:val="0007341E"/>
    <w:rsid w:val="000736A1"/>
    <w:rsid w:val="00073F5F"/>
    <w:rsid w:val="0007418E"/>
    <w:rsid w:val="000742CE"/>
    <w:rsid w:val="0007480A"/>
    <w:rsid w:val="0007512A"/>
    <w:rsid w:val="00075459"/>
    <w:rsid w:val="00075497"/>
    <w:rsid w:val="00076083"/>
    <w:rsid w:val="000767C4"/>
    <w:rsid w:val="00076DA7"/>
    <w:rsid w:val="00077AD9"/>
    <w:rsid w:val="000802A2"/>
    <w:rsid w:val="000802E2"/>
    <w:rsid w:val="00080C50"/>
    <w:rsid w:val="00081170"/>
    <w:rsid w:val="00081232"/>
    <w:rsid w:val="0008181E"/>
    <w:rsid w:val="00081FD1"/>
    <w:rsid w:val="00082725"/>
    <w:rsid w:val="00082730"/>
    <w:rsid w:val="00082CAD"/>
    <w:rsid w:val="00082D89"/>
    <w:rsid w:val="00083118"/>
    <w:rsid w:val="00083E63"/>
    <w:rsid w:val="00084058"/>
    <w:rsid w:val="00084BD1"/>
    <w:rsid w:val="00084D17"/>
    <w:rsid w:val="00085033"/>
    <w:rsid w:val="000852B7"/>
    <w:rsid w:val="00085AFE"/>
    <w:rsid w:val="00085EEB"/>
    <w:rsid w:val="00085F82"/>
    <w:rsid w:val="00086A15"/>
    <w:rsid w:val="00086B6C"/>
    <w:rsid w:val="00086BCC"/>
    <w:rsid w:val="00086D5B"/>
    <w:rsid w:val="00087034"/>
    <w:rsid w:val="0008783F"/>
    <w:rsid w:val="00090C0E"/>
    <w:rsid w:val="00090F67"/>
    <w:rsid w:val="000911EB"/>
    <w:rsid w:val="0009288E"/>
    <w:rsid w:val="000938EF"/>
    <w:rsid w:val="00093A71"/>
    <w:rsid w:val="00093B08"/>
    <w:rsid w:val="00093CA2"/>
    <w:rsid w:val="000947EF"/>
    <w:rsid w:val="00094EF6"/>
    <w:rsid w:val="00095E52"/>
    <w:rsid w:val="000968C7"/>
    <w:rsid w:val="00096B63"/>
    <w:rsid w:val="000973C8"/>
    <w:rsid w:val="00097436"/>
    <w:rsid w:val="00097A71"/>
    <w:rsid w:val="00097BE8"/>
    <w:rsid w:val="000A0077"/>
    <w:rsid w:val="000A014C"/>
    <w:rsid w:val="000A02DA"/>
    <w:rsid w:val="000A0C9D"/>
    <w:rsid w:val="000A0D06"/>
    <w:rsid w:val="000A0D4F"/>
    <w:rsid w:val="000A0FAE"/>
    <w:rsid w:val="000A123F"/>
    <w:rsid w:val="000A2AA9"/>
    <w:rsid w:val="000A34EC"/>
    <w:rsid w:val="000A3C39"/>
    <w:rsid w:val="000A4464"/>
    <w:rsid w:val="000A4A0E"/>
    <w:rsid w:val="000A4EBE"/>
    <w:rsid w:val="000A5209"/>
    <w:rsid w:val="000A5455"/>
    <w:rsid w:val="000A56F2"/>
    <w:rsid w:val="000A5823"/>
    <w:rsid w:val="000A58CD"/>
    <w:rsid w:val="000A59FC"/>
    <w:rsid w:val="000A5A7C"/>
    <w:rsid w:val="000A618A"/>
    <w:rsid w:val="000A6352"/>
    <w:rsid w:val="000A6A27"/>
    <w:rsid w:val="000A6A8B"/>
    <w:rsid w:val="000A6DAB"/>
    <w:rsid w:val="000A6E05"/>
    <w:rsid w:val="000A6FD1"/>
    <w:rsid w:val="000A722E"/>
    <w:rsid w:val="000A72A3"/>
    <w:rsid w:val="000B12FA"/>
    <w:rsid w:val="000B1B1F"/>
    <w:rsid w:val="000B1B94"/>
    <w:rsid w:val="000B26DD"/>
    <w:rsid w:val="000B29BB"/>
    <w:rsid w:val="000B2BD6"/>
    <w:rsid w:val="000B2C17"/>
    <w:rsid w:val="000B2EF3"/>
    <w:rsid w:val="000B35CC"/>
    <w:rsid w:val="000B3E61"/>
    <w:rsid w:val="000B4002"/>
    <w:rsid w:val="000B442C"/>
    <w:rsid w:val="000B44CC"/>
    <w:rsid w:val="000B451D"/>
    <w:rsid w:val="000B5CA1"/>
    <w:rsid w:val="000B6C12"/>
    <w:rsid w:val="000B6F4F"/>
    <w:rsid w:val="000B72E7"/>
    <w:rsid w:val="000B7524"/>
    <w:rsid w:val="000B79A6"/>
    <w:rsid w:val="000B7C30"/>
    <w:rsid w:val="000C0547"/>
    <w:rsid w:val="000C08BF"/>
    <w:rsid w:val="000C0D7B"/>
    <w:rsid w:val="000C1269"/>
    <w:rsid w:val="000C1316"/>
    <w:rsid w:val="000C1532"/>
    <w:rsid w:val="000C1EED"/>
    <w:rsid w:val="000C2445"/>
    <w:rsid w:val="000C2641"/>
    <w:rsid w:val="000C30D0"/>
    <w:rsid w:val="000C3354"/>
    <w:rsid w:val="000C345C"/>
    <w:rsid w:val="000C35AA"/>
    <w:rsid w:val="000C367F"/>
    <w:rsid w:val="000C374B"/>
    <w:rsid w:val="000C3B9A"/>
    <w:rsid w:val="000C3E6C"/>
    <w:rsid w:val="000C4012"/>
    <w:rsid w:val="000C4149"/>
    <w:rsid w:val="000C427C"/>
    <w:rsid w:val="000C4281"/>
    <w:rsid w:val="000C47F5"/>
    <w:rsid w:val="000C492E"/>
    <w:rsid w:val="000C4B17"/>
    <w:rsid w:val="000C4E41"/>
    <w:rsid w:val="000C5523"/>
    <w:rsid w:val="000C5DBB"/>
    <w:rsid w:val="000C6758"/>
    <w:rsid w:val="000C7915"/>
    <w:rsid w:val="000D075A"/>
    <w:rsid w:val="000D0AFC"/>
    <w:rsid w:val="000D0C18"/>
    <w:rsid w:val="000D1E2A"/>
    <w:rsid w:val="000D2523"/>
    <w:rsid w:val="000D25A8"/>
    <w:rsid w:val="000D26A8"/>
    <w:rsid w:val="000D2933"/>
    <w:rsid w:val="000D35CD"/>
    <w:rsid w:val="000D3802"/>
    <w:rsid w:val="000D3AE7"/>
    <w:rsid w:val="000D3E1C"/>
    <w:rsid w:val="000D41D6"/>
    <w:rsid w:val="000D4369"/>
    <w:rsid w:val="000D4653"/>
    <w:rsid w:val="000D46FB"/>
    <w:rsid w:val="000D4CD9"/>
    <w:rsid w:val="000D4FEA"/>
    <w:rsid w:val="000D5381"/>
    <w:rsid w:val="000D5B12"/>
    <w:rsid w:val="000D5DCB"/>
    <w:rsid w:val="000D6201"/>
    <w:rsid w:val="000D62F6"/>
    <w:rsid w:val="000D64DC"/>
    <w:rsid w:val="000D67C6"/>
    <w:rsid w:val="000D6B86"/>
    <w:rsid w:val="000D6B96"/>
    <w:rsid w:val="000D7284"/>
    <w:rsid w:val="000E051D"/>
    <w:rsid w:val="000E083C"/>
    <w:rsid w:val="000E0A1B"/>
    <w:rsid w:val="000E0A9F"/>
    <w:rsid w:val="000E0C30"/>
    <w:rsid w:val="000E208B"/>
    <w:rsid w:val="000E2CED"/>
    <w:rsid w:val="000E3820"/>
    <w:rsid w:val="000E3894"/>
    <w:rsid w:val="000E3F04"/>
    <w:rsid w:val="000E3F86"/>
    <w:rsid w:val="000E425F"/>
    <w:rsid w:val="000E458C"/>
    <w:rsid w:val="000E4C53"/>
    <w:rsid w:val="000E4E12"/>
    <w:rsid w:val="000E50D7"/>
    <w:rsid w:val="000E54A6"/>
    <w:rsid w:val="000E55F6"/>
    <w:rsid w:val="000E6543"/>
    <w:rsid w:val="000E6B56"/>
    <w:rsid w:val="000E6DCA"/>
    <w:rsid w:val="000E76C7"/>
    <w:rsid w:val="000E76F5"/>
    <w:rsid w:val="000E779D"/>
    <w:rsid w:val="000E797C"/>
    <w:rsid w:val="000E7E67"/>
    <w:rsid w:val="000F0246"/>
    <w:rsid w:val="000F0B14"/>
    <w:rsid w:val="000F0B41"/>
    <w:rsid w:val="000F17DD"/>
    <w:rsid w:val="000F1F24"/>
    <w:rsid w:val="000F2C99"/>
    <w:rsid w:val="000F328F"/>
    <w:rsid w:val="000F3AC9"/>
    <w:rsid w:val="000F3C9B"/>
    <w:rsid w:val="000F3D30"/>
    <w:rsid w:val="000F4437"/>
    <w:rsid w:val="000F44F7"/>
    <w:rsid w:val="000F473E"/>
    <w:rsid w:val="000F4856"/>
    <w:rsid w:val="000F4CF7"/>
    <w:rsid w:val="000F7304"/>
    <w:rsid w:val="000F74AF"/>
    <w:rsid w:val="000F75C1"/>
    <w:rsid w:val="000F7CD8"/>
    <w:rsid w:val="000F7D30"/>
    <w:rsid w:val="000F7D3A"/>
    <w:rsid w:val="001001BF"/>
    <w:rsid w:val="00100353"/>
    <w:rsid w:val="00100B2F"/>
    <w:rsid w:val="001012DA"/>
    <w:rsid w:val="00101B52"/>
    <w:rsid w:val="00102315"/>
    <w:rsid w:val="00103256"/>
    <w:rsid w:val="00103565"/>
    <w:rsid w:val="001042F7"/>
    <w:rsid w:val="001055DE"/>
    <w:rsid w:val="00105AD3"/>
    <w:rsid w:val="001061BF"/>
    <w:rsid w:val="001064EA"/>
    <w:rsid w:val="001068C1"/>
    <w:rsid w:val="0010797D"/>
    <w:rsid w:val="00107B31"/>
    <w:rsid w:val="00107D35"/>
    <w:rsid w:val="00107DDA"/>
    <w:rsid w:val="00107E28"/>
    <w:rsid w:val="00110186"/>
    <w:rsid w:val="0011076C"/>
    <w:rsid w:val="00110BB4"/>
    <w:rsid w:val="001113B2"/>
    <w:rsid w:val="001118E7"/>
    <w:rsid w:val="00111A94"/>
    <w:rsid w:val="00111BDA"/>
    <w:rsid w:val="00111F95"/>
    <w:rsid w:val="00112B3E"/>
    <w:rsid w:val="00112C3C"/>
    <w:rsid w:val="00113293"/>
    <w:rsid w:val="0011363B"/>
    <w:rsid w:val="00114468"/>
    <w:rsid w:val="0011462F"/>
    <w:rsid w:val="0011485A"/>
    <w:rsid w:val="001153D3"/>
    <w:rsid w:val="00115D26"/>
    <w:rsid w:val="0011639A"/>
    <w:rsid w:val="0011641A"/>
    <w:rsid w:val="001165C4"/>
    <w:rsid w:val="0011669E"/>
    <w:rsid w:val="00116726"/>
    <w:rsid w:val="00116D5A"/>
    <w:rsid w:val="00117133"/>
    <w:rsid w:val="001173B2"/>
    <w:rsid w:val="0011750B"/>
    <w:rsid w:val="001175A6"/>
    <w:rsid w:val="00117E36"/>
    <w:rsid w:val="00117F5C"/>
    <w:rsid w:val="0012034D"/>
    <w:rsid w:val="00120744"/>
    <w:rsid w:val="00120950"/>
    <w:rsid w:val="00121089"/>
    <w:rsid w:val="00121590"/>
    <w:rsid w:val="0012243A"/>
    <w:rsid w:val="00122726"/>
    <w:rsid w:val="0012286B"/>
    <w:rsid w:val="001228AA"/>
    <w:rsid w:val="00122C32"/>
    <w:rsid w:val="001230CC"/>
    <w:rsid w:val="001237E1"/>
    <w:rsid w:val="00124B55"/>
    <w:rsid w:val="00124DDC"/>
    <w:rsid w:val="00125A8C"/>
    <w:rsid w:val="00125C8D"/>
    <w:rsid w:val="00125F17"/>
    <w:rsid w:val="0012646D"/>
    <w:rsid w:val="00126590"/>
    <w:rsid w:val="00126ACD"/>
    <w:rsid w:val="00126F7A"/>
    <w:rsid w:val="00127294"/>
    <w:rsid w:val="0012757B"/>
    <w:rsid w:val="001275E9"/>
    <w:rsid w:val="00127786"/>
    <w:rsid w:val="00130A56"/>
    <w:rsid w:val="001310E0"/>
    <w:rsid w:val="00131A70"/>
    <w:rsid w:val="001326B4"/>
    <w:rsid w:val="001329ED"/>
    <w:rsid w:val="00132E22"/>
    <w:rsid w:val="00132FD6"/>
    <w:rsid w:val="00132FDD"/>
    <w:rsid w:val="0013324C"/>
    <w:rsid w:val="001335B6"/>
    <w:rsid w:val="00133A13"/>
    <w:rsid w:val="00133B7A"/>
    <w:rsid w:val="00133B84"/>
    <w:rsid w:val="00133CF7"/>
    <w:rsid w:val="00134574"/>
    <w:rsid w:val="001345DA"/>
    <w:rsid w:val="001348BF"/>
    <w:rsid w:val="00134D80"/>
    <w:rsid w:val="00134FCE"/>
    <w:rsid w:val="00135157"/>
    <w:rsid w:val="00135302"/>
    <w:rsid w:val="00135A46"/>
    <w:rsid w:val="00135B15"/>
    <w:rsid w:val="00135BE4"/>
    <w:rsid w:val="00136C3C"/>
    <w:rsid w:val="00136FCD"/>
    <w:rsid w:val="0013704B"/>
    <w:rsid w:val="00137380"/>
    <w:rsid w:val="00137A30"/>
    <w:rsid w:val="00140012"/>
    <w:rsid w:val="00140458"/>
    <w:rsid w:val="00140B23"/>
    <w:rsid w:val="00141A31"/>
    <w:rsid w:val="00143325"/>
    <w:rsid w:val="00143663"/>
    <w:rsid w:val="0014408A"/>
    <w:rsid w:val="001440A0"/>
    <w:rsid w:val="0014443F"/>
    <w:rsid w:val="001449B5"/>
    <w:rsid w:val="00144D53"/>
    <w:rsid w:val="00145325"/>
    <w:rsid w:val="00145398"/>
    <w:rsid w:val="00145E49"/>
    <w:rsid w:val="001461CF"/>
    <w:rsid w:val="00147706"/>
    <w:rsid w:val="00147947"/>
    <w:rsid w:val="00147F3B"/>
    <w:rsid w:val="0015020D"/>
    <w:rsid w:val="00150358"/>
    <w:rsid w:val="001506F2"/>
    <w:rsid w:val="00151168"/>
    <w:rsid w:val="00151363"/>
    <w:rsid w:val="00151823"/>
    <w:rsid w:val="00151DD6"/>
    <w:rsid w:val="001524DF"/>
    <w:rsid w:val="001527EE"/>
    <w:rsid w:val="00152CFD"/>
    <w:rsid w:val="00152ED6"/>
    <w:rsid w:val="00152F6B"/>
    <w:rsid w:val="001531B7"/>
    <w:rsid w:val="001540B5"/>
    <w:rsid w:val="00154306"/>
    <w:rsid w:val="001547CF"/>
    <w:rsid w:val="00154B27"/>
    <w:rsid w:val="00154FA3"/>
    <w:rsid w:val="00155430"/>
    <w:rsid w:val="001559C9"/>
    <w:rsid w:val="00155A5A"/>
    <w:rsid w:val="00155C7B"/>
    <w:rsid w:val="00156050"/>
    <w:rsid w:val="00156CFB"/>
    <w:rsid w:val="00156D70"/>
    <w:rsid w:val="00157938"/>
    <w:rsid w:val="00157AEF"/>
    <w:rsid w:val="00157CCB"/>
    <w:rsid w:val="0016044D"/>
    <w:rsid w:val="0016057C"/>
    <w:rsid w:val="00160681"/>
    <w:rsid w:val="0016137D"/>
    <w:rsid w:val="0016191E"/>
    <w:rsid w:val="00161996"/>
    <w:rsid w:val="00161A19"/>
    <w:rsid w:val="00161BD7"/>
    <w:rsid w:val="00161F04"/>
    <w:rsid w:val="001623AC"/>
    <w:rsid w:val="0016255C"/>
    <w:rsid w:val="001633C3"/>
    <w:rsid w:val="00163F20"/>
    <w:rsid w:val="00164557"/>
    <w:rsid w:val="00164847"/>
    <w:rsid w:val="0016601A"/>
    <w:rsid w:val="00166091"/>
    <w:rsid w:val="00166A47"/>
    <w:rsid w:val="00166EDF"/>
    <w:rsid w:val="00166F73"/>
    <w:rsid w:val="00167615"/>
    <w:rsid w:val="00167EF1"/>
    <w:rsid w:val="0017072E"/>
    <w:rsid w:val="00170F33"/>
    <w:rsid w:val="00171CA2"/>
    <w:rsid w:val="00171F17"/>
    <w:rsid w:val="001721A8"/>
    <w:rsid w:val="001721DE"/>
    <w:rsid w:val="001733AE"/>
    <w:rsid w:val="00173666"/>
    <w:rsid w:val="00173A8A"/>
    <w:rsid w:val="00173C31"/>
    <w:rsid w:val="00173D4B"/>
    <w:rsid w:val="00173DBD"/>
    <w:rsid w:val="00174C74"/>
    <w:rsid w:val="00175561"/>
    <w:rsid w:val="001760B8"/>
    <w:rsid w:val="00176110"/>
    <w:rsid w:val="0017619A"/>
    <w:rsid w:val="001765A4"/>
    <w:rsid w:val="001768EB"/>
    <w:rsid w:val="001770F2"/>
    <w:rsid w:val="00177371"/>
    <w:rsid w:val="00177DFA"/>
    <w:rsid w:val="00177E5C"/>
    <w:rsid w:val="00177EFF"/>
    <w:rsid w:val="00180587"/>
    <w:rsid w:val="00180830"/>
    <w:rsid w:val="001814DD"/>
    <w:rsid w:val="00181EB1"/>
    <w:rsid w:val="00182D4D"/>
    <w:rsid w:val="0018346E"/>
    <w:rsid w:val="00184595"/>
    <w:rsid w:val="00184971"/>
    <w:rsid w:val="001864F5"/>
    <w:rsid w:val="0018698D"/>
    <w:rsid w:val="00187841"/>
    <w:rsid w:val="00187950"/>
    <w:rsid w:val="00187CE5"/>
    <w:rsid w:val="00190630"/>
    <w:rsid w:val="00190CF7"/>
    <w:rsid w:val="00191711"/>
    <w:rsid w:val="0019185C"/>
    <w:rsid w:val="00191A11"/>
    <w:rsid w:val="00191AD0"/>
    <w:rsid w:val="00191B77"/>
    <w:rsid w:val="00191EBD"/>
    <w:rsid w:val="001921FB"/>
    <w:rsid w:val="001927F7"/>
    <w:rsid w:val="00192BD6"/>
    <w:rsid w:val="0019380A"/>
    <w:rsid w:val="00193F87"/>
    <w:rsid w:val="00194B3E"/>
    <w:rsid w:val="001954C6"/>
    <w:rsid w:val="00195722"/>
    <w:rsid w:val="00195B14"/>
    <w:rsid w:val="00195B74"/>
    <w:rsid w:val="00195C06"/>
    <w:rsid w:val="00195DC4"/>
    <w:rsid w:val="00195F06"/>
    <w:rsid w:val="00195F15"/>
    <w:rsid w:val="00196518"/>
    <w:rsid w:val="00196A65"/>
    <w:rsid w:val="00196D49"/>
    <w:rsid w:val="00196E75"/>
    <w:rsid w:val="00196EC1"/>
    <w:rsid w:val="00196EDB"/>
    <w:rsid w:val="00197016"/>
    <w:rsid w:val="001970D0"/>
    <w:rsid w:val="001974F6"/>
    <w:rsid w:val="00197FBA"/>
    <w:rsid w:val="001A07F2"/>
    <w:rsid w:val="001A0A6F"/>
    <w:rsid w:val="001A0D73"/>
    <w:rsid w:val="001A16E1"/>
    <w:rsid w:val="001A27E5"/>
    <w:rsid w:val="001A2EE3"/>
    <w:rsid w:val="001A2FB6"/>
    <w:rsid w:val="001A46FD"/>
    <w:rsid w:val="001A4912"/>
    <w:rsid w:val="001A4B9B"/>
    <w:rsid w:val="001A4F2E"/>
    <w:rsid w:val="001A5858"/>
    <w:rsid w:val="001A5923"/>
    <w:rsid w:val="001A5EAB"/>
    <w:rsid w:val="001A66AE"/>
    <w:rsid w:val="001A6948"/>
    <w:rsid w:val="001A69F6"/>
    <w:rsid w:val="001A6C68"/>
    <w:rsid w:val="001A6FEE"/>
    <w:rsid w:val="001A7644"/>
    <w:rsid w:val="001A7650"/>
    <w:rsid w:val="001A76ED"/>
    <w:rsid w:val="001A7824"/>
    <w:rsid w:val="001A7E14"/>
    <w:rsid w:val="001B0BBB"/>
    <w:rsid w:val="001B0BCD"/>
    <w:rsid w:val="001B0FC6"/>
    <w:rsid w:val="001B10B5"/>
    <w:rsid w:val="001B26AE"/>
    <w:rsid w:val="001B282A"/>
    <w:rsid w:val="001B288A"/>
    <w:rsid w:val="001B3338"/>
    <w:rsid w:val="001B3931"/>
    <w:rsid w:val="001B4024"/>
    <w:rsid w:val="001B427D"/>
    <w:rsid w:val="001B45B2"/>
    <w:rsid w:val="001B46BF"/>
    <w:rsid w:val="001B4720"/>
    <w:rsid w:val="001B47D4"/>
    <w:rsid w:val="001B4A77"/>
    <w:rsid w:val="001B4DD4"/>
    <w:rsid w:val="001B4EFB"/>
    <w:rsid w:val="001B57C5"/>
    <w:rsid w:val="001B5876"/>
    <w:rsid w:val="001B58FF"/>
    <w:rsid w:val="001B5EA1"/>
    <w:rsid w:val="001B6317"/>
    <w:rsid w:val="001B6687"/>
    <w:rsid w:val="001B6691"/>
    <w:rsid w:val="001B6D59"/>
    <w:rsid w:val="001C068A"/>
    <w:rsid w:val="001C0996"/>
    <w:rsid w:val="001C0E57"/>
    <w:rsid w:val="001C13EC"/>
    <w:rsid w:val="001C21E1"/>
    <w:rsid w:val="001C25F7"/>
    <w:rsid w:val="001C29DE"/>
    <w:rsid w:val="001C2CBD"/>
    <w:rsid w:val="001C2FA4"/>
    <w:rsid w:val="001C31ED"/>
    <w:rsid w:val="001C34EB"/>
    <w:rsid w:val="001C363F"/>
    <w:rsid w:val="001C36B9"/>
    <w:rsid w:val="001C3705"/>
    <w:rsid w:val="001C3E60"/>
    <w:rsid w:val="001C450D"/>
    <w:rsid w:val="001C498E"/>
    <w:rsid w:val="001C4A75"/>
    <w:rsid w:val="001C4EE4"/>
    <w:rsid w:val="001C4FB2"/>
    <w:rsid w:val="001C506C"/>
    <w:rsid w:val="001C6EB4"/>
    <w:rsid w:val="001C7234"/>
    <w:rsid w:val="001C7423"/>
    <w:rsid w:val="001C7AC5"/>
    <w:rsid w:val="001C7CF1"/>
    <w:rsid w:val="001C7EAA"/>
    <w:rsid w:val="001D05B9"/>
    <w:rsid w:val="001D1073"/>
    <w:rsid w:val="001D235E"/>
    <w:rsid w:val="001D2495"/>
    <w:rsid w:val="001D25D4"/>
    <w:rsid w:val="001D26E6"/>
    <w:rsid w:val="001D271A"/>
    <w:rsid w:val="001D2830"/>
    <w:rsid w:val="001D3419"/>
    <w:rsid w:val="001D366B"/>
    <w:rsid w:val="001D47AD"/>
    <w:rsid w:val="001D4DB2"/>
    <w:rsid w:val="001D6354"/>
    <w:rsid w:val="001D6492"/>
    <w:rsid w:val="001D75FE"/>
    <w:rsid w:val="001D78C2"/>
    <w:rsid w:val="001D7E09"/>
    <w:rsid w:val="001DBDAE"/>
    <w:rsid w:val="001E0532"/>
    <w:rsid w:val="001E0F7A"/>
    <w:rsid w:val="001E2036"/>
    <w:rsid w:val="001E210C"/>
    <w:rsid w:val="001E257A"/>
    <w:rsid w:val="001E261F"/>
    <w:rsid w:val="001E270D"/>
    <w:rsid w:val="001E2A62"/>
    <w:rsid w:val="001E323E"/>
    <w:rsid w:val="001E3A5C"/>
    <w:rsid w:val="001E3EB1"/>
    <w:rsid w:val="001E4EE7"/>
    <w:rsid w:val="001E4F93"/>
    <w:rsid w:val="001E5A33"/>
    <w:rsid w:val="001E5D17"/>
    <w:rsid w:val="001E6125"/>
    <w:rsid w:val="001E6535"/>
    <w:rsid w:val="001E6827"/>
    <w:rsid w:val="001E6F3F"/>
    <w:rsid w:val="001E7992"/>
    <w:rsid w:val="001E7A20"/>
    <w:rsid w:val="001E7C70"/>
    <w:rsid w:val="001E7D71"/>
    <w:rsid w:val="001F003A"/>
    <w:rsid w:val="001F0127"/>
    <w:rsid w:val="001F0C4B"/>
    <w:rsid w:val="001F0C55"/>
    <w:rsid w:val="001F12DC"/>
    <w:rsid w:val="001F1577"/>
    <w:rsid w:val="001F1935"/>
    <w:rsid w:val="001F2819"/>
    <w:rsid w:val="001F2A83"/>
    <w:rsid w:val="001F2EFC"/>
    <w:rsid w:val="001F359B"/>
    <w:rsid w:val="001F3A10"/>
    <w:rsid w:val="001F3A89"/>
    <w:rsid w:val="001F3C73"/>
    <w:rsid w:val="001F41A9"/>
    <w:rsid w:val="001F43A5"/>
    <w:rsid w:val="001F441F"/>
    <w:rsid w:val="001F47D0"/>
    <w:rsid w:val="001F5E1A"/>
    <w:rsid w:val="001F5FB9"/>
    <w:rsid w:val="001F65D8"/>
    <w:rsid w:val="001F6621"/>
    <w:rsid w:val="001F6E94"/>
    <w:rsid w:val="001F7928"/>
    <w:rsid w:val="001F7CFB"/>
    <w:rsid w:val="001F7D46"/>
    <w:rsid w:val="002006DE"/>
    <w:rsid w:val="00200E4C"/>
    <w:rsid w:val="00200FC8"/>
    <w:rsid w:val="0020150B"/>
    <w:rsid w:val="002019FF"/>
    <w:rsid w:val="00201A4D"/>
    <w:rsid w:val="002028F1"/>
    <w:rsid w:val="002029A8"/>
    <w:rsid w:val="00202FB6"/>
    <w:rsid w:val="002031B1"/>
    <w:rsid w:val="0020336D"/>
    <w:rsid w:val="00203471"/>
    <w:rsid w:val="00203943"/>
    <w:rsid w:val="002042FB"/>
    <w:rsid w:val="002043EC"/>
    <w:rsid w:val="00204559"/>
    <w:rsid w:val="00204B17"/>
    <w:rsid w:val="00205207"/>
    <w:rsid w:val="00205547"/>
    <w:rsid w:val="00205B44"/>
    <w:rsid w:val="00205BFE"/>
    <w:rsid w:val="00205CEE"/>
    <w:rsid w:val="0020668A"/>
    <w:rsid w:val="002066FF"/>
    <w:rsid w:val="00206906"/>
    <w:rsid w:val="00206CE9"/>
    <w:rsid w:val="00206E25"/>
    <w:rsid w:val="00207338"/>
    <w:rsid w:val="00207448"/>
    <w:rsid w:val="00207836"/>
    <w:rsid w:val="00207E26"/>
    <w:rsid w:val="0020AEDC"/>
    <w:rsid w:val="00210315"/>
    <w:rsid w:val="002109F8"/>
    <w:rsid w:val="00210E45"/>
    <w:rsid w:val="00211761"/>
    <w:rsid w:val="00211997"/>
    <w:rsid w:val="00211E81"/>
    <w:rsid w:val="00211FF7"/>
    <w:rsid w:val="0021248C"/>
    <w:rsid w:val="0021300C"/>
    <w:rsid w:val="00214148"/>
    <w:rsid w:val="002142EE"/>
    <w:rsid w:val="002144E8"/>
    <w:rsid w:val="00214F9A"/>
    <w:rsid w:val="00215A4F"/>
    <w:rsid w:val="0021669F"/>
    <w:rsid w:val="0021670B"/>
    <w:rsid w:val="00216734"/>
    <w:rsid w:val="00216DDD"/>
    <w:rsid w:val="0021709D"/>
    <w:rsid w:val="002172F0"/>
    <w:rsid w:val="0021C314"/>
    <w:rsid w:val="0022135D"/>
    <w:rsid w:val="00221476"/>
    <w:rsid w:val="00221744"/>
    <w:rsid w:val="002217D1"/>
    <w:rsid w:val="00221BAB"/>
    <w:rsid w:val="00222468"/>
    <w:rsid w:val="00222605"/>
    <w:rsid w:val="0022267C"/>
    <w:rsid w:val="00222742"/>
    <w:rsid w:val="00222759"/>
    <w:rsid w:val="0022282C"/>
    <w:rsid w:val="00222B47"/>
    <w:rsid w:val="00223053"/>
    <w:rsid w:val="0022306A"/>
    <w:rsid w:val="0022320A"/>
    <w:rsid w:val="00223252"/>
    <w:rsid w:val="002235B5"/>
    <w:rsid w:val="00223F6E"/>
    <w:rsid w:val="002242C0"/>
    <w:rsid w:val="0022459D"/>
    <w:rsid w:val="002264AC"/>
    <w:rsid w:val="00226D4B"/>
    <w:rsid w:val="002273D3"/>
    <w:rsid w:val="00227E45"/>
    <w:rsid w:val="002302AE"/>
    <w:rsid w:val="0023036F"/>
    <w:rsid w:val="00230EC2"/>
    <w:rsid w:val="002312A0"/>
    <w:rsid w:val="00231AAE"/>
    <w:rsid w:val="00231C41"/>
    <w:rsid w:val="0023269E"/>
    <w:rsid w:val="00232832"/>
    <w:rsid w:val="002328CF"/>
    <w:rsid w:val="002339EE"/>
    <w:rsid w:val="00234C09"/>
    <w:rsid w:val="00234D9D"/>
    <w:rsid w:val="002358D4"/>
    <w:rsid w:val="00235FBC"/>
    <w:rsid w:val="00236487"/>
    <w:rsid w:val="0023670F"/>
    <w:rsid w:val="0023689F"/>
    <w:rsid w:val="00236981"/>
    <w:rsid w:val="002370BA"/>
    <w:rsid w:val="00237126"/>
    <w:rsid w:val="00237AD6"/>
    <w:rsid w:val="0024010A"/>
    <w:rsid w:val="002402CC"/>
    <w:rsid w:val="00240739"/>
    <w:rsid w:val="00240CF0"/>
    <w:rsid w:val="00240F9D"/>
    <w:rsid w:val="002417F2"/>
    <w:rsid w:val="002418B3"/>
    <w:rsid w:val="00241A00"/>
    <w:rsid w:val="00241B47"/>
    <w:rsid w:val="00241BC9"/>
    <w:rsid w:val="00242187"/>
    <w:rsid w:val="00242841"/>
    <w:rsid w:val="002429CD"/>
    <w:rsid w:val="00242A7B"/>
    <w:rsid w:val="002432B9"/>
    <w:rsid w:val="002433C3"/>
    <w:rsid w:val="00243877"/>
    <w:rsid w:val="00243ABB"/>
    <w:rsid w:val="00243DC0"/>
    <w:rsid w:val="00243F46"/>
    <w:rsid w:val="00244157"/>
    <w:rsid w:val="00244887"/>
    <w:rsid w:val="00244CE2"/>
    <w:rsid w:val="00244D18"/>
    <w:rsid w:val="00245188"/>
    <w:rsid w:val="00245646"/>
    <w:rsid w:val="00245FD8"/>
    <w:rsid w:val="00246142"/>
    <w:rsid w:val="0024614B"/>
    <w:rsid w:val="00246366"/>
    <w:rsid w:val="00247477"/>
    <w:rsid w:val="002476EE"/>
    <w:rsid w:val="002503AA"/>
    <w:rsid w:val="00251DDA"/>
    <w:rsid w:val="00252A6F"/>
    <w:rsid w:val="00252F58"/>
    <w:rsid w:val="00253156"/>
    <w:rsid w:val="00253274"/>
    <w:rsid w:val="0025498F"/>
    <w:rsid w:val="002550F9"/>
    <w:rsid w:val="00255396"/>
    <w:rsid w:val="00255DFB"/>
    <w:rsid w:val="00256380"/>
    <w:rsid w:val="002572D4"/>
    <w:rsid w:val="002578A4"/>
    <w:rsid w:val="00257996"/>
    <w:rsid w:val="00257D13"/>
    <w:rsid w:val="00257F5E"/>
    <w:rsid w:val="002600E2"/>
    <w:rsid w:val="002605A3"/>
    <w:rsid w:val="00260A90"/>
    <w:rsid w:val="00261098"/>
    <w:rsid w:val="00261819"/>
    <w:rsid w:val="00261D80"/>
    <w:rsid w:val="0026221C"/>
    <w:rsid w:val="00262A7A"/>
    <w:rsid w:val="002631AC"/>
    <w:rsid w:val="002636FF"/>
    <w:rsid w:val="00263CE4"/>
    <w:rsid w:val="00263DF1"/>
    <w:rsid w:val="00263E03"/>
    <w:rsid w:val="00263E3F"/>
    <w:rsid w:val="00264395"/>
    <w:rsid w:val="00264537"/>
    <w:rsid w:val="002652FF"/>
    <w:rsid w:val="00265711"/>
    <w:rsid w:val="00265769"/>
    <w:rsid w:val="00265BEB"/>
    <w:rsid w:val="002662A8"/>
    <w:rsid w:val="00266B89"/>
    <w:rsid w:val="00266D06"/>
    <w:rsid w:val="00270091"/>
    <w:rsid w:val="0027022A"/>
    <w:rsid w:val="00270440"/>
    <w:rsid w:val="00270450"/>
    <w:rsid w:val="00270CCB"/>
    <w:rsid w:val="00271F55"/>
    <w:rsid w:val="00272000"/>
    <w:rsid w:val="002721A2"/>
    <w:rsid w:val="00272353"/>
    <w:rsid w:val="00273285"/>
    <w:rsid w:val="0027366F"/>
    <w:rsid w:val="00273C19"/>
    <w:rsid w:val="00274187"/>
    <w:rsid w:val="002741E2"/>
    <w:rsid w:val="0027451A"/>
    <w:rsid w:val="00274865"/>
    <w:rsid w:val="00274938"/>
    <w:rsid w:val="00275399"/>
    <w:rsid w:val="002754C9"/>
    <w:rsid w:val="0027587A"/>
    <w:rsid w:val="00275950"/>
    <w:rsid w:val="002769E8"/>
    <w:rsid w:val="00277D85"/>
    <w:rsid w:val="00280614"/>
    <w:rsid w:val="00280615"/>
    <w:rsid w:val="002807D8"/>
    <w:rsid w:val="002811C9"/>
    <w:rsid w:val="002812D4"/>
    <w:rsid w:val="00281C1A"/>
    <w:rsid w:val="00281CE2"/>
    <w:rsid w:val="00282353"/>
    <w:rsid w:val="002824C4"/>
    <w:rsid w:val="002826F6"/>
    <w:rsid w:val="00282E7D"/>
    <w:rsid w:val="00283391"/>
    <w:rsid w:val="002833B4"/>
    <w:rsid w:val="002835D8"/>
    <w:rsid w:val="00283854"/>
    <w:rsid w:val="002839E2"/>
    <w:rsid w:val="00283A90"/>
    <w:rsid w:val="00283E67"/>
    <w:rsid w:val="00284B5A"/>
    <w:rsid w:val="00284B98"/>
    <w:rsid w:val="002852E1"/>
    <w:rsid w:val="002854DB"/>
    <w:rsid w:val="00285B19"/>
    <w:rsid w:val="0028600E"/>
    <w:rsid w:val="002862A2"/>
    <w:rsid w:val="002862CF"/>
    <w:rsid w:val="00286596"/>
    <w:rsid w:val="00286BB9"/>
    <w:rsid w:val="0028711D"/>
    <w:rsid w:val="0028770B"/>
    <w:rsid w:val="00287A68"/>
    <w:rsid w:val="00287DD3"/>
    <w:rsid w:val="0028DE77"/>
    <w:rsid w:val="00290850"/>
    <w:rsid w:val="00291160"/>
    <w:rsid w:val="00291AB3"/>
    <w:rsid w:val="0029205D"/>
    <w:rsid w:val="002922D2"/>
    <w:rsid w:val="00292681"/>
    <w:rsid w:val="00293DEE"/>
    <w:rsid w:val="00293FE3"/>
    <w:rsid w:val="0029455E"/>
    <w:rsid w:val="0029475A"/>
    <w:rsid w:val="00295805"/>
    <w:rsid w:val="0029596B"/>
    <w:rsid w:val="00295C5A"/>
    <w:rsid w:val="00295FC9"/>
    <w:rsid w:val="002961C0"/>
    <w:rsid w:val="002964ED"/>
    <w:rsid w:val="00296611"/>
    <w:rsid w:val="002967F1"/>
    <w:rsid w:val="00297135"/>
    <w:rsid w:val="0029753A"/>
    <w:rsid w:val="00297588"/>
    <w:rsid w:val="00297ABE"/>
    <w:rsid w:val="00297CC8"/>
    <w:rsid w:val="00297CEE"/>
    <w:rsid w:val="00297E8F"/>
    <w:rsid w:val="002A0471"/>
    <w:rsid w:val="002A0AD9"/>
    <w:rsid w:val="002A17A7"/>
    <w:rsid w:val="002A181E"/>
    <w:rsid w:val="002A18EC"/>
    <w:rsid w:val="002A1C75"/>
    <w:rsid w:val="002A1E0E"/>
    <w:rsid w:val="002A2231"/>
    <w:rsid w:val="002A2A5E"/>
    <w:rsid w:val="002A3A8F"/>
    <w:rsid w:val="002A3C9F"/>
    <w:rsid w:val="002A3DA6"/>
    <w:rsid w:val="002A41ED"/>
    <w:rsid w:val="002A477A"/>
    <w:rsid w:val="002A4F41"/>
    <w:rsid w:val="002A4FBA"/>
    <w:rsid w:val="002A559A"/>
    <w:rsid w:val="002A584E"/>
    <w:rsid w:val="002A5A58"/>
    <w:rsid w:val="002A6817"/>
    <w:rsid w:val="002A68F9"/>
    <w:rsid w:val="002A6C61"/>
    <w:rsid w:val="002A726A"/>
    <w:rsid w:val="002A72E7"/>
    <w:rsid w:val="002A7A7A"/>
    <w:rsid w:val="002A7AA5"/>
    <w:rsid w:val="002A7ADD"/>
    <w:rsid w:val="002B013A"/>
    <w:rsid w:val="002B073C"/>
    <w:rsid w:val="002B074C"/>
    <w:rsid w:val="002B0D17"/>
    <w:rsid w:val="002B213F"/>
    <w:rsid w:val="002B2147"/>
    <w:rsid w:val="002B21D7"/>
    <w:rsid w:val="002B2393"/>
    <w:rsid w:val="002B23B6"/>
    <w:rsid w:val="002B24A9"/>
    <w:rsid w:val="002B2B98"/>
    <w:rsid w:val="002B2D97"/>
    <w:rsid w:val="002B2E2F"/>
    <w:rsid w:val="002B3F4D"/>
    <w:rsid w:val="002B3F90"/>
    <w:rsid w:val="002B42B9"/>
    <w:rsid w:val="002B4AEF"/>
    <w:rsid w:val="002B4C71"/>
    <w:rsid w:val="002B5084"/>
    <w:rsid w:val="002B593C"/>
    <w:rsid w:val="002B5A8A"/>
    <w:rsid w:val="002B670C"/>
    <w:rsid w:val="002B6816"/>
    <w:rsid w:val="002B762C"/>
    <w:rsid w:val="002B7ABC"/>
    <w:rsid w:val="002B7EDA"/>
    <w:rsid w:val="002C0360"/>
    <w:rsid w:val="002C0502"/>
    <w:rsid w:val="002C10BC"/>
    <w:rsid w:val="002C10CD"/>
    <w:rsid w:val="002C1DFA"/>
    <w:rsid w:val="002C2039"/>
    <w:rsid w:val="002C37B1"/>
    <w:rsid w:val="002C3A73"/>
    <w:rsid w:val="002C3EA4"/>
    <w:rsid w:val="002C5173"/>
    <w:rsid w:val="002C5330"/>
    <w:rsid w:val="002C56BB"/>
    <w:rsid w:val="002C5BDE"/>
    <w:rsid w:val="002C5D87"/>
    <w:rsid w:val="002C6310"/>
    <w:rsid w:val="002C6333"/>
    <w:rsid w:val="002C6D94"/>
    <w:rsid w:val="002C6ED0"/>
    <w:rsid w:val="002C74C5"/>
    <w:rsid w:val="002C7FE9"/>
    <w:rsid w:val="002D059B"/>
    <w:rsid w:val="002D0907"/>
    <w:rsid w:val="002D129C"/>
    <w:rsid w:val="002D1489"/>
    <w:rsid w:val="002D1740"/>
    <w:rsid w:val="002D1CFC"/>
    <w:rsid w:val="002D2369"/>
    <w:rsid w:val="002D248D"/>
    <w:rsid w:val="002D2585"/>
    <w:rsid w:val="002D27B7"/>
    <w:rsid w:val="002D2A64"/>
    <w:rsid w:val="002D2CD0"/>
    <w:rsid w:val="002D2F7E"/>
    <w:rsid w:val="002D33AF"/>
    <w:rsid w:val="002D3535"/>
    <w:rsid w:val="002D3597"/>
    <w:rsid w:val="002D3882"/>
    <w:rsid w:val="002D3963"/>
    <w:rsid w:val="002D419B"/>
    <w:rsid w:val="002D42FA"/>
    <w:rsid w:val="002D44FF"/>
    <w:rsid w:val="002D4716"/>
    <w:rsid w:val="002D48B9"/>
    <w:rsid w:val="002D4D3B"/>
    <w:rsid w:val="002D4EFD"/>
    <w:rsid w:val="002D5249"/>
    <w:rsid w:val="002D57A3"/>
    <w:rsid w:val="002D5E99"/>
    <w:rsid w:val="002D68A5"/>
    <w:rsid w:val="002D6C85"/>
    <w:rsid w:val="002D6D1E"/>
    <w:rsid w:val="002D6F47"/>
    <w:rsid w:val="002D6FA6"/>
    <w:rsid w:val="002D704D"/>
    <w:rsid w:val="002D7070"/>
    <w:rsid w:val="002D74E0"/>
    <w:rsid w:val="002E0B3C"/>
    <w:rsid w:val="002E0BB9"/>
    <w:rsid w:val="002E11C7"/>
    <w:rsid w:val="002E141F"/>
    <w:rsid w:val="002E150B"/>
    <w:rsid w:val="002E15BD"/>
    <w:rsid w:val="002E15E3"/>
    <w:rsid w:val="002E198A"/>
    <w:rsid w:val="002E1B59"/>
    <w:rsid w:val="002E1C96"/>
    <w:rsid w:val="002E20FB"/>
    <w:rsid w:val="002E271B"/>
    <w:rsid w:val="002E28FC"/>
    <w:rsid w:val="002E2DC1"/>
    <w:rsid w:val="002E2DD3"/>
    <w:rsid w:val="002E2EE1"/>
    <w:rsid w:val="002E3705"/>
    <w:rsid w:val="002E3987"/>
    <w:rsid w:val="002E3A61"/>
    <w:rsid w:val="002E3BCF"/>
    <w:rsid w:val="002E4BFB"/>
    <w:rsid w:val="002E4F24"/>
    <w:rsid w:val="002E5264"/>
    <w:rsid w:val="002E5583"/>
    <w:rsid w:val="002E605C"/>
    <w:rsid w:val="002E6170"/>
    <w:rsid w:val="002E71A6"/>
    <w:rsid w:val="002E7290"/>
    <w:rsid w:val="002E7476"/>
    <w:rsid w:val="002E74FA"/>
    <w:rsid w:val="002E774B"/>
    <w:rsid w:val="002E7920"/>
    <w:rsid w:val="002E7931"/>
    <w:rsid w:val="002E7AE6"/>
    <w:rsid w:val="002E7E49"/>
    <w:rsid w:val="002E7FF8"/>
    <w:rsid w:val="002F01EE"/>
    <w:rsid w:val="002F0528"/>
    <w:rsid w:val="002F0964"/>
    <w:rsid w:val="002F09FA"/>
    <w:rsid w:val="002F0CCE"/>
    <w:rsid w:val="002F0EC1"/>
    <w:rsid w:val="002F1CE6"/>
    <w:rsid w:val="002F2915"/>
    <w:rsid w:val="002F2CE0"/>
    <w:rsid w:val="002F2CE1"/>
    <w:rsid w:val="002F3257"/>
    <w:rsid w:val="002F3259"/>
    <w:rsid w:val="002F37E2"/>
    <w:rsid w:val="002F4D00"/>
    <w:rsid w:val="002F4D06"/>
    <w:rsid w:val="002F4E32"/>
    <w:rsid w:val="002F50E9"/>
    <w:rsid w:val="002F5173"/>
    <w:rsid w:val="002F52C8"/>
    <w:rsid w:val="002F539F"/>
    <w:rsid w:val="002F54CC"/>
    <w:rsid w:val="002F5C45"/>
    <w:rsid w:val="002F5C79"/>
    <w:rsid w:val="002F5FD8"/>
    <w:rsid w:val="002F6B32"/>
    <w:rsid w:val="002F6CC0"/>
    <w:rsid w:val="002F7999"/>
    <w:rsid w:val="00300050"/>
    <w:rsid w:val="0030069B"/>
    <w:rsid w:val="00300B9C"/>
    <w:rsid w:val="00300DA0"/>
    <w:rsid w:val="0030141B"/>
    <w:rsid w:val="0030152A"/>
    <w:rsid w:val="003019AB"/>
    <w:rsid w:val="00301A6C"/>
    <w:rsid w:val="00302488"/>
    <w:rsid w:val="003034AD"/>
    <w:rsid w:val="00303792"/>
    <w:rsid w:val="00303884"/>
    <w:rsid w:val="00303D9A"/>
    <w:rsid w:val="003043AE"/>
    <w:rsid w:val="003045AB"/>
    <w:rsid w:val="0030498B"/>
    <w:rsid w:val="00305160"/>
    <w:rsid w:val="003057AF"/>
    <w:rsid w:val="00306554"/>
    <w:rsid w:val="00306BF7"/>
    <w:rsid w:val="00307593"/>
    <w:rsid w:val="00307DE3"/>
    <w:rsid w:val="00307F50"/>
    <w:rsid w:val="003106F6"/>
    <w:rsid w:val="00310D5B"/>
    <w:rsid w:val="00311213"/>
    <w:rsid w:val="00311366"/>
    <w:rsid w:val="00311704"/>
    <w:rsid w:val="0031174E"/>
    <w:rsid w:val="00311944"/>
    <w:rsid w:val="00311F0B"/>
    <w:rsid w:val="00312246"/>
    <w:rsid w:val="00312850"/>
    <w:rsid w:val="00312FE6"/>
    <w:rsid w:val="0031312F"/>
    <w:rsid w:val="003131B2"/>
    <w:rsid w:val="00313596"/>
    <w:rsid w:val="00315042"/>
    <w:rsid w:val="00315722"/>
    <w:rsid w:val="00315CE6"/>
    <w:rsid w:val="00316071"/>
    <w:rsid w:val="00316A29"/>
    <w:rsid w:val="00317155"/>
    <w:rsid w:val="00317398"/>
    <w:rsid w:val="003177F2"/>
    <w:rsid w:val="00317A1D"/>
    <w:rsid w:val="00320203"/>
    <w:rsid w:val="003204AE"/>
    <w:rsid w:val="00321047"/>
    <w:rsid w:val="00321268"/>
    <w:rsid w:val="0032151C"/>
    <w:rsid w:val="003218D8"/>
    <w:rsid w:val="003223AD"/>
    <w:rsid w:val="00322AA9"/>
    <w:rsid w:val="003233B5"/>
    <w:rsid w:val="00323417"/>
    <w:rsid w:val="00323451"/>
    <w:rsid w:val="003239DA"/>
    <w:rsid w:val="00324739"/>
    <w:rsid w:val="00324AEB"/>
    <w:rsid w:val="00326875"/>
    <w:rsid w:val="0032B792"/>
    <w:rsid w:val="00330570"/>
    <w:rsid w:val="00330FE0"/>
    <w:rsid w:val="003319A1"/>
    <w:rsid w:val="0033258F"/>
    <w:rsid w:val="00332DF5"/>
    <w:rsid w:val="00332EA4"/>
    <w:rsid w:val="003330DD"/>
    <w:rsid w:val="00334046"/>
    <w:rsid w:val="003344E4"/>
    <w:rsid w:val="003348AD"/>
    <w:rsid w:val="003355EA"/>
    <w:rsid w:val="00335BC4"/>
    <w:rsid w:val="00335DCA"/>
    <w:rsid w:val="00335EED"/>
    <w:rsid w:val="0033633F"/>
    <w:rsid w:val="003364A1"/>
    <w:rsid w:val="00336602"/>
    <w:rsid w:val="00336646"/>
    <w:rsid w:val="00336EC2"/>
    <w:rsid w:val="00336F58"/>
    <w:rsid w:val="003371B0"/>
    <w:rsid w:val="00337F7F"/>
    <w:rsid w:val="00340CDE"/>
    <w:rsid w:val="00340D23"/>
    <w:rsid w:val="003411B6"/>
    <w:rsid w:val="003418FF"/>
    <w:rsid w:val="00341A8D"/>
    <w:rsid w:val="00341CDD"/>
    <w:rsid w:val="00341FA9"/>
    <w:rsid w:val="00342336"/>
    <w:rsid w:val="00342349"/>
    <w:rsid w:val="00342657"/>
    <w:rsid w:val="00343182"/>
    <w:rsid w:val="003435A6"/>
    <w:rsid w:val="00343841"/>
    <w:rsid w:val="00343A5B"/>
    <w:rsid w:val="00343E5C"/>
    <w:rsid w:val="00344064"/>
    <w:rsid w:val="003440A5"/>
    <w:rsid w:val="003445AC"/>
    <w:rsid w:val="00344E0B"/>
    <w:rsid w:val="00345315"/>
    <w:rsid w:val="00345DCA"/>
    <w:rsid w:val="00345E8B"/>
    <w:rsid w:val="0034725B"/>
    <w:rsid w:val="00347261"/>
    <w:rsid w:val="00347BF0"/>
    <w:rsid w:val="003503F9"/>
    <w:rsid w:val="003508A6"/>
    <w:rsid w:val="00351CB4"/>
    <w:rsid w:val="003521D5"/>
    <w:rsid w:val="00352415"/>
    <w:rsid w:val="00352558"/>
    <w:rsid w:val="00352639"/>
    <w:rsid w:val="0035263B"/>
    <w:rsid w:val="00352AC1"/>
    <w:rsid w:val="0035302D"/>
    <w:rsid w:val="003533E6"/>
    <w:rsid w:val="003533FB"/>
    <w:rsid w:val="003538A9"/>
    <w:rsid w:val="00353B79"/>
    <w:rsid w:val="00353D02"/>
    <w:rsid w:val="00353D88"/>
    <w:rsid w:val="00353E65"/>
    <w:rsid w:val="00353FFB"/>
    <w:rsid w:val="00354567"/>
    <w:rsid w:val="00354E66"/>
    <w:rsid w:val="0035502D"/>
    <w:rsid w:val="003553FD"/>
    <w:rsid w:val="003560BA"/>
    <w:rsid w:val="0035783A"/>
    <w:rsid w:val="003578EE"/>
    <w:rsid w:val="00357DE8"/>
    <w:rsid w:val="00360103"/>
    <w:rsid w:val="0036017B"/>
    <w:rsid w:val="003604C9"/>
    <w:rsid w:val="0036089A"/>
    <w:rsid w:val="003608C2"/>
    <w:rsid w:val="003609B4"/>
    <w:rsid w:val="00361721"/>
    <w:rsid w:val="00361D35"/>
    <w:rsid w:val="00361E43"/>
    <w:rsid w:val="00361EE5"/>
    <w:rsid w:val="00361FD5"/>
    <w:rsid w:val="00362755"/>
    <w:rsid w:val="003627A1"/>
    <w:rsid w:val="003628E6"/>
    <w:rsid w:val="00362CE5"/>
    <w:rsid w:val="00363AF4"/>
    <w:rsid w:val="00363DC5"/>
    <w:rsid w:val="00364104"/>
    <w:rsid w:val="00364C82"/>
    <w:rsid w:val="003652F4"/>
    <w:rsid w:val="003658AD"/>
    <w:rsid w:val="00365F83"/>
    <w:rsid w:val="0036670C"/>
    <w:rsid w:val="00366E24"/>
    <w:rsid w:val="003678DB"/>
    <w:rsid w:val="00367BB0"/>
    <w:rsid w:val="00367F7C"/>
    <w:rsid w:val="0037066E"/>
    <w:rsid w:val="00370B66"/>
    <w:rsid w:val="00370DBA"/>
    <w:rsid w:val="0037162B"/>
    <w:rsid w:val="00371A1F"/>
    <w:rsid w:val="00371E23"/>
    <w:rsid w:val="003723A8"/>
    <w:rsid w:val="00372B44"/>
    <w:rsid w:val="00372D35"/>
    <w:rsid w:val="00372EAC"/>
    <w:rsid w:val="003739ED"/>
    <w:rsid w:val="00373B93"/>
    <w:rsid w:val="00373E0C"/>
    <w:rsid w:val="00373F35"/>
    <w:rsid w:val="003747F5"/>
    <w:rsid w:val="00375469"/>
    <w:rsid w:val="003754A9"/>
    <w:rsid w:val="0037552C"/>
    <w:rsid w:val="0037589C"/>
    <w:rsid w:val="00375998"/>
    <w:rsid w:val="003762A4"/>
    <w:rsid w:val="00376786"/>
    <w:rsid w:val="00376AA5"/>
    <w:rsid w:val="0037729B"/>
    <w:rsid w:val="003772AB"/>
    <w:rsid w:val="003775A5"/>
    <w:rsid w:val="00377C57"/>
    <w:rsid w:val="0037C5F4"/>
    <w:rsid w:val="003800D8"/>
    <w:rsid w:val="0038022D"/>
    <w:rsid w:val="00380582"/>
    <w:rsid w:val="00380689"/>
    <w:rsid w:val="00380D0C"/>
    <w:rsid w:val="003812BB"/>
    <w:rsid w:val="00381466"/>
    <w:rsid w:val="00381F50"/>
    <w:rsid w:val="003824BB"/>
    <w:rsid w:val="0038270B"/>
    <w:rsid w:val="00382CDC"/>
    <w:rsid w:val="00382D2A"/>
    <w:rsid w:val="003839D3"/>
    <w:rsid w:val="00383BA1"/>
    <w:rsid w:val="00383CE9"/>
    <w:rsid w:val="00383F38"/>
    <w:rsid w:val="0038426C"/>
    <w:rsid w:val="00384993"/>
    <w:rsid w:val="00384A97"/>
    <w:rsid w:val="003850EA"/>
    <w:rsid w:val="0038588C"/>
    <w:rsid w:val="00385D14"/>
    <w:rsid w:val="00385F54"/>
    <w:rsid w:val="003862A5"/>
    <w:rsid w:val="003862EB"/>
    <w:rsid w:val="0038670A"/>
    <w:rsid w:val="0038682E"/>
    <w:rsid w:val="00386928"/>
    <w:rsid w:val="00387120"/>
    <w:rsid w:val="003874D5"/>
    <w:rsid w:val="00387F72"/>
    <w:rsid w:val="00390C3D"/>
    <w:rsid w:val="00390D80"/>
    <w:rsid w:val="00390E04"/>
    <w:rsid w:val="0039124B"/>
    <w:rsid w:val="00391544"/>
    <w:rsid w:val="003917E9"/>
    <w:rsid w:val="00391CC8"/>
    <w:rsid w:val="00392564"/>
    <w:rsid w:val="003925AD"/>
    <w:rsid w:val="003928C2"/>
    <w:rsid w:val="00393EC8"/>
    <w:rsid w:val="00394831"/>
    <w:rsid w:val="003950BD"/>
    <w:rsid w:val="00395CD5"/>
    <w:rsid w:val="00395D02"/>
    <w:rsid w:val="00396728"/>
    <w:rsid w:val="0039702C"/>
    <w:rsid w:val="00397BA7"/>
    <w:rsid w:val="003A00E1"/>
    <w:rsid w:val="003A0F08"/>
    <w:rsid w:val="003A1DAA"/>
    <w:rsid w:val="003A2469"/>
    <w:rsid w:val="003A2E8A"/>
    <w:rsid w:val="003A3070"/>
    <w:rsid w:val="003A39BC"/>
    <w:rsid w:val="003A39D3"/>
    <w:rsid w:val="003A405C"/>
    <w:rsid w:val="003A51C6"/>
    <w:rsid w:val="003A6100"/>
    <w:rsid w:val="003A65CD"/>
    <w:rsid w:val="003A6C87"/>
    <w:rsid w:val="003A7622"/>
    <w:rsid w:val="003B06E2"/>
    <w:rsid w:val="003B0729"/>
    <w:rsid w:val="003B0AB7"/>
    <w:rsid w:val="003B0C3B"/>
    <w:rsid w:val="003B0DAB"/>
    <w:rsid w:val="003B117F"/>
    <w:rsid w:val="003B170E"/>
    <w:rsid w:val="003B1B27"/>
    <w:rsid w:val="003B1CF3"/>
    <w:rsid w:val="003B25D1"/>
    <w:rsid w:val="003B25E1"/>
    <w:rsid w:val="003B2B72"/>
    <w:rsid w:val="003B2F81"/>
    <w:rsid w:val="003B317D"/>
    <w:rsid w:val="003B3208"/>
    <w:rsid w:val="003B3485"/>
    <w:rsid w:val="003B3C1E"/>
    <w:rsid w:val="003B40D6"/>
    <w:rsid w:val="003B4739"/>
    <w:rsid w:val="003B4B8F"/>
    <w:rsid w:val="003B4CF8"/>
    <w:rsid w:val="003B5C7F"/>
    <w:rsid w:val="003B6004"/>
    <w:rsid w:val="003B616E"/>
    <w:rsid w:val="003B695D"/>
    <w:rsid w:val="003B7232"/>
    <w:rsid w:val="003B726F"/>
    <w:rsid w:val="003B75DB"/>
    <w:rsid w:val="003B7758"/>
    <w:rsid w:val="003B78C5"/>
    <w:rsid w:val="003B7D05"/>
    <w:rsid w:val="003B7FC0"/>
    <w:rsid w:val="003C0B54"/>
    <w:rsid w:val="003C0C22"/>
    <w:rsid w:val="003C0F61"/>
    <w:rsid w:val="003C121C"/>
    <w:rsid w:val="003C136A"/>
    <w:rsid w:val="003C1912"/>
    <w:rsid w:val="003C21E2"/>
    <w:rsid w:val="003C28F6"/>
    <w:rsid w:val="003C295D"/>
    <w:rsid w:val="003C3766"/>
    <w:rsid w:val="003C3C81"/>
    <w:rsid w:val="003C3F08"/>
    <w:rsid w:val="003C41EB"/>
    <w:rsid w:val="003C453B"/>
    <w:rsid w:val="003C4976"/>
    <w:rsid w:val="003C4A8F"/>
    <w:rsid w:val="003C4A94"/>
    <w:rsid w:val="003C4C9C"/>
    <w:rsid w:val="003C5E71"/>
    <w:rsid w:val="003C5F01"/>
    <w:rsid w:val="003C6DDA"/>
    <w:rsid w:val="003C6ECA"/>
    <w:rsid w:val="003C7129"/>
    <w:rsid w:val="003C7942"/>
    <w:rsid w:val="003D0562"/>
    <w:rsid w:val="003D05A9"/>
    <w:rsid w:val="003D074C"/>
    <w:rsid w:val="003D09A0"/>
    <w:rsid w:val="003D0C89"/>
    <w:rsid w:val="003D113C"/>
    <w:rsid w:val="003D1F01"/>
    <w:rsid w:val="003D2720"/>
    <w:rsid w:val="003D2858"/>
    <w:rsid w:val="003D29AF"/>
    <w:rsid w:val="003D357E"/>
    <w:rsid w:val="003D3634"/>
    <w:rsid w:val="003D3A7F"/>
    <w:rsid w:val="003D3D85"/>
    <w:rsid w:val="003D46D0"/>
    <w:rsid w:val="003D48A3"/>
    <w:rsid w:val="003D4ED0"/>
    <w:rsid w:val="003D57D3"/>
    <w:rsid w:val="003D5884"/>
    <w:rsid w:val="003D6752"/>
    <w:rsid w:val="003D6907"/>
    <w:rsid w:val="003D6CF3"/>
    <w:rsid w:val="003D731C"/>
    <w:rsid w:val="003D73DF"/>
    <w:rsid w:val="003D73F2"/>
    <w:rsid w:val="003D7418"/>
    <w:rsid w:val="003D7568"/>
    <w:rsid w:val="003D7707"/>
    <w:rsid w:val="003E034A"/>
    <w:rsid w:val="003E0AF9"/>
    <w:rsid w:val="003E0B48"/>
    <w:rsid w:val="003E1336"/>
    <w:rsid w:val="003E1616"/>
    <w:rsid w:val="003E1E6F"/>
    <w:rsid w:val="003E22E4"/>
    <w:rsid w:val="003E232A"/>
    <w:rsid w:val="003E2566"/>
    <w:rsid w:val="003E25E0"/>
    <w:rsid w:val="003E3D73"/>
    <w:rsid w:val="003E4818"/>
    <w:rsid w:val="003E4876"/>
    <w:rsid w:val="003E6166"/>
    <w:rsid w:val="003E66A2"/>
    <w:rsid w:val="003E698E"/>
    <w:rsid w:val="003E7DD4"/>
    <w:rsid w:val="003F03CB"/>
    <w:rsid w:val="003F03CE"/>
    <w:rsid w:val="003F065E"/>
    <w:rsid w:val="003F0E4D"/>
    <w:rsid w:val="003F1009"/>
    <w:rsid w:val="003F13BA"/>
    <w:rsid w:val="003F22DE"/>
    <w:rsid w:val="003F261C"/>
    <w:rsid w:val="003F2D80"/>
    <w:rsid w:val="003F3240"/>
    <w:rsid w:val="003F36C2"/>
    <w:rsid w:val="003F42BC"/>
    <w:rsid w:val="003F4329"/>
    <w:rsid w:val="003F4F03"/>
    <w:rsid w:val="003F5712"/>
    <w:rsid w:val="003F5D0A"/>
    <w:rsid w:val="003F6354"/>
    <w:rsid w:val="003F7086"/>
    <w:rsid w:val="003F72EA"/>
    <w:rsid w:val="003F7406"/>
    <w:rsid w:val="003F7594"/>
    <w:rsid w:val="0040014F"/>
    <w:rsid w:val="00400361"/>
    <w:rsid w:val="00400983"/>
    <w:rsid w:val="00401056"/>
    <w:rsid w:val="00401097"/>
    <w:rsid w:val="004014BB"/>
    <w:rsid w:val="00401B1B"/>
    <w:rsid w:val="00401C44"/>
    <w:rsid w:val="0040280E"/>
    <w:rsid w:val="004036AB"/>
    <w:rsid w:val="0040394E"/>
    <w:rsid w:val="004039FA"/>
    <w:rsid w:val="00403A6F"/>
    <w:rsid w:val="00403AD0"/>
    <w:rsid w:val="00403C6F"/>
    <w:rsid w:val="00404498"/>
    <w:rsid w:val="00404DDA"/>
    <w:rsid w:val="00405548"/>
    <w:rsid w:val="0040577E"/>
    <w:rsid w:val="00406969"/>
    <w:rsid w:val="00406A12"/>
    <w:rsid w:val="00406AA5"/>
    <w:rsid w:val="00406B20"/>
    <w:rsid w:val="00406CE4"/>
    <w:rsid w:val="004074C8"/>
    <w:rsid w:val="004078DA"/>
    <w:rsid w:val="00407BBA"/>
    <w:rsid w:val="00407CD6"/>
    <w:rsid w:val="004107D4"/>
    <w:rsid w:val="004108C5"/>
    <w:rsid w:val="0041131E"/>
    <w:rsid w:val="004114EA"/>
    <w:rsid w:val="00411CDC"/>
    <w:rsid w:val="00412C83"/>
    <w:rsid w:val="00413114"/>
    <w:rsid w:val="0041393D"/>
    <w:rsid w:val="00413D82"/>
    <w:rsid w:val="00413EF8"/>
    <w:rsid w:val="00414316"/>
    <w:rsid w:val="00414337"/>
    <w:rsid w:val="00414DCB"/>
    <w:rsid w:val="00414E1E"/>
    <w:rsid w:val="00415433"/>
    <w:rsid w:val="00415B55"/>
    <w:rsid w:val="004160D0"/>
    <w:rsid w:val="00416581"/>
    <w:rsid w:val="00416A00"/>
    <w:rsid w:val="00416A5D"/>
    <w:rsid w:val="00417B89"/>
    <w:rsid w:val="00420ADE"/>
    <w:rsid w:val="00420C91"/>
    <w:rsid w:val="00420DDE"/>
    <w:rsid w:val="00421798"/>
    <w:rsid w:val="00421CDE"/>
    <w:rsid w:val="00422F65"/>
    <w:rsid w:val="004231A0"/>
    <w:rsid w:val="0042381D"/>
    <w:rsid w:val="00423DD8"/>
    <w:rsid w:val="00423EC9"/>
    <w:rsid w:val="00424D69"/>
    <w:rsid w:val="00424E5C"/>
    <w:rsid w:val="0042515A"/>
    <w:rsid w:val="004251AE"/>
    <w:rsid w:val="004257FC"/>
    <w:rsid w:val="004258AA"/>
    <w:rsid w:val="00425FFD"/>
    <w:rsid w:val="00426014"/>
    <w:rsid w:val="004262C6"/>
    <w:rsid w:val="00426779"/>
    <w:rsid w:val="00426C6A"/>
    <w:rsid w:val="00426D9B"/>
    <w:rsid w:val="00426F4F"/>
    <w:rsid w:val="0042715C"/>
    <w:rsid w:val="00427716"/>
    <w:rsid w:val="00427B0A"/>
    <w:rsid w:val="00428E26"/>
    <w:rsid w:val="004305E6"/>
    <w:rsid w:val="00430674"/>
    <w:rsid w:val="00430E5D"/>
    <w:rsid w:val="00431174"/>
    <w:rsid w:val="00431820"/>
    <w:rsid w:val="004320D0"/>
    <w:rsid w:val="004320D8"/>
    <w:rsid w:val="004329FB"/>
    <w:rsid w:val="00432CF0"/>
    <w:rsid w:val="00432D28"/>
    <w:rsid w:val="00433065"/>
    <w:rsid w:val="004330F3"/>
    <w:rsid w:val="00433559"/>
    <w:rsid w:val="004336D1"/>
    <w:rsid w:val="00433B43"/>
    <w:rsid w:val="00433C9D"/>
    <w:rsid w:val="00435160"/>
    <w:rsid w:val="00435187"/>
    <w:rsid w:val="00435AA9"/>
    <w:rsid w:val="00435CCE"/>
    <w:rsid w:val="00435DBC"/>
    <w:rsid w:val="004360EC"/>
    <w:rsid w:val="00436199"/>
    <w:rsid w:val="00436436"/>
    <w:rsid w:val="004364F5"/>
    <w:rsid w:val="0043671D"/>
    <w:rsid w:val="0043679D"/>
    <w:rsid w:val="00436AA9"/>
    <w:rsid w:val="00436D0B"/>
    <w:rsid w:val="00437BBB"/>
    <w:rsid w:val="0044095C"/>
    <w:rsid w:val="00440ADC"/>
    <w:rsid w:val="00440C1F"/>
    <w:rsid w:val="0044113B"/>
    <w:rsid w:val="00441335"/>
    <w:rsid w:val="00441581"/>
    <w:rsid w:val="0044298D"/>
    <w:rsid w:val="0044312C"/>
    <w:rsid w:val="00443D48"/>
    <w:rsid w:val="004442AB"/>
    <w:rsid w:val="0044461E"/>
    <w:rsid w:val="0044479A"/>
    <w:rsid w:val="00444C68"/>
    <w:rsid w:val="00445121"/>
    <w:rsid w:val="004454CD"/>
    <w:rsid w:val="00445C64"/>
    <w:rsid w:val="00445EA9"/>
    <w:rsid w:val="00446664"/>
    <w:rsid w:val="00446B73"/>
    <w:rsid w:val="00446E9F"/>
    <w:rsid w:val="004473AC"/>
    <w:rsid w:val="004475A5"/>
    <w:rsid w:val="004479CE"/>
    <w:rsid w:val="00447BC6"/>
    <w:rsid w:val="0045015C"/>
    <w:rsid w:val="00450AF4"/>
    <w:rsid w:val="00450F31"/>
    <w:rsid w:val="0045115A"/>
    <w:rsid w:val="004513A9"/>
    <w:rsid w:val="00451AF5"/>
    <w:rsid w:val="00451D9A"/>
    <w:rsid w:val="00451FC6"/>
    <w:rsid w:val="004520EA"/>
    <w:rsid w:val="004524D5"/>
    <w:rsid w:val="004527B8"/>
    <w:rsid w:val="00452E61"/>
    <w:rsid w:val="00453080"/>
    <w:rsid w:val="004534CE"/>
    <w:rsid w:val="004535B2"/>
    <w:rsid w:val="00454340"/>
    <w:rsid w:val="004543AA"/>
    <w:rsid w:val="0045466F"/>
    <w:rsid w:val="00454E9C"/>
    <w:rsid w:val="004550C9"/>
    <w:rsid w:val="00455323"/>
    <w:rsid w:val="0045545C"/>
    <w:rsid w:val="00455D54"/>
    <w:rsid w:val="004567AC"/>
    <w:rsid w:val="0045710B"/>
    <w:rsid w:val="00457AD7"/>
    <w:rsid w:val="00457DE5"/>
    <w:rsid w:val="0046000B"/>
    <w:rsid w:val="0046002F"/>
    <w:rsid w:val="004603DE"/>
    <w:rsid w:val="00460B7D"/>
    <w:rsid w:val="00460CFD"/>
    <w:rsid w:val="00460F66"/>
    <w:rsid w:val="00462E49"/>
    <w:rsid w:val="00462FB0"/>
    <w:rsid w:val="00463B6C"/>
    <w:rsid w:val="00463B9C"/>
    <w:rsid w:val="00463FB0"/>
    <w:rsid w:val="004641F4"/>
    <w:rsid w:val="00464A59"/>
    <w:rsid w:val="00464AE1"/>
    <w:rsid w:val="004656E8"/>
    <w:rsid w:val="00465A98"/>
    <w:rsid w:val="0046642A"/>
    <w:rsid w:val="004668CF"/>
    <w:rsid w:val="00466907"/>
    <w:rsid w:val="00467325"/>
    <w:rsid w:val="00467549"/>
    <w:rsid w:val="0046757A"/>
    <w:rsid w:val="00467595"/>
    <w:rsid w:val="00467726"/>
    <w:rsid w:val="00467A77"/>
    <w:rsid w:val="00467FC0"/>
    <w:rsid w:val="00470347"/>
    <w:rsid w:val="004709B5"/>
    <w:rsid w:val="004715DE"/>
    <w:rsid w:val="00471720"/>
    <w:rsid w:val="0047193D"/>
    <w:rsid w:val="004719AA"/>
    <w:rsid w:val="0047212C"/>
    <w:rsid w:val="004725E9"/>
    <w:rsid w:val="00472B60"/>
    <w:rsid w:val="00473151"/>
    <w:rsid w:val="004734CB"/>
    <w:rsid w:val="0047364A"/>
    <w:rsid w:val="00473A5A"/>
    <w:rsid w:val="00473D4E"/>
    <w:rsid w:val="00473F54"/>
    <w:rsid w:val="00474847"/>
    <w:rsid w:val="004748EE"/>
    <w:rsid w:val="0047518A"/>
    <w:rsid w:val="00475585"/>
    <w:rsid w:val="004759EC"/>
    <w:rsid w:val="00475F28"/>
    <w:rsid w:val="00476026"/>
    <w:rsid w:val="00476562"/>
    <w:rsid w:val="00476AF5"/>
    <w:rsid w:val="004772F8"/>
    <w:rsid w:val="0047739A"/>
    <w:rsid w:val="00477B1C"/>
    <w:rsid w:val="0048032D"/>
    <w:rsid w:val="00480723"/>
    <w:rsid w:val="004809E0"/>
    <w:rsid w:val="004809F2"/>
    <w:rsid w:val="00480C1A"/>
    <w:rsid w:val="00480CB0"/>
    <w:rsid w:val="004813CF"/>
    <w:rsid w:val="00481415"/>
    <w:rsid w:val="004818BF"/>
    <w:rsid w:val="00481BD3"/>
    <w:rsid w:val="00481C73"/>
    <w:rsid w:val="0048238B"/>
    <w:rsid w:val="00482602"/>
    <w:rsid w:val="00482721"/>
    <w:rsid w:val="0048280B"/>
    <w:rsid w:val="004828B9"/>
    <w:rsid w:val="00482F5F"/>
    <w:rsid w:val="004835E3"/>
    <w:rsid w:val="00483BCC"/>
    <w:rsid w:val="004840F3"/>
    <w:rsid w:val="004841AA"/>
    <w:rsid w:val="00484764"/>
    <w:rsid w:val="00484970"/>
    <w:rsid w:val="00484D2D"/>
    <w:rsid w:val="00484E26"/>
    <w:rsid w:val="00484F1D"/>
    <w:rsid w:val="0048525C"/>
    <w:rsid w:val="004855FF"/>
    <w:rsid w:val="00485D7F"/>
    <w:rsid w:val="00486C62"/>
    <w:rsid w:val="0048707D"/>
    <w:rsid w:val="00487147"/>
    <w:rsid w:val="00487366"/>
    <w:rsid w:val="00487515"/>
    <w:rsid w:val="00487C40"/>
    <w:rsid w:val="00487C4E"/>
    <w:rsid w:val="00490494"/>
    <w:rsid w:val="004909BD"/>
    <w:rsid w:val="00491354"/>
    <w:rsid w:val="00491642"/>
    <w:rsid w:val="00491702"/>
    <w:rsid w:val="00491EB2"/>
    <w:rsid w:val="00492106"/>
    <w:rsid w:val="00492885"/>
    <w:rsid w:val="00492B34"/>
    <w:rsid w:val="0049306E"/>
    <w:rsid w:val="004938F3"/>
    <w:rsid w:val="00493E9B"/>
    <w:rsid w:val="00493E9D"/>
    <w:rsid w:val="004948EE"/>
    <w:rsid w:val="00494B1B"/>
    <w:rsid w:val="00494FEC"/>
    <w:rsid w:val="004954C8"/>
    <w:rsid w:val="0049553F"/>
    <w:rsid w:val="004955F7"/>
    <w:rsid w:val="004956FE"/>
    <w:rsid w:val="004960F6"/>
    <w:rsid w:val="00496682"/>
    <w:rsid w:val="00496C10"/>
    <w:rsid w:val="00496CA3"/>
    <w:rsid w:val="00497BC8"/>
    <w:rsid w:val="004A071A"/>
    <w:rsid w:val="004A0722"/>
    <w:rsid w:val="004A0CCD"/>
    <w:rsid w:val="004A101A"/>
    <w:rsid w:val="004A113B"/>
    <w:rsid w:val="004A2595"/>
    <w:rsid w:val="004A2B49"/>
    <w:rsid w:val="004A2C2A"/>
    <w:rsid w:val="004A2E98"/>
    <w:rsid w:val="004A33DC"/>
    <w:rsid w:val="004A3622"/>
    <w:rsid w:val="004A3706"/>
    <w:rsid w:val="004A44AB"/>
    <w:rsid w:val="004A4935"/>
    <w:rsid w:val="004A4E05"/>
    <w:rsid w:val="004A56BD"/>
    <w:rsid w:val="004A5743"/>
    <w:rsid w:val="004A5983"/>
    <w:rsid w:val="004A59CA"/>
    <w:rsid w:val="004A5C53"/>
    <w:rsid w:val="004A5D73"/>
    <w:rsid w:val="004A683F"/>
    <w:rsid w:val="004A68D6"/>
    <w:rsid w:val="004A6A92"/>
    <w:rsid w:val="004A744A"/>
    <w:rsid w:val="004A7F1C"/>
    <w:rsid w:val="004A7F55"/>
    <w:rsid w:val="004B0741"/>
    <w:rsid w:val="004B07AF"/>
    <w:rsid w:val="004B08DC"/>
    <w:rsid w:val="004B0D8D"/>
    <w:rsid w:val="004B138B"/>
    <w:rsid w:val="004B1614"/>
    <w:rsid w:val="004B1689"/>
    <w:rsid w:val="004B314F"/>
    <w:rsid w:val="004B34EA"/>
    <w:rsid w:val="004B351C"/>
    <w:rsid w:val="004B35CD"/>
    <w:rsid w:val="004B390D"/>
    <w:rsid w:val="004B4741"/>
    <w:rsid w:val="004B49E8"/>
    <w:rsid w:val="004B51CB"/>
    <w:rsid w:val="004B51FE"/>
    <w:rsid w:val="004B5494"/>
    <w:rsid w:val="004B55C3"/>
    <w:rsid w:val="004B5714"/>
    <w:rsid w:val="004B70BE"/>
    <w:rsid w:val="004B734C"/>
    <w:rsid w:val="004B79E3"/>
    <w:rsid w:val="004C0131"/>
    <w:rsid w:val="004C0380"/>
    <w:rsid w:val="004C0A74"/>
    <w:rsid w:val="004C0CD7"/>
    <w:rsid w:val="004C10C3"/>
    <w:rsid w:val="004C1DAB"/>
    <w:rsid w:val="004C2101"/>
    <w:rsid w:val="004C2796"/>
    <w:rsid w:val="004C2E89"/>
    <w:rsid w:val="004C2EF8"/>
    <w:rsid w:val="004C2F0F"/>
    <w:rsid w:val="004C357C"/>
    <w:rsid w:val="004C3A36"/>
    <w:rsid w:val="004C4132"/>
    <w:rsid w:val="004C421C"/>
    <w:rsid w:val="004C4763"/>
    <w:rsid w:val="004C4850"/>
    <w:rsid w:val="004C4E2F"/>
    <w:rsid w:val="004C53F8"/>
    <w:rsid w:val="004C5B4F"/>
    <w:rsid w:val="004C6196"/>
    <w:rsid w:val="004C687A"/>
    <w:rsid w:val="004C69B5"/>
    <w:rsid w:val="004C71EF"/>
    <w:rsid w:val="004C7AE1"/>
    <w:rsid w:val="004C7C16"/>
    <w:rsid w:val="004C7D3A"/>
    <w:rsid w:val="004D0168"/>
    <w:rsid w:val="004D0C27"/>
    <w:rsid w:val="004D13FC"/>
    <w:rsid w:val="004D154D"/>
    <w:rsid w:val="004D156F"/>
    <w:rsid w:val="004D168D"/>
    <w:rsid w:val="004D2139"/>
    <w:rsid w:val="004D2217"/>
    <w:rsid w:val="004D288E"/>
    <w:rsid w:val="004D29B8"/>
    <w:rsid w:val="004D32A8"/>
    <w:rsid w:val="004D34CD"/>
    <w:rsid w:val="004D3561"/>
    <w:rsid w:val="004D3562"/>
    <w:rsid w:val="004D3921"/>
    <w:rsid w:val="004D3CE1"/>
    <w:rsid w:val="004D3FD4"/>
    <w:rsid w:val="004D4298"/>
    <w:rsid w:val="004D51D8"/>
    <w:rsid w:val="004D566A"/>
    <w:rsid w:val="004D57E0"/>
    <w:rsid w:val="004D5A05"/>
    <w:rsid w:val="004D5C8E"/>
    <w:rsid w:val="004D71E3"/>
    <w:rsid w:val="004D73E7"/>
    <w:rsid w:val="004D76D9"/>
    <w:rsid w:val="004D7A7F"/>
    <w:rsid w:val="004D7D13"/>
    <w:rsid w:val="004D7D1E"/>
    <w:rsid w:val="004E020A"/>
    <w:rsid w:val="004E022E"/>
    <w:rsid w:val="004E0607"/>
    <w:rsid w:val="004E100F"/>
    <w:rsid w:val="004E1BBC"/>
    <w:rsid w:val="004E23AF"/>
    <w:rsid w:val="004E263A"/>
    <w:rsid w:val="004E2D0A"/>
    <w:rsid w:val="004E3114"/>
    <w:rsid w:val="004E3830"/>
    <w:rsid w:val="004E3871"/>
    <w:rsid w:val="004E38D4"/>
    <w:rsid w:val="004E3917"/>
    <w:rsid w:val="004E39F4"/>
    <w:rsid w:val="004E3EA9"/>
    <w:rsid w:val="004E3EF4"/>
    <w:rsid w:val="004E4B2F"/>
    <w:rsid w:val="004E4BFA"/>
    <w:rsid w:val="004E4ED8"/>
    <w:rsid w:val="004E4F0B"/>
    <w:rsid w:val="004E4F63"/>
    <w:rsid w:val="004E504A"/>
    <w:rsid w:val="004E5B21"/>
    <w:rsid w:val="004E5ED8"/>
    <w:rsid w:val="004E64D2"/>
    <w:rsid w:val="004E66A2"/>
    <w:rsid w:val="004E6B8F"/>
    <w:rsid w:val="004E71C3"/>
    <w:rsid w:val="004E72B5"/>
    <w:rsid w:val="004E7559"/>
    <w:rsid w:val="004F0C46"/>
    <w:rsid w:val="004F0C81"/>
    <w:rsid w:val="004F168B"/>
    <w:rsid w:val="004F1A7B"/>
    <w:rsid w:val="004F1C30"/>
    <w:rsid w:val="004F2203"/>
    <w:rsid w:val="004F2287"/>
    <w:rsid w:val="004F2532"/>
    <w:rsid w:val="004F2D55"/>
    <w:rsid w:val="004F2D58"/>
    <w:rsid w:val="004F34DA"/>
    <w:rsid w:val="004F3F52"/>
    <w:rsid w:val="004F49CB"/>
    <w:rsid w:val="004F4BC1"/>
    <w:rsid w:val="004F4F6B"/>
    <w:rsid w:val="004F4F9C"/>
    <w:rsid w:val="004F517D"/>
    <w:rsid w:val="004F538E"/>
    <w:rsid w:val="004F5864"/>
    <w:rsid w:val="004F5ADB"/>
    <w:rsid w:val="004F5BA2"/>
    <w:rsid w:val="004F5C56"/>
    <w:rsid w:val="004F5C5F"/>
    <w:rsid w:val="004F5FEA"/>
    <w:rsid w:val="004F646D"/>
    <w:rsid w:val="004F6DD1"/>
    <w:rsid w:val="004F7528"/>
    <w:rsid w:val="004F76ED"/>
    <w:rsid w:val="004F7AE7"/>
    <w:rsid w:val="00500011"/>
    <w:rsid w:val="00500C09"/>
    <w:rsid w:val="005018A8"/>
    <w:rsid w:val="00501A66"/>
    <w:rsid w:val="00501AA5"/>
    <w:rsid w:val="00501C8E"/>
    <w:rsid w:val="005021F2"/>
    <w:rsid w:val="00502215"/>
    <w:rsid w:val="00502533"/>
    <w:rsid w:val="00502C7C"/>
    <w:rsid w:val="00503499"/>
    <w:rsid w:val="005038A3"/>
    <w:rsid w:val="0050406C"/>
    <w:rsid w:val="00504115"/>
    <w:rsid w:val="005058CB"/>
    <w:rsid w:val="0050599C"/>
    <w:rsid w:val="00505A39"/>
    <w:rsid w:val="00505BA1"/>
    <w:rsid w:val="005060C6"/>
    <w:rsid w:val="005067D1"/>
    <w:rsid w:val="00506AE9"/>
    <w:rsid w:val="00507183"/>
    <w:rsid w:val="00507283"/>
    <w:rsid w:val="00507EA7"/>
    <w:rsid w:val="00507FD3"/>
    <w:rsid w:val="0051061B"/>
    <w:rsid w:val="00510688"/>
    <w:rsid w:val="00510C64"/>
    <w:rsid w:val="00511124"/>
    <w:rsid w:val="00511D50"/>
    <w:rsid w:val="0051242B"/>
    <w:rsid w:val="00512CD2"/>
    <w:rsid w:val="00512F31"/>
    <w:rsid w:val="005132B0"/>
    <w:rsid w:val="005138A9"/>
    <w:rsid w:val="005165C5"/>
    <w:rsid w:val="00517E40"/>
    <w:rsid w:val="00520278"/>
    <w:rsid w:val="00520772"/>
    <w:rsid w:val="00520BB0"/>
    <w:rsid w:val="005212DF"/>
    <w:rsid w:val="00521972"/>
    <w:rsid w:val="005223B4"/>
    <w:rsid w:val="005223DB"/>
    <w:rsid w:val="005223E7"/>
    <w:rsid w:val="005234FF"/>
    <w:rsid w:val="005240BF"/>
    <w:rsid w:val="0052433D"/>
    <w:rsid w:val="00524443"/>
    <w:rsid w:val="00524464"/>
    <w:rsid w:val="00524743"/>
    <w:rsid w:val="005247DE"/>
    <w:rsid w:val="005252C8"/>
    <w:rsid w:val="00525300"/>
    <w:rsid w:val="00525539"/>
    <w:rsid w:val="00525A39"/>
    <w:rsid w:val="00525E15"/>
    <w:rsid w:val="00525FBD"/>
    <w:rsid w:val="00526028"/>
    <w:rsid w:val="00526151"/>
    <w:rsid w:val="0052661F"/>
    <w:rsid w:val="00526944"/>
    <w:rsid w:val="005277F3"/>
    <w:rsid w:val="00527EC1"/>
    <w:rsid w:val="00527F68"/>
    <w:rsid w:val="00527FC1"/>
    <w:rsid w:val="00530267"/>
    <w:rsid w:val="00530BF4"/>
    <w:rsid w:val="00531226"/>
    <w:rsid w:val="00531969"/>
    <w:rsid w:val="00531A13"/>
    <w:rsid w:val="00531B50"/>
    <w:rsid w:val="005322ED"/>
    <w:rsid w:val="005326E2"/>
    <w:rsid w:val="0053280A"/>
    <w:rsid w:val="005329DD"/>
    <w:rsid w:val="005329E7"/>
    <w:rsid w:val="00532F86"/>
    <w:rsid w:val="005333D2"/>
    <w:rsid w:val="00533D38"/>
    <w:rsid w:val="00534AEA"/>
    <w:rsid w:val="00535279"/>
    <w:rsid w:val="00535760"/>
    <w:rsid w:val="00535888"/>
    <w:rsid w:val="00535C25"/>
    <w:rsid w:val="00535CC1"/>
    <w:rsid w:val="00536472"/>
    <w:rsid w:val="005368D3"/>
    <w:rsid w:val="00536D3D"/>
    <w:rsid w:val="00536EF2"/>
    <w:rsid w:val="005378B8"/>
    <w:rsid w:val="00537C69"/>
    <w:rsid w:val="00537DAE"/>
    <w:rsid w:val="005405D5"/>
    <w:rsid w:val="0054076F"/>
    <w:rsid w:val="0054095A"/>
    <w:rsid w:val="00540F97"/>
    <w:rsid w:val="00541279"/>
    <w:rsid w:val="00541593"/>
    <w:rsid w:val="0054207F"/>
    <w:rsid w:val="00542118"/>
    <w:rsid w:val="00542300"/>
    <w:rsid w:val="005424B4"/>
    <w:rsid w:val="00542749"/>
    <w:rsid w:val="00543740"/>
    <w:rsid w:val="00543A21"/>
    <w:rsid w:val="00543E4D"/>
    <w:rsid w:val="00543EDC"/>
    <w:rsid w:val="00543F7C"/>
    <w:rsid w:val="00544029"/>
    <w:rsid w:val="0054411C"/>
    <w:rsid w:val="00544162"/>
    <w:rsid w:val="00544226"/>
    <w:rsid w:val="00544DED"/>
    <w:rsid w:val="00545577"/>
    <w:rsid w:val="00545BCE"/>
    <w:rsid w:val="00546C62"/>
    <w:rsid w:val="0054766F"/>
    <w:rsid w:val="00547931"/>
    <w:rsid w:val="00547A00"/>
    <w:rsid w:val="00547AF5"/>
    <w:rsid w:val="005506D7"/>
    <w:rsid w:val="0055178B"/>
    <w:rsid w:val="00551F1B"/>
    <w:rsid w:val="005528CD"/>
    <w:rsid w:val="00552D61"/>
    <w:rsid w:val="00552EB1"/>
    <w:rsid w:val="005537FB"/>
    <w:rsid w:val="00553B7B"/>
    <w:rsid w:val="00553B85"/>
    <w:rsid w:val="005541E5"/>
    <w:rsid w:val="00554421"/>
    <w:rsid w:val="00554442"/>
    <w:rsid w:val="005546F7"/>
    <w:rsid w:val="00555725"/>
    <w:rsid w:val="0055620C"/>
    <w:rsid w:val="00556345"/>
    <w:rsid w:val="005572C2"/>
    <w:rsid w:val="00557A06"/>
    <w:rsid w:val="00561154"/>
    <w:rsid w:val="0056169E"/>
    <w:rsid w:val="00561703"/>
    <w:rsid w:val="005622E9"/>
    <w:rsid w:val="0056371F"/>
    <w:rsid w:val="00563EC5"/>
    <w:rsid w:val="00564B5D"/>
    <w:rsid w:val="00564D45"/>
    <w:rsid w:val="00565257"/>
    <w:rsid w:val="00565424"/>
    <w:rsid w:val="00565635"/>
    <w:rsid w:val="00565937"/>
    <w:rsid w:val="00565CE8"/>
    <w:rsid w:val="00566813"/>
    <w:rsid w:val="00566B65"/>
    <w:rsid w:val="00567F8B"/>
    <w:rsid w:val="00570115"/>
    <w:rsid w:val="00570446"/>
    <w:rsid w:val="0057048F"/>
    <w:rsid w:val="00570B1B"/>
    <w:rsid w:val="00570BB4"/>
    <w:rsid w:val="00570C51"/>
    <w:rsid w:val="00571202"/>
    <w:rsid w:val="00571AA4"/>
    <w:rsid w:val="00571AEB"/>
    <w:rsid w:val="00571CBB"/>
    <w:rsid w:val="00571E74"/>
    <w:rsid w:val="00571FCF"/>
    <w:rsid w:val="00571FE5"/>
    <w:rsid w:val="00572C66"/>
    <w:rsid w:val="00572CD3"/>
    <w:rsid w:val="00572DA3"/>
    <w:rsid w:val="00572F9E"/>
    <w:rsid w:val="00573791"/>
    <w:rsid w:val="005738C8"/>
    <w:rsid w:val="00573C71"/>
    <w:rsid w:val="00573F2B"/>
    <w:rsid w:val="00574359"/>
    <w:rsid w:val="00574371"/>
    <w:rsid w:val="00574B10"/>
    <w:rsid w:val="00575328"/>
    <w:rsid w:val="005754C6"/>
    <w:rsid w:val="005756B0"/>
    <w:rsid w:val="005768F3"/>
    <w:rsid w:val="00576A2E"/>
    <w:rsid w:val="00576BDF"/>
    <w:rsid w:val="00576FFC"/>
    <w:rsid w:val="00577E14"/>
    <w:rsid w:val="0058082D"/>
    <w:rsid w:val="00580DDB"/>
    <w:rsid w:val="00580E15"/>
    <w:rsid w:val="0058180F"/>
    <w:rsid w:val="00581CD2"/>
    <w:rsid w:val="0058246F"/>
    <w:rsid w:val="005829BA"/>
    <w:rsid w:val="005837D8"/>
    <w:rsid w:val="005841A7"/>
    <w:rsid w:val="005842D7"/>
    <w:rsid w:val="00584410"/>
    <w:rsid w:val="005844E0"/>
    <w:rsid w:val="00584C6E"/>
    <w:rsid w:val="00584D8A"/>
    <w:rsid w:val="00584E02"/>
    <w:rsid w:val="00585390"/>
    <w:rsid w:val="005856E4"/>
    <w:rsid w:val="00585922"/>
    <w:rsid w:val="00585A6D"/>
    <w:rsid w:val="00585C59"/>
    <w:rsid w:val="0058696E"/>
    <w:rsid w:val="00586A68"/>
    <w:rsid w:val="005875B3"/>
    <w:rsid w:val="005876C9"/>
    <w:rsid w:val="005878F0"/>
    <w:rsid w:val="0059002E"/>
    <w:rsid w:val="0059018F"/>
    <w:rsid w:val="00590DB4"/>
    <w:rsid w:val="00590DDA"/>
    <w:rsid w:val="00590E3C"/>
    <w:rsid w:val="0059100F"/>
    <w:rsid w:val="00591312"/>
    <w:rsid w:val="005913B6"/>
    <w:rsid w:val="00591A52"/>
    <w:rsid w:val="00591DB9"/>
    <w:rsid w:val="00591EBB"/>
    <w:rsid w:val="00591F0A"/>
    <w:rsid w:val="005929FD"/>
    <w:rsid w:val="00592A65"/>
    <w:rsid w:val="00593386"/>
    <w:rsid w:val="005939A5"/>
    <w:rsid w:val="00593F2C"/>
    <w:rsid w:val="00593F3E"/>
    <w:rsid w:val="005943A5"/>
    <w:rsid w:val="005944C8"/>
    <w:rsid w:val="00595056"/>
    <w:rsid w:val="005955FF"/>
    <w:rsid w:val="0059621F"/>
    <w:rsid w:val="00596386"/>
    <w:rsid w:val="00596A17"/>
    <w:rsid w:val="00597CA6"/>
    <w:rsid w:val="005A0A10"/>
    <w:rsid w:val="005A1455"/>
    <w:rsid w:val="005A148C"/>
    <w:rsid w:val="005A1978"/>
    <w:rsid w:val="005A1C90"/>
    <w:rsid w:val="005A2130"/>
    <w:rsid w:val="005A2784"/>
    <w:rsid w:val="005A2A6F"/>
    <w:rsid w:val="005A2B0E"/>
    <w:rsid w:val="005A2EDC"/>
    <w:rsid w:val="005A3B65"/>
    <w:rsid w:val="005A43A5"/>
    <w:rsid w:val="005A4458"/>
    <w:rsid w:val="005A470E"/>
    <w:rsid w:val="005A4726"/>
    <w:rsid w:val="005A486B"/>
    <w:rsid w:val="005A4EC0"/>
    <w:rsid w:val="005A554F"/>
    <w:rsid w:val="005A61C5"/>
    <w:rsid w:val="005A6300"/>
    <w:rsid w:val="005A640E"/>
    <w:rsid w:val="005A6899"/>
    <w:rsid w:val="005A6BDF"/>
    <w:rsid w:val="005A78C7"/>
    <w:rsid w:val="005B01C7"/>
    <w:rsid w:val="005B03AF"/>
    <w:rsid w:val="005B0431"/>
    <w:rsid w:val="005B07BA"/>
    <w:rsid w:val="005B0B98"/>
    <w:rsid w:val="005B10D4"/>
    <w:rsid w:val="005B147D"/>
    <w:rsid w:val="005B1E5D"/>
    <w:rsid w:val="005B2CED"/>
    <w:rsid w:val="005B320F"/>
    <w:rsid w:val="005B3AA4"/>
    <w:rsid w:val="005B44F7"/>
    <w:rsid w:val="005B48C2"/>
    <w:rsid w:val="005B49A8"/>
    <w:rsid w:val="005B4B45"/>
    <w:rsid w:val="005B4C13"/>
    <w:rsid w:val="005B4C65"/>
    <w:rsid w:val="005B539A"/>
    <w:rsid w:val="005B58D7"/>
    <w:rsid w:val="005B5E49"/>
    <w:rsid w:val="005B620B"/>
    <w:rsid w:val="005B63B7"/>
    <w:rsid w:val="005B6A0A"/>
    <w:rsid w:val="005B77FB"/>
    <w:rsid w:val="005B7EE2"/>
    <w:rsid w:val="005B7FC3"/>
    <w:rsid w:val="005C01C4"/>
    <w:rsid w:val="005C09D1"/>
    <w:rsid w:val="005C0A21"/>
    <w:rsid w:val="005C1076"/>
    <w:rsid w:val="005C10EE"/>
    <w:rsid w:val="005C1635"/>
    <w:rsid w:val="005C1CCF"/>
    <w:rsid w:val="005C325E"/>
    <w:rsid w:val="005C3384"/>
    <w:rsid w:val="005C3C65"/>
    <w:rsid w:val="005C4550"/>
    <w:rsid w:val="005C468B"/>
    <w:rsid w:val="005C48DB"/>
    <w:rsid w:val="005C4CB9"/>
    <w:rsid w:val="005C4F1D"/>
    <w:rsid w:val="005C4F1E"/>
    <w:rsid w:val="005C5309"/>
    <w:rsid w:val="005C53B5"/>
    <w:rsid w:val="005C53E2"/>
    <w:rsid w:val="005C6321"/>
    <w:rsid w:val="005C6DB7"/>
    <w:rsid w:val="005C74BC"/>
    <w:rsid w:val="005C7554"/>
    <w:rsid w:val="005C7665"/>
    <w:rsid w:val="005C7E06"/>
    <w:rsid w:val="005D06EA"/>
    <w:rsid w:val="005D07DB"/>
    <w:rsid w:val="005D08AD"/>
    <w:rsid w:val="005D08F0"/>
    <w:rsid w:val="005D093F"/>
    <w:rsid w:val="005D1560"/>
    <w:rsid w:val="005D20F8"/>
    <w:rsid w:val="005D2285"/>
    <w:rsid w:val="005D2332"/>
    <w:rsid w:val="005D29ED"/>
    <w:rsid w:val="005D2E9F"/>
    <w:rsid w:val="005D432A"/>
    <w:rsid w:val="005D47F5"/>
    <w:rsid w:val="005D4D3F"/>
    <w:rsid w:val="005D5EED"/>
    <w:rsid w:val="005D604E"/>
    <w:rsid w:val="005D6103"/>
    <w:rsid w:val="005D6606"/>
    <w:rsid w:val="005D67A5"/>
    <w:rsid w:val="005D67C4"/>
    <w:rsid w:val="005D6B26"/>
    <w:rsid w:val="005D6B63"/>
    <w:rsid w:val="005D6C3E"/>
    <w:rsid w:val="005D6EA3"/>
    <w:rsid w:val="005D6F35"/>
    <w:rsid w:val="005D7063"/>
    <w:rsid w:val="005D760A"/>
    <w:rsid w:val="005D77A8"/>
    <w:rsid w:val="005D7CFB"/>
    <w:rsid w:val="005E07B8"/>
    <w:rsid w:val="005E07DA"/>
    <w:rsid w:val="005E083E"/>
    <w:rsid w:val="005E0989"/>
    <w:rsid w:val="005E1575"/>
    <w:rsid w:val="005E23C4"/>
    <w:rsid w:val="005E31BC"/>
    <w:rsid w:val="005E3965"/>
    <w:rsid w:val="005E3A1B"/>
    <w:rsid w:val="005E41B2"/>
    <w:rsid w:val="005E4268"/>
    <w:rsid w:val="005E476B"/>
    <w:rsid w:val="005E5034"/>
    <w:rsid w:val="005E56DA"/>
    <w:rsid w:val="005E58AF"/>
    <w:rsid w:val="005E5B7C"/>
    <w:rsid w:val="005E5CA2"/>
    <w:rsid w:val="005E60CE"/>
    <w:rsid w:val="005E65EA"/>
    <w:rsid w:val="005E6C7C"/>
    <w:rsid w:val="005E7391"/>
    <w:rsid w:val="005E7518"/>
    <w:rsid w:val="005E76A3"/>
    <w:rsid w:val="005E7E6D"/>
    <w:rsid w:val="005F04CB"/>
    <w:rsid w:val="005F0791"/>
    <w:rsid w:val="005F0C5B"/>
    <w:rsid w:val="005F14AD"/>
    <w:rsid w:val="005F1834"/>
    <w:rsid w:val="005F1ECB"/>
    <w:rsid w:val="005F2217"/>
    <w:rsid w:val="005F3881"/>
    <w:rsid w:val="005F3B2F"/>
    <w:rsid w:val="005F43AF"/>
    <w:rsid w:val="005F449C"/>
    <w:rsid w:val="005F474E"/>
    <w:rsid w:val="005F49FC"/>
    <w:rsid w:val="005F4A80"/>
    <w:rsid w:val="005F4F0F"/>
    <w:rsid w:val="005F5277"/>
    <w:rsid w:val="005F567F"/>
    <w:rsid w:val="005F570F"/>
    <w:rsid w:val="005F5738"/>
    <w:rsid w:val="005F5818"/>
    <w:rsid w:val="005F5E7D"/>
    <w:rsid w:val="005F609C"/>
    <w:rsid w:val="005F6F85"/>
    <w:rsid w:val="005F789F"/>
    <w:rsid w:val="005F7A49"/>
    <w:rsid w:val="005F7C20"/>
    <w:rsid w:val="005F7D00"/>
    <w:rsid w:val="00600088"/>
    <w:rsid w:val="00600E8D"/>
    <w:rsid w:val="0060113C"/>
    <w:rsid w:val="006011B8"/>
    <w:rsid w:val="00601506"/>
    <w:rsid w:val="00603506"/>
    <w:rsid w:val="006036B6"/>
    <w:rsid w:val="00603BCF"/>
    <w:rsid w:val="00603C8F"/>
    <w:rsid w:val="00604B00"/>
    <w:rsid w:val="00604EF6"/>
    <w:rsid w:val="0060540B"/>
    <w:rsid w:val="00605D6B"/>
    <w:rsid w:val="0060602C"/>
    <w:rsid w:val="00606C1D"/>
    <w:rsid w:val="00607826"/>
    <w:rsid w:val="006101DB"/>
    <w:rsid w:val="00610474"/>
    <w:rsid w:val="00610B67"/>
    <w:rsid w:val="006114BB"/>
    <w:rsid w:val="006124A0"/>
    <w:rsid w:val="0061275F"/>
    <w:rsid w:val="006128BB"/>
    <w:rsid w:val="00612ECF"/>
    <w:rsid w:val="0061325D"/>
    <w:rsid w:val="00613619"/>
    <w:rsid w:val="00613BBE"/>
    <w:rsid w:val="00613E22"/>
    <w:rsid w:val="00614512"/>
    <w:rsid w:val="0061503D"/>
    <w:rsid w:val="00615138"/>
    <w:rsid w:val="00616339"/>
    <w:rsid w:val="00616DC9"/>
    <w:rsid w:val="00617532"/>
    <w:rsid w:val="00617A11"/>
    <w:rsid w:val="00617E94"/>
    <w:rsid w:val="0062022C"/>
    <w:rsid w:val="00620362"/>
    <w:rsid w:val="006203DE"/>
    <w:rsid w:val="00620511"/>
    <w:rsid w:val="00621517"/>
    <w:rsid w:val="00621937"/>
    <w:rsid w:val="00621A72"/>
    <w:rsid w:val="00621E05"/>
    <w:rsid w:val="00622385"/>
    <w:rsid w:val="006226CF"/>
    <w:rsid w:val="006227FE"/>
    <w:rsid w:val="00622F66"/>
    <w:rsid w:val="006232CA"/>
    <w:rsid w:val="00623A0D"/>
    <w:rsid w:val="00623E85"/>
    <w:rsid w:val="006243A5"/>
    <w:rsid w:val="00624CC4"/>
    <w:rsid w:val="00624D8F"/>
    <w:rsid w:val="006259C6"/>
    <w:rsid w:val="00625F3E"/>
    <w:rsid w:val="00626235"/>
    <w:rsid w:val="0062690F"/>
    <w:rsid w:val="00626F3D"/>
    <w:rsid w:val="006272BF"/>
    <w:rsid w:val="00627C98"/>
    <w:rsid w:val="00627E4B"/>
    <w:rsid w:val="006302E0"/>
    <w:rsid w:val="00630556"/>
    <w:rsid w:val="0063089B"/>
    <w:rsid w:val="00630C42"/>
    <w:rsid w:val="006319B1"/>
    <w:rsid w:val="00631AD4"/>
    <w:rsid w:val="006321D5"/>
    <w:rsid w:val="00632207"/>
    <w:rsid w:val="00632317"/>
    <w:rsid w:val="006324EA"/>
    <w:rsid w:val="0063297E"/>
    <w:rsid w:val="00632D74"/>
    <w:rsid w:val="00633566"/>
    <w:rsid w:val="00633615"/>
    <w:rsid w:val="00633652"/>
    <w:rsid w:val="0063366E"/>
    <w:rsid w:val="006341D0"/>
    <w:rsid w:val="0063491C"/>
    <w:rsid w:val="00634A49"/>
    <w:rsid w:val="00634C68"/>
    <w:rsid w:val="006362C7"/>
    <w:rsid w:val="00636CDD"/>
    <w:rsid w:val="006373A0"/>
    <w:rsid w:val="00637B33"/>
    <w:rsid w:val="00637E39"/>
    <w:rsid w:val="0064024B"/>
    <w:rsid w:val="00640662"/>
    <w:rsid w:val="00640792"/>
    <w:rsid w:val="00640929"/>
    <w:rsid w:val="00640BBA"/>
    <w:rsid w:val="00640CDB"/>
    <w:rsid w:val="00640D73"/>
    <w:rsid w:val="006414A7"/>
    <w:rsid w:val="006417C0"/>
    <w:rsid w:val="00641DB9"/>
    <w:rsid w:val="00642ED2"/>
    <w:rsid w:val="00642FA5"/>
    <w:rsid w:val="0064316A"/>
    <w:rsid w:val="006434F7"/>
    <w:rsid w:val="006435E6"/>
    <w:rsid w:val="006436E7"/>
    <w:rsid w:val="006437D4"/>
    <w:rsid w:val="00643A2D"/>
    <w:rsid w:val="00643C9D"/>
    <w:rsid w:val="00644191"/>
    <w:rsid w:val="006441DA"/>
    <w:rsid w:val="006443FD"/>
    <w:rsid w:val="0064460D"/>
    <w:rsid w:val="006455A1"/>
    <w:rsid w:val="006456D3"/>
    <w:rsid w:val="006459D7"/>
    <w:rsid w:val="00646259"/>
    <w:rsid w:val="006464B8"/>
    <w:rsid w:val="006469C0"/>
    <w:rsid w:val="00647015"/>
    <w:rsid w:val="006478C8"/>
    <w:rsid w:val="00650439"/>
    <w:rsid w:val="00650820"/>
    <w:rsid w:val="006509FB"/>
    <w:rsid w:val="00651170"/>
    <w:rsid w:val="0065172D"/>
    <w:rsid w:val="00652B31"/>
    <w:rsid w:val="00652D51"/>
    <w:rsid w:val="00653AAB"/>
    <w:rsid w:val="006545FA"/>
    <w:rsid w:val="00654CFF"/>
    <w:rsid w:val="0065525A"/>
    <w:rsid w:val="0065559F"/>
    <w:rsid w:val="00655E85"/>
    <w:rsid w:val="006565AE"/>
    <w:rsid w:val="0065675C"/>
    <w:rsid w:val="00656818"/>
    <w:rsid w:val="00656B00"/>
    <w:rsid w:val="00656B93"/>
    <w:rsid w:val="00657591"/>
    <w:rsid w:val="00657E80"/>
    <w:rsid w:val="0066041D"/>
    <w:rsid w:val="0066044B"/>
    <w:rsid w:val="00660676"/>
    <w:rsid w:val="0066067C"/>
    <w:rsid w:val="0066093D"/>
    <w:rsid w:val="006610DF"/>
    <w:rsid w:val="00661C08"/>
    <w:rsid w:val="00661C6C"/>
    <w:rsid w:val="00662475"/>
    <w:rsid w:val="006629B4"/>
    <w:rsid w:val="00662D58"/>
    <w:rsid w:val="00662F2E"/>
    <w:rsid w:val="0066315C"/>
    <w:rsid w:val="00663568"/>
    <w:rsid w:val="006635D7"/>
    <w:rsid w:val="00664413"/>
    <w:rsid w:val="006649C0"/>
    <w:rsid w:val="0066521A"/>
    <w:rsid w:val="00665BA4"/>
    <w:rsid w:val="00666474"/>
    <w:rsid w:val="006664FB"/>
    <w:rsid w:val="006668C8"/>
    <w:rsid w:val="00666DF4"/>
    <w:rsid w:val="0066725A"/>
    <w:rsid w:val="006675DD"/>
    <w:rsid w:val="00667E54"/>
    <w:rsid w:val="006700C1"/>
    <w:rsid w:val="0067049D"/>
    <w:rsid w:val="006709C2"/>
    <w:rsid w:val="00670DA5"/>
    <w:rsid w:val="006712F5"/>
    <w:rsid w:val="006715F1"/>
    <w:rsid w:val="0067181A"/>
    <w:rsid w:val="0067192A"/>
    <w:rsid w:val="0067235D"/>
    <w:rsid w:val="00672815"/>
    <w:rsid w:val="00673425"/>
    <w:rsid w:val="00673A5D"/>
    <w:rsid w:val="00673CD9"/>
    <w:rsid w:val="00674733"/>
    <w:rsid w:val="00674746"/>
    <w:rsid w:val="00674D3C"/>
    <w:rsid w:val="0067504D"/>
    <w:rsid w:val="00675859"/>
    <w:rsid w:val="00675BBE"/>
    <w:rsid w:val="00675FAF"/>
    <w:rsid w:val="006761B2"/>
    <w:rsid w:val="00676727"/>
    <w:rsid w:val="00676D8C"/>
    <w:rsid w:val="00677249"/>
    <w:rsid w:val="006773A8"/>
    <w:rsid w:val="0067753C"/>
    <w:rsid w:val="00680082"/>
    <w:rsid w:val="006800AA"/>
    <w:rsid w:val="00680192"/>
    <w:rsid w:val="00680219"/>
    <w:rsid w:val="00681854"/>
    <w:rsid w:val="00681F3B"/>
    <w:rsid w:val="0068202C"/>
    <w:rsid w:val="006820BD"/>
    <w:rsid w:val="00682991"/>
    <w:rsid w:val="006837C2"/>
    <w:rsid w:val="00683913"/>
    <w:rsid w:val="0068405A"/>
    <w:rsid w:val="00684B3F"/>
    <w:rsid w:val="006853A1"/>
    <w:rsid w:val="006856EB"/>
    <w:rsid w:val="00685C54"/>
    <w:rsid w:val="00685F78"/>
    <w:rsid w:val="006862DF"/>
    <w:rsid w:val="00686457"/>
    <w:rsid w:val="00686586"/>
    <w:rsid w:val="00686650"/>
    <w:rsid w:val="00686B7F"/>
    <w:rsid w:val="00686E89"/>
    <w:rsid w:val="00687665"/>
    <w:rsid w:val="006878B8"/>
    <w:rsid w:val="00687CA0"/>
    <w:rsid w:val="006900E9"/>
    <w:rsid w:val="0069079C"/>
    <w:rsid w:val="0069160C"/>
    <w:rsid w:val="0069172E"/>
    <w:rsid w:val="006919DB"/>
    <w:rsid w:val="00691C93"/>
    <w:rsid w:val="0069225B"/>
    <w:rsid w:val="00692886"/>
    <w:rsid w:val="0069335F"/>
    <w:rsid w:val="00693698"/>
    <w:rsid w:val="00693A31"/>
    <w:rsid w:val="006944AC"/>
    <w:rsid w:val="006948F9"/>
    <w:rsid w:val="006952C8"/>
    <w:rsid w:val="00695402"/>
    <w:rsid w:val="006956BA"/>
    <w:rsid w:val="00695ED7"/>
    <w:rsid w:val="00695F0D"/>
    <w:rsid w:val="00696363"/>
    <w:rsid w:val="00696942"/>
    <w:rsid w:val="00696C47"/>
    <w:rsid w:val="006978BB"/>
    <w:rsid w:val="00697E69"/>
    <w:rsid w:val="006A09D6"/>
    <w:rsid w:val="006A2916"/>
    <w:rsid w:val="006A2B3A"/>
    <w:rsid w:val="006A2C76"/>
    <w:rsid w:val="006A3158"/>
    <w:rsid w:val="006A34D2"/>
    <w:rsid w:val="006A3C44"/>
    <w:rsid w:val="006A3C96"/>
    <w:rsid w:val="006A3D97"/>
    <w:rsid w:val="006A400A"/>
    <w:rsid w:val="006A440B"/>
    <w:rsid w:val="006A4599"/>
    <w:rsid w:val="006A4C3F"/>
    <w:rsid w:val="006A590D"/>
    <w:rsid w:val="006A5948"/>
    <w:rsid w:val="006A5C22"/>
    <w:rsid w:val="006A6283"/>
    <w:rsid w:val="006A67DD"/>
    <w:rsid w:val="006A69A9"/>
    <w:rsid w:val="006A69D9"/>
    <w:rsid w:val="006A6A88"/>
    <w:rsid w:val="006A6D30"/>
    <w:rsid w:val="006A713F"/>
    <w:rsid w:val="006A74BD"/>
    <w:rsid w:val="006B01E3"/>
    <w:rsid w:val="006B0465"/>
    <w:rsid w:val="006B05A7"/>
    <w:rsid w:val="006B09AC"/>
    <w:rsid w:val="006B0B93"/>
    <w:rsid w:val="006B1328"/>
    <w:rsid w:val="006B1A0E"/>
    <w:rsid w:val="006B248F"/>
    <w:rsid w:val="006B26A5"/>
    <w:rsid w:val="006B2D77"/>
    <w:rsid w:val="006B2DC5"/>
    <w:rsid w:val="006B30A3"/>
    <w:rsid w:val="006B3120"/>
    <w:rsid w:val="006B3B99"/>
    <w:rsid w:val="006B403B"/>
    <w:rsid w:val="006B48EF"/>
    <w:rsid w:val="006B497E"/>
    <w:rsid w:val="006B4992"/>
    <w:rsid w:val="006B4AB8"/>
    <w:rsid w:val="006B529B"/>
    <w:rsid w:val="006B5359"/>
    <w:rsid w:val="006B5C99"/>
    <w:rsid w:val="006B5F89"/>
    <w:rsid w:val="006B6107"/>
    <w:rsid w:val="006B6941"/>
    <w:rsid w:val="006B6984"/>
    <w:rsid w:val="006B7318"/>
    <w:rsid w:val="006B7993"/>
    <w:rsid w:val="006C0BBA"/>
    <w:rsid w:val="006C15E9"/>
    <w:rsid w:val="006C1715"/>
    <w:rsid w:val="006C1984"/>
    <w:rsid w:val="006C1F0F"/>
    <w:rsid w:val="006C2476"/>
    <w:rsid w:val="006C2E25"/>
    <w:rsid w:val="006C37E3"/>
    <w:rsid w:val="006C3C0D"/>
    <w:rsid w:val="006C411F"/>
    <w:rsid w:val="006C431B"/>
    <w:rsid w:val="006C4406"/>
    <w:rsid w:val="006C4502"/>
    <w:rsid w:val="006C4A07"/>
    <w:rsid w:val="006C51EF"/>
    <w:rsid w:val="006C5329"/>
    <w:rsid w:val="006C5FC0"/>
    <w:rsid w:val="006C630D"/>
    <w:rsid w:val="006C7AA0"/>
    <w:rsid w:val="006C7BE3"/>
    <w:rsid w:val="006C7CAF"/>
    <w:rsid w:val="006C7CF5"/>
    <w:rsid w:val="006D0271"/>
    <w:rsid w:val="006D0701"/>
    <w:rsid w:val="006D07A6"/>
    <w:rsid w:val="006D091B"/>
    <w:rsid w:val="006D0940"/>
    <w:rsid w:val="006D094E"/>
    <w:rsid w:val="006D0E71"/>
    <w:rsid w:val="006D137E"/>
    <w:rsid w:val="006D32CC"/>
    <w:rsid w:val="006D36EE"/>
    <w:rsid w:val="006D459C"/>
    <w:rsid w:val="006D45E2"/>
    <w:rsid w:val="006D48B4"/>
    <w:rsid w:val="006D49F0"/>
    <w:rsid w:val="006D4A0A"/>
    <w:rsid w:val="006D4C9F"/>
    <w:rsid w:val="006D4F46"/>
    <w:rsid w:val="006D559A"/>
    <w:rsid w:val="006D5ADC"/>
    <w:rsid w:val="006D5FB3"/>
    <w:rsid w:val="006D6124"/>
    <w:rsid w:val="006D61B9"/>
    <w:rsid w:val="006D6EFF"/>
    <w:rsid w:val="006D7041"/>
    <w:rsid w:val="006D70C3"/>
    <w:rsid w:val="006D70CF"/>
    <w:rsid w:val="006D757B"/>
    <w:rsid w:val="006E066C"/>
    <w:rsid w:val="006E0D69"/>
    <w:rsid w:val="006E0E3E"/>
    <w:rsid w:val="006E0F3A"/>
    <w:rsid w:val="006E104A"/>
    <w:rsid w:val="006E252C"/>
    <w:rsid w:val="006E2E14"/>
    <w:rsid w:val="006E2EDF"/>
    <w:rsid w:val="006E35CE"/>
    <w:rsid w:val="006E3705"/>
    <w:rsid w:val="006E3B45"/>
    <w:rsid w:val="006E3FA1"/>
    <w:rsid w:val="006E4254"/>
    <w:rsid w:val="006E4443"/>
    <w:rsid w:val="006E49F1"/>
    <w:rsid w:val="006E5D71"/>
    <w:rsid w:val="006E5E28"/>
    <w:rsid w:val="006E613C"/>
    <w:rsid w:val="006E6207"/>
    <w:rsid w:val="006E63C2"/>
    <w:rsid w:val="006E6574"/>
    <w:rsid w:val="006E662F"/>
    <w:rsid w:val="006E6A27"/>
    <w:rsid w:val="006E7761"/>
    <w:rsid w:val="006E7ABB"/>
    <w:rsid w:val="006E9A9A"/>
    <w:rsid w:val="006F0C59"/>
    <w:rsid w:val="006F0F45"/>
    <w:rsid w:val="006F1240"/>
    <w:rsid w:val="006F1923"/>
    <w:rsid w:val="006F224F"/>
    <w:rsid w:val="006F2D60"/>
    <w:rsid w:val="006F331F"/>
    <w:rsid w:val="006F3471"/>
    <w:rsid w:val="006F37BD"/>
    <w:rsid w:val="006F3ADA"/>
    <w:rsid w:val="006F3DE5"/>
    <w:rsid w:val="006F3DEC"/>
    <w:rsid w:val="006F3DF2"/>
    <w:rsid w:val="006F400C"/>
    <w:rsid w:val="006F4171"/>
    <w:rsid w:val="006F451D"/>
    <w:rsid w:val="006F54BD"/>
    <w:rsid w:val="006F59A8"/>
    <w:rsid w:val="006F6519"/>
    <w:rsid w:val="006F6543"/>
    <w:rsid w:val="006F67EE"/>
    <w:rsid w:val="006F6B1B"/>
    <w:rsid w:val="006F6BAE"/>
    <w:rsid w:val="006F71E7"/>
    <w:rsid w:val="006F73E4"/>
    <w:rsid w:val="006F75C1"/>
    <w:rsid w:val="006F7930"/>
    <w:rsid w:val="006F7A94"/>
    <w:rsid w:val="006F7C13"/>
    <w:rsid w:val="006F7D7D"/>
    <w:rsid w:val="0070069C"/>
    <w:rsid w:val="00700C2F"/>
    <w:rsid w:val="00701114"/>
    <w:rsid w:val="007018A0"/>
    <w:rsid w:val="0070291A"/>
    <w:rsid w:val="00702934"/>
    <w:rsid w:val="00703279"/>
    <w:rsid w:val="007033EB"/>
    <w:rsid w:val="00704181"/>
    <w:rsid w:val="007041F1"/>
    <w:rsid w:val="00704324"/>
    <w:rsid w:val="00704864"/>
    <w:rsid w:val="007048D3"/>
    <w:rsid w:val="00704EC6"/>
    <w:rsid w:val="00705100"/>
    <w:rsid w:val="007053C8"/>
    <w:rsid w:val="00705742"/>
    <w:rsid w:val="00705A2F"/>
    <w:rsid w:val="00705B2D"/>
    <w:rsid w:val="00706388"/>
    <w:rsid w:val="00706B17"/>
    <w:rsid w:val="00706EA3"/>
    <w:rsid w:val="0071051B"/>
    <w:rsid w:val="00710A30"/>
    <w:rsid w:val="00711093"/>
    <w:rsid w:val="00711292"/>
    <w:rsid w:val="007116C3"/>
    <w:rsid w:val="00711AFF"/>
    <w:rsid w:val="00711C9A"/>
    <w:rsid w:val="00711CA7"/>
    <w:rsid w:val="00712192"/>
    <w:rsid w:val="007122A0"/>
    <w:rsid w:val="0071265B"/>
    <w:rsid w:val="0071275D"/>
    <w:rsid w:val="00712BBE"/>
    <w:rsid w:val="00712D2E"/>
    <w:rsid w:val="00713C56"/>
    <w:rsid w:val="007143A7"/>
    <w:rsid w:val="007148A5"/>
    <w:rsid w:val="00714989"/>
    <w:rsid w:val="00714CF2"/>
    <w:rsid w:val="0071545D"/>
    <w:rsid w:val="007156B9"/>
    <w:rsid w:val="007162A7"/>
    <w:rsid w:val="00716368"/>
    <w:rsid w:val="007163F3"/>
    <w:rsid w:val="00716553"/>
    <w:rsid w:val="00716610"/>
    <w:rsid w:val="007168E2"/>
    <w:rsid w:val="00716CA3"/>
    <w:rsid w:val="00720646"/>
    <w:rsid w:val="00720817"/>
    <w:rsid w:val="007208AE"/>
    <w:rsid w:val="007216BA"/>
    <w:rsid w:val="00721D4F"/>
    <w:rsid w:val="00721D98"/>
    <w:rsid w:val="00721E37"/>
    <w:rsid w:val="00722625"/>
    <w:rsid w:val="0072270C"/>
    <w:rsid w:val="00722850"/>
    <w:rsid w:val="00723A94"/>
    <w:rsid w:val="00723D56"/>
    <w:rsid w:val="00723D6C"/>
    <w:rsid w:val="00724A5C"/>
    <w:rsid w:val="00724C8C"/>
    <w:rsid w:val="00724F2C"/>
    <w:rsid w:val="0072569E"/>
    <w:rsid w:val="007258AD"/>
    <w:rsid w:val="00725A92"/>
    <w:rsid w:val="00725BC0"/>
    <w:rsid w:val="00725F16"/>
    <w:rsid w:val="00726306"/>
    <w:rsid w:val="007270C6"/>
    <w:rsid w:val="0072788E"/>
    <w:rsid w:val="007278C7"/>
    <w:rsid w:val="00727BD1"/>
    <w:rsid w:val="00730269"/>
    <w:rsid w:val="00730C96"/>
    <w:rsid w:val="007311AF"/>
    <w:rsid w:val="00731C47"/>
    <w:rsid w:val="00731FAD"/>
    <w:rsid w:val="007327CF"/>
    <w:rsid w:val="00732A1F"/>
    <w:rsid w:val="00732D13"/>
    <w:rsid w:val="00732FA6"/>
    <w:rsid w:val="007332A9"/>
    <w:rsid w:val="007334EA"/>
    <w:rsid w:val="0073353F"/>
    <w:rsid w:val="00733912"/>
    <w:rsid w:val="00734BD3"/>
    <w:rsid w:val="00734C54"/>
    <w:rsid w:val="00734F98"/>
    <w:rsid w:val="007350FB"/>
    <w:rsid w:val="00735197"/>
    <w:rsid w:val="007351C9"/>
    <w:rsid w:val="007356FE"/>
    <w:rsid w:val="0073587D"/>
    <w:rsid w:val="00735C02"/>
    <w:rsid w:val="007360BD"/>
    <w:rsid w:val="00736152"/>
    <w:rsid w:val="00736465"/>
    <w:rsid w:val="0073674D"/>
    <w:rsid w:val="00736839"/>
    <w:rsid w:val="00737025"/>
    <w:rsid w:val="00737742"/>
    <w:rsid w:val="00737929"/>
    <w:rsid w:val="007379DF"/>
    <w:rsid w:val="00737CA5"/>
    <w:rsid w:val="00737DB0"/>
    <w:rsid w:val="00737FD0"/>
    <w:rsid w:val="007404BF"/>
    <w:rsid w:val="007408FA"/>
    <w:rsid w:val="007409EF"/>
    <w:rsid w:val="0074115E"/>
    <w:rsid w:val="007411CE"/>
    <w:rsid w:val="007415F2"/>
    <w:rsid w:val="007416D7"/>
    <w:rsid w:val="00741E89"/>
    <w:rsid w:val="007422B1"/>
    <w:rsid w:val="0074241C"/>
    <w:rsid w:val="007425FE"/>
    <w:rsid w:val="0074288E"/>
    <w:rsid w:val="00742E45"/>
    <w:rsid w:val="0074326B"/>
    <w:rsid w:val="00743973"/>
    <w:rsid w:val="00743B25"/>
    <w:rsid w:val="00743BC2"/>
    <w:rsid w:val="007447AF"/>
    <w:rsid w:val="007456A6"/>
    <w:rsid w:val="00745C41"/>
    <w:rsid w:val="00746E84"/>
    <w:rsid w:val="00747137"/>
    <w:rsid w:val="00747697"/>
    <w:rsid w:val="00747E78"/>
    <w:rsid w:val="00747E9D"/>
    <w:rsid w:val="0075048D"/>
    <w:rsid w:val="00750816"/>
    <w:rsid w:val="00750ADA"/>
    <w:rsid w:val="00750F52"/>
    <w:rsid w:val="00751195"/>
    <w:rsid w:val="0075125B"/>
    <w:rsid w:val="007515BB"/>
    <w:rsid w:val="007517CB"/>
    <w:rsid w:val="007518B3"/>
    <w:rsid w:val="00751B1A"/>
    <w:rsid w:val="00751D98"/>
    <w:rsid w:val="00752071"/>
    <w:rsid w:val="0075216A"/>
    <w:rsid w:val="007523ED"/>
    <w:rsid w:val="00752645"/>
    <w:rsid w:val="007531AA"/>
    <w:rsid w:val="0075383C"/>
    <w:rsid w:val="00754808"/>
    <w:rsid w:val="00754C89"/>
    <w:rsid w:val="007558A8"/>
    <w:rsid w:val="007558C1"/>
    <w:rsid w:val="00755B96"/>
    <w:rsid w:val="00755C48"/>
    <w:rsid w:val="00756495"/>
    <w:rsid w:val="007564F3"/>
    <w:rsid w:val="00757261"/>
    <w:rsid w:val="007574ED"/>
    <w:rsid w:val="0075766C"/>
    <w:rsid w:val="00757DF7"/>
    <w:rsid w:val="00757E97"/>
    <w:rsid w:val="007606AC"/>
    <w:rsid w:val="007608EA"/>
    <w:rsid w:val="007609BA"/>
    <w:rsid w:val="00760F05"/>
    <w:rsid w:val="0076147B"/>
    <w:rsid w:val="00761A61"/>
    <w:rsid w:val="00761DD7"/>
    <w:rsid w:val="00761F41"/>
    <w:rsid w:val="0076206C"/>
    <w:rsid w:val="007626BF"/>
    <w:rsid w:val="007627C4"/>
    <w:rsid w:val="007631D5"/>
    <w:rsid w:val="007631FB"/>
    <w:rsid w:val="007636BA"/>
    <w:rsid w:val="00763BFA"/>
    <w:rsid w:val="00764035"/>
    <w:rsid w:val="00764683"/>
    <w:rsid w:val="007648E0"/>
    <w:rsid w:val="007648F7"/>
    <w:rsid w:val="00765070"/>
    <w:rsid w:val="00765244"/>
    <w:rsid w:val="007657C1"/>
    <w:rsid w:val="00765E02"/>
    <w:rsid w:val="00765F95"/>
    <w:rsid w:val="0076618F"/>
    <w:rsid w:val="0076626F"/>
    <w:rsid w:val="00766BEC"/>
    <w:rsid w:val="00766CDA"/>
    <w:rsid w:val="00766D45"/>
    <w:rsid w:val="0076733B"/>
    <w:rsid w:val="007674C4"/>
    <w:rsid w:val="0076757D"/>
    <w:rsid w:val="00767779"/>
    <w:rsid w:val="00767B71"/>
    <w:rsid w:val="00767CCA"/>
    <w:rsid w:val="00767E7B"/>
    <w:rsid w:val="00767FCE"/>
    <w:rsid w:val="0077017C"/>
    <w:rsid w:val="00770279"/>
    <w:rsid w:val="00770B00"/>
    <w:rsid w:val="00770E27"/>
    <w:rsid w:val="0077118E"/>
    <w:rsid w:val="00771320"/>
    <w:rsid w:val="00771621"/>
    <w:rsid w:val="0077185F"/>
    <w:rsid w:val="007718F6"/>
    <w:rsid w:val="00771AAE"/>
    <w:rsid w:val="0077212A"/>
    <w:rsid w:val="00773219"/>
    <w:rsid w:val="00773EB2"/>
    <w:rsid w:val="007743F5"/>
    <w:rsid w:val="0077451C"/>
    <w:rsid w:val="0077475A"/>
    <w:rsid w:val="00774768"/>
    <w:rsid w:val="007749CF"/>
    <w:rsid w:val="0077509C"/>
    <w:rsid w:val="0077528B"/>
    <w:rsid w:val="00775CE5"/>
    <w:rsid w:val="0077601F"/>
    <w:rsid w:val="007761AF"/>
    <w:rsid w:val="00776239"/>
    <w:rsid w:val="007769CD"/>
    <w:rsid w:val="00776E12"/>
    <w:rsid w:val="00777573"/>
    <w:rsid w:val="00777982"/>
    <w:rsid w:val="00777CA3"/>
    <w:rsid w:val="00780454"/>
    <w:rsid w:val="00780562"/>
    <w:rsid w:val="00780E48"/>
    <w:rsid w:val="0078118A"/>
    <w:rsid w:val="0078237B"/>
    <w:rsid w:val="0078289D"/>
    <w:rsid w:val="00782F03"/>
    <w:rsid w:val="00782F20"/>
    <w:rsid w:val="00783722"/>
    <w:rsid w:val="0078426D"/>
    <w:rsid w:val="00784350"/>
    <w:rsid w:val="00785566"/>
    <w:rsid w:val="007855EF"/>
    <w:rsid w:val="007858D7"/>
    <w:rsid w:val="00787BE1"/>
    <w:rsid w:val="00787C89"/>
    <w:rsid w:val="00790506"/>
    <w:rsid w:val="00790681"/>
    <w:rsid w:val="00791519"/>
    <w:rsid w:val="007919AE"/>
    <w:rsid w:val="00791F09"/>
    <w:rsid w:val="007922C0"/>
    <w:rsid w:val="0079274A"/>
    <w:rsid w:val="00792AF8"/>
    <w:rsid w:val="00792EAB"/>
    <w:rsid w:val="00792EB5"/>
    <w:rsid w:val="00793256"/>
    <w:rsid w:val="00793915"/>
    <w:rsid w:val="00793D95"/>
    <w:rsid w:val="00794D7B"/>
    <w:rsid w:val="00795110"/>
    <w:rsid w:val="00795B46"/>
    <w:rsid w:val="00796137"/>
    <w:rsid w:val="007962B6"/>
    <w:rsid w:val="007963C5"/>
    <w:rsid w:val="007A0873"/>
    <w:rsid w:val="007A0D70"/>
    <w:rsid w:val="007A1197"/>
    <w:rsid w:val="007A139F"/>
    <w:rsid w:val="007A1B98"/>
    <w:rsid w:val="007A1C6E"/>
    <w:rsid w:val="007A1EBC"/>
    <w:rsid w:val="007A2267"/>
    <w:rsid w:val="007A2420"/>
    <w:rsid w:val="007A268D"/>
    <w:rsid w:val="007A2CE7"/>
    <w:rsid w:val="007A3312"/>
    <w:rsid w:val="007A3D96"/>
    <w:rsid w:val="007A3DA9"/>
    <w:rsid w:val="007A406D"/>
    <w:rsid w:val="007A4881"/>
    <w:rsid w:val="007A4A36"/>
    <w:rsid w:val="007A4A4D"/>
    <w:rsid w:val="007A4E69"/>
    <w:rsid w:val="007A4E87"/>
    <w:rsid w:val="007A5050"/>
    <w:rsid w:val="007A534A"/>
    <w:rsid w:val="007A5424"/>
    <w:rsid w:val="007A5985"/>
    <w:rsid w:val="007A5C19"/>
    <w:rsid w:val="007A5DE9"/>
    <w:rsid w:val="007A5EB9"/>
    <w:rsid w:val="007A5F6E"/>
    <w:rsid w:val="007A62B0"/>
    <w:rsid w:val="007A6575"/>
    <w:rsid w:val="007A6B5E"/>
    <w:rsid w:val="007A750A"/>
    <w:rsid w:val="007A7C34"/>
    <w:rsid w:val="007B007D"/>
    <w:rsid w:val="007B015E"/>
    <w:rsid w:val="007B04F3"/>
    <w:rsid w:val="007B0556"/>
    <w:rsid w:val="007B0718"/>
    <w:rsid w:val="007B172D"/>
    <w:rsid w:val="007B198C"/>
    <w:rsid w:val="007B1FC3"/>
    <w:rsid w:val="007B2060"/>
    <w:rsid w:val="007B269A"/>
    <w:rsid w:val="007B3573"/>
    <w:rsid w:val="007B3D5B"/>
    <w:rsid w:val="007B3FC3"/>
    <w:rsid w:val="007B418B"/>
    <w:rsid w:val="007B42C1"/>
    <w:rsid w:val="007B4353"/>
    <w:rsid w:val="007B4506"/>
    <w:rsid w:val="007B557F"/>
    <w:rsid w:val="007B56ED"/>
    <w:rsid w:val="007B597C"/>
    <w:rsid w:val="007B61A1"/>
    <w:rsid w:val="007B65C6"/>
    <w:rsid w:val="007B6A35"/>
    <w:rsid w:val="007B7380"/>
    <w:rsid w:val="007B7A47"/>
    <w:rsid w:val="007B7D8F"/>
    <w:rsid w:val="007B7E59"/>
    <w:rsid w:val="007C0357"/>
    <w:rsid w:val="007C03AF"/>
    <w:rsid w:val="007C0939"/>
    <w:rsid w:val="007C14AC"/>
    <w:rsid w:val="007C14F7"/>
    <w:rsid w:val="007C2062"/>
    <w:rsid w:val="007C2C11"/>
    <w:rsid w:val="007C2F3B"/>
    <w:rsid w:val="007C2FEA"/>
    <w:rsid w:val="007C32ED"/>
    <w:rsid w:val="007C3C62"/>
    <w:rsid w:val="007C4536"/>
    <w:rsid w:val="007C53B0"/>
    <w:rsid w:val="007C55B1"/>
    <w:rsid w:val="007C5A0C"/>
    <w:rsid w:val="007C5FD2"/>
    <w:rsid w:val="007C603A"/>
    <w:rsid w:val="007C6376"/>
    <w:rsid w:val="007C723D"/>
    <w:rsid w:val="007C7AD9"/>
    <w:rsid w:val="007C7E28"/>
    <w:rsid w:val="007D0101"/>
    <w:rsid w:val="007D054B"/>
    <w:rsid w:val="007D0637"/>
    <w:rsid w:val="007D0859"/>
    <w:rsid w:val="007D0942"/>
    <w:rsid w:val="007D0ADE"/>
    <w:rsid w:val="007D1179"/>
    <w:rsid w:val="007D11C6"/>
    <w:rsid w:val="007D1AC3"/>
    <w:rsid w:val="007D1D39"/>
    <w:rsid w:val="007D2134"/>
    <w:rsid w:val="007D2824"/>
    <w:rsid w:val="007D2856"/>
    <w:rsid w:val="007D28B6"/>
    <w:rsid w:val="007D3114"/>
    <w:rsid w:val="007D3496"/>
    <w:rsid w:val="007D3C98"/>
    <w:rsid w:val="007D3CF6"/>
    <w:rsid w:val="007D3D44"/>
    <w:rsid w:val="007D424B"/>
    <w:rsid w:val="007D4E97"/>
    <w:rsid w:val="007D4EA3"/>
    <w:rsid w:val="007D548C"/>
    <w:rsid w:val="007D5552"/>
    <w:rsid w:val="007D5871"/>
    <w:rsid w:val="007D58C6"/>
    <w:rsid w:val="007D5F1B"/>
    <w:rsid w:val="007D6243"/>
    <w:rsid w:val="007D6ABF"/>
    <w:rsid w:val="007D6F77"/>
    <w:rsid w:val="007D76B4"/>
    <w:rsid w:val="007D78F3"/>
    <w:rsid w:val="007D78FF"/>
    <w:rsid w:val="007D7C1D"/>
    <w:rsid w:val="007D7CF3"/>
    <w:rsid w:val="007E00F0"/>
    <w:rsid w:val="007E073E"/>
    <w:rsid w:val="007E0AE3"/>
    <w:rsid w:val="007E0BF9"/>
    <w:rsid w:val="007E0DC0"/>
    <w:rsid w:val="007E0DEA"/>
    <w:rsid w:val="007E0E6D"/>
    <w:rsid w:val="007E0FEE"/>
    <w:rsid w:val="007E11C6"/>
    <w:rsid w:val="007E11DB"/>
    <w:rsid w:val="007E211E"/>
    <w:rsid w:val="007E2AAD"/>
    <w:rsid w:val="007E2AD5"/>
    <w:rsid w:val="007E2C34"/>
    <w:rsid w:val="007E3B79"/>
    <w:rsid w:val="007E40FB"/>
    <w:rsid w:val="007E437B"/>
    <w:rsid w:val="007E4397"/>
    <w:rsid w:val="007E54D7"/>
    <w:rsid w:val="007E5936"/>
    <w:rsid w:val="007E5AF2"/>
    <w:rsid w:val="007E606A"/>
    <w:rsid w:val="007E63C1"/>
    <w:rsid w:val="007E6601"/>
    <w:rsid w:val="007E6A1C"/>
    <w:rsid w:val="007E754D"/>
    <w:rsid w:val="007E7812"/>
    <w:rsid w:val="007F0566"/>
    <w:rsid w:val="007F0B8A"/>
    <w:rsid w:val="007F0F53"/>
    <w:rsid w:val="007F1216"/>
    <w:rsid w:val="007F1867"/>
    <w:rsid w:val="007F1978"/>
    <w:rsid w:val="007F1A1C"/>
    <w:rsid w:val="007F1B9C"/>
    <w:rsid w:val="007F1DBE"/>
    <w:rsid w:val="007F1EC8"/>
    <w:rsid w:val="007F1FCC"/>
    <w:rsid w:val="007F2017"/>
    <w:rsid w:val="007F20F0"/>
    <w:rsid w:val="007F225D"/>
    <w:rsid w:val="007F35BE"/>
    <w:rsid w:val="007F36AC"/>
    <w:rsid w:val="007F398E"/>
    <w:rsid w:val="007F3AEB"/>
    <w:rsid w:val="007F3B8A"/>
    <w:rsid w:val="007F511F"/>
    <w:rsid w:val="007F6E8A"/>
    <w:rsid w:val="007F746B"/>
    <w:rsid w:val="007F7542"/>
    <w:rsid w:val="007F7734"/>
    <w:rsid w:val="007F774F"/>
    <w:rsid w:val="007F7752"/>
    <w:rsid w:val="00800112"/>
    <w:rsid w:val="0080036C"/>
    <w:rsid w:val="008003C1"/>
    <w:rsid w:val="008006D2"/>
    <w:rsid w:val="008008C3"/>
    <w:rsid w:val="00800936"/>
    <w:rsid w:val="00800C43"/>
    <w:rsid w:val="00800C87"/>
    <w:rsid w:val="00800E5C"/>
    <w:rsid w:val="00801359"/>
    <w:rsid w:val="008016A6"/>
    <w:rsid w:val="008019ED"/>
    <w:rsid w:val="00801AE5"/>
    <w:rsid w:val="00802227"/>
    <w:rsid w:val="00802A8A"/>
    <w:rsid w:val="00802C8F"/>
    <w:rsid w:val="008034F7"/>
    <w:rsid w:val="00803925"/>
    <w:rsid w:val="00803992"/>
    <w:rsid w:val="00803BE5"/>
    <w:rsid w:val="00803C4E"/>
    <w:rsid w:val="00803C86"/>
    <w:rsid w:val="008043B9"/>
    <w:rsid w:val="008046D6"/>
    <w:rsid w:val="00804D90"/>
    <w:rsid w:val="00805028"/>
    <w:rsid w:val="008054F7"/>
    <w:rsid w:val="008056AF"/>
    <w:rsid w:val="008056DB"/>
    <w:rsid w:val="008068AB"/>
    <w:rsid w:val="00806C16"/>
    <w:rsid w:val="008071B3"/>
    <w:rsid w:val="00807765"/>
    <w:rsid w:val="00807B72"/>
    <w:rsid w:val="00807FD6"/>
    <w:rsid w:val="008104E0"/>
    <w:rsid w:val="00810A3E"/>
    <w:rsid w:val="00810CDB"/>
    <w:rsid w:val="00811299"/>
    <w:rsid w:val="0081142D"/>
    <w:rsid w:val="008116CC"/>
    <w:rsid w:val="00811C48"/>
    <w:rsid w:val="008123C6"/>
    <w:rsid w:val="0081265E"/>
    <w:rsid w:val="008129E5"/>
    <w:rsid w:val="00813251"/>
    <w:rsid w:val="00813A2F"/>
    <w:rsid w:val="00814847"/>
    <w:rsid w:val="0081549C"/>
    <w:rsid w:val="00815EC2"/>
    <w:rsid w:val="00815F29"/>
    <w:rsid w:val="00816040"/>
    <w:rsid w:val="00816184"/>
    <w:rsid w:val="00816C93"/>
    <w:rsid w:val="00816ED8"/>
    <w:rsid w:val="008172D4"/>
    <w:rsid w:val="008177E9"/>
    <w:rsid w:val="00817A7D"/>
    <w:rsid w:val="00817BFE"/>
    <w:rsid w:val="00817E57"/>
    <w:rsid w:val="00817EE5"/>
    <w:rsid w:val="008202A2"/>
    <w:rsid w:val="008202CE"/>
    <w:rsid w:val="00820908"/>
    <w:rsid w:val="00820A85"/>
    <w:rsid w:val="0082104E"/>
    <w:rsid w:val="00821221"/>
    <w:rsid w:val="00821895"/>
    <w:rsid w:val="008219C2"/>
    <w:rsid w:val="00821B21"/>
    <w:rsid w:val="00821FB8"/>
    <w:rsid w:val="00822073"/>
    <w:rsid w:val="00822A8D"/>
    <w:rsid w:val="008233D5"/>
    <w:rsid w:val="008235E6"/>
    <w:rsid w:val="0082399A"/>
    <w:rsid w:val="00824924"/>
    <w:rsid w:val="00824C81"/>
    <w:rsid w:val="008253D7"/>
    <w:rsid w:val="008257C7"/>
    <w:rsid w:val="0082597C"/>
    <w:rsid w:val="00825E62"/>
    <w:rsid w:val="0082654E"/>
    <w:rsid w:val="008266D5"/>
    <w:rsid w:val="00826C6C"/>
    <w:rsid w:val="008279BF"/>
    <w:rsid w:val="00827AE5"/>
    <w:rsid w:val="00827C79"/>
    <w:rsid w:val="00827CFA"/>
    <w:rsid w:val="00830D7C"/>
    <w:rsid w:val="00831029"/>
    <w:rsid w:val="00831378"/>
    <w:rsid w:val="0083171F"/>
    <w:rsid w:val="00832041"/>
    <w:rsid w:val="008323F3"/>
    <w:rsid w:val="008328B7"/>
    <w:rsid w:val="00832974"/>
    <w:rsid w:val="00832A89"/>
    <w:rsid w:val="00832BEC"/>
    <w:rsid w:val="00832D8D"/>
    <w:rsid w:val="008339BB"/>
    <w:rsid w:val="00833EFA"/>
    <w:rsid w:val="00833F0B"/>
    <w:rsid w:val="0083403C"/>
    <w:rsid w:val="008342F7"/>
    <w:rsid w:val="008348EA"/>
    <w:rsid w:val="00834C34"/>
    <w:rsid w:val="00835215"/>
    <w:rsid w:val="00835547"/>
    <w:rsid w:val="00835ABD"/>
    <w:rsid w:val="008364A2"/>
    <w:rsid w:val="008365C9"/>
    <w:rsid w:val="008365FE"/>
    <w:rsid w:val="008366EA"/>
    <w:rsid w:val="00836DBB"/>
    <w:rsid w:val="00837486"/>
    <w:rsid w:val="00837791"/>
    <w:rsid w:val="00837E6F"/>
    <w:rsid w:val="008403EC"/>
    <w:rsid w:val="00840650"/>
    <w:rsid w:val="00840798"/>
    <w:rsid w:val="0084081B"/>
    <w:rsid w:val="00840DA8"/>
    <w:rsid w:val="00840F15"/>
    <w:rsid w:val="00841173"/>
    <w:rsid w:val="0084121D"/>
    <w:rsid w:val="0084206B"/>
    <w:rsid w:val="008423B9"/>
    <w:rsid w:val="00842777"/>
    <w:rsid w:val="008430AD"/>
    <w:rsid w:val="00843747"/>
    <w:rsid w:val="00843895"/>
    <w:rsid w:val="00843923"/>
    <w:rsid w:val="008450C9"/>
    <w:rsid w:val="00845EF4"/>
    <w:rsid w:val="008463C4"/>
    <w:rsid w:val="00846877"/>
    <w:rsid w:val="00846B8F"/>
    <w:rsid w:val="00847785"/>
    <w:rsid w:val="00847AA8"/>
    <w:rsid w:val="00847ACF"/>
    <w:rsid w:val="00847DAD"/>
    <w:rsid w:val="00847DFE"/>
    <w:rsid w:val="00847F74"/>
    <w:rsid w:val="008503F9"/>
    <w:rsid w:val="00850490"/>
    <w:rsid w:val="00850B2C"/>
    <w:rsid w:val="008513BC"/>
    <w:rsid w:val="00851802"/>
    <w:rsid w:val="0085199B"/>
    <w:rsid w:val="00851B2B"/>
    <w:rsid w:val="00852F7A"/>
    <w:rsid w:val="00853B97"/>
    <w:rsid w:val="0085405F"/>
    <w:rsid w:val="008542CF"/>
    <w:rsid w:val="0085449F"/>
    <w:rsid w:val="008548F8"/>
    <w:rsid w:val="00854D49"/>
    <w:rsid w:val="00854EC8"/>
    <w:rsid w:val="00855502"/>
    <w:rsid w:val="00855B29"/>
    <w:rsid w:val="00855B50"/>
    <w:rsid w:val="0085647F"/>
    <w:rsid w:val="008564D1"/>
    <w:rsid w:val="008568F6"/>
    <w:rsid w:val="00856CEA"/>
    <w:rsid w:val="0085700A"/>
    <w:rsid w:val="0085764C"/>
    <w:rsid w:val="00857EEF"/>
    <w:rsid w:val="0086045E"/>
    <w:rsid w:val="0086086F"/>
    <w:rsid w:val="00860A4F"/>
    <w:rsid w:val="008613B0"/>
    <w:rsid w:val="008614B4"/>
    <w:rsid w:val="008614F2"/>
    <w:rsid w:val="008616BF"/>
    <w:rsid w:val="00861B85"/>
    <w:rsid w:val="00861DE1"/>
    <w:rsid w:val="008625D4"/>
    <w:rsid w:val="008628AD"/>
    <w:rsid w:val="00862A4D"/>
    <w:rsid w:val="00863576"/>
    <w:rsid w:val="00864058"/>
    <w:rsid w:val="0086419A"/>
    <w:rsid w:val="00864664"/>
    <w:rsid w:val="00865086"/>
    <w:rsid w:val="00865711"/>
    <w:rsid w:val="00866565"/>
    <w:rsid w:val="008669C1"/>
    <w:rsid w:val="008673AC"/>
    <w:rsid w:val="0086750C"/>
    <w:rsid w:val="008676FE"/>
    <w:rsid w:val="0086779C"/>
    <w:rsid w:val="00867990"/>
    <w:rsid w:val="00867BBE"/>
    <w:rsid w:val="008700FB"/>
    <w:rsid w:val="0087023B"/>
    <w:rsid w:val="0087121F"/>
    <w:rsid w:val="00872403"/>
    <w:rsid w:val="00872A44"/>
    <w:rsid w:val="00872A52"/>
    <w:rsid w:val="00872B64"/>
    <w:rsid w:val="00872C93"/>
    <w:rsid w:val="008730D2"/>
    <w:rsid w:val="00873217"/>
    <w:rsid w:val="00873797"/>
    <w:rsid w:val="00873C37"/>
    <w:rsid w:val="00874499"/>
    <w:rsid w:val="00874F5F"/>
    <w:rsid w:val="00875832"/>
    <w:rsid w:val="008758A8"/>
    <w:rsid w:val="00875CF0"/>
    <w:rsid w:val="008760E2"/>
    <w:rsid w:val="00876176"/>
    <w:rsid w:val="008762FC"/>
    <w:rsid w:val="00876358"/>
    <w:rsid w:val="00876C7A"/>
    <w:rsid w:val="00876CD0"/>
    <w:rsid w:val="0087705A"/>
    <w:rsid w:val="0087713F"/>
    <w:rsid w:val="00877547"/>
    <w:rsid w:val="0087CA37"/>
    <w:rsid w:val="00880384"/>
    <w:rsid w:val="0088092A"/>
    <w:rsid w:val="00880AA8"/>
    <w:rsid w:val="00881105"/>
    <w:rsid w:val="0088180F"/>
    <w:rsid w:val="00882374"/>
    <w:rsid w:val="00882C1A"/>
    <w:rsid w:val="008838FC"/>
    <w:rsid w:val="00883920"/>
    <w:rsid w:val="00883B0E"/>
    <w:rsid w:val="00883CD5"/>
    <w:rsid w:val="00883D6A"/>
    <w:rsid w:val="0088498E"/>
    <w:rsid w:val="00884FD2"/>
    <w:rsid w:val="0088520D"/>
    <w:rsid w:val="00885931"/>
    <w:rsid w:val="00885B00"/>
    <w:rsid w:val="00885BA5"/>
    <w:rsid w:val="00885C41"/>
    <w:rsid w:val="00886F40"/>
    <w:rsid w:val="0088716B"/>
    <w:rsid w:val="00887A35"/>
    <w:rsid w:val="00887E26"/>
    <w:rsid w:val="00890118"/>
    <w:rsid w:val="0089031E"/>
    <w:rsid w:val="00890DEB"/>
    <w:rsid w:val="00891203"/>
    <w:rsid w:val="008913E7"/>
    <w:rsid w:val="00891A31"/>
    <w:rsid w:val="00891C4B"/>
    <w:rsid w:val="00891C88"/>
    <w:rsid w:val="00891E6C"/>
    <w:rsid w:val="00891F69"/>
    <w:rsid w:val="00891F7D"/>
    <w:rsid w:val="008922F7"/>
    <w:rsid w:val="00892EB7"/>
    <w:rsid w:val="00893BD7"/>
    <w:rsid w:val="00894167"/>
    <w:rsid w:val="00894407"/>
    <w:rsid w:val="00894B88"/>
    <w:rsid w:val="00894BC1"/>
    <w:rsid w:val="00894C2F"/>
    <w:rsid w:val="00894DA1"/>
    <w:rsid w:val="00895155"/>
    <w:rsid w:val="008951CF"/>
    <w:rsid w:val="0089566C"/>
    <w:rsid w:val="00895CCE"/>
    <w:rsid w:val="00896232"/>
    <w:rsid w:val="008962C1"/>
    <w:rsid w:val="00896549"/>
    <w:rsid w:val="00896D52"/>
    <w:rsid w:val="00896FD9"/>
    <w:rsid w:val="00897A49"/>
    <w:rsid w:val="00897AEF"/>
    <w:rsid w:val="00897B4C"/>
    <w:rsid w:val="00897C0C"/>
    <w:rsid w:val="00897EA1"/>
    <w:rsid w:val="008A179F"/>
    <w:rsid w:val="008A1D1A"/>
    <w:rsid w:val="008A24A9"/>
    <w:rsid w:val="008A25D9"/>
    <w:rsid w:val="008A2606"/>
    <w:rsid w:val="008A378B"/>
    <w:rsid w:val="008A38C4"/>
    <w:rsid w:val="008A3C96"/>
    <w:rsid w:val="008A41AC"/>
    <w:rsid w:val="008A42D8"/>
    <w:rsid w:val="008A4348"/>
    <w:rsid w:val="008A4600"/>
    <w:rsid w:val="008A4867"/>
    <w:rsid w:val="008A4D5C"/>
    <w:rsid w:val="008A516B"/>
    <w:rsid w:val="008A5B91"/>
    <w:rsid w:val="008A5D7C"/>
    <w:rsid w:val="008A6103"/>
    <w:rsid w:val="008A6A14"/>
    <w:rsid w:val="008A6C98"/>
    <w:rsid w:val="008A7AE0"/>
    <w:rsid w:val="008B0132"/>
    <w:rsid w:val="008B02C6"/>
    <w:rsid w:val="008B02EC"/>
    <w:rsid w:val="008B03B2"/>
    <w:rsid w:val="008B074D"/>
    <w:rsid w:val="008B0864"/>
    <w:rsid w:val="008B0B86"/>
    <w:rsid w:val="008B0EB5"/>
    <w:rsid w:val="008B1068"/>
    <w:rsid w:val="008B14AC"/>
    <w:rsid w:val="008B18A9"/>
    <w:rsid w:val="008B1A59"/>
    <w:rsid w:val="008B1E91"/>
    <w:rsid w:val="008B2F46"/>
    <w:rsid w:val="008B3C82"/>
    <w:rsid w:val="008B46DA"/>
    <w:rsid w:val="008B4B94"/>
    <w:rsid w:val="008B4F3F"/>
    <w:rsid w:val="008B5346"/>
    <w:rsid w:val="008B53A6"/>
    <w:rsid w:val="008B5781"/>
    <w:rsid w:val="008B5C53"/>
    <w:rsid w:val="008B5D5D"/>
    <w:rsid w:val="008B601B"/>
    <w:rsid w:val="008B6387"/>
    <w:rsid w:val="008B6517"/>
    <w:rsid w:val="008B6559"/>
    <w:rsid w:val="008B696E"/>
    <w:rsid w:val="008B6F2C"/>
    <w:rsid w:val="008B6F6A"/>
    <w:rsid w:val="008B72DD"/>
    <w:rsid w:val="008B792D"/>
    <w:rsid w:val="008B7D5A"/>
    <w:rsid w:val="008B7DEA"/>
    <w:rsid w:val="008B7E21"/>
    <w:rsid w:val="008C01DB"/>
    <w:rsid w:val="008C02D9"/>
    <w:rsid w:val="008C0437"/>
    <w:rsid w:val="008C0527"/>
    <w:rsid w:val="008C05E6"/>
    <w:rsid w:val="008C0ABD"/>
    <w:rsid w:val="008C122B"/>
    <w:rsid w:val="008C14D7"/>
    <w:rsid w:val="008C162E"/>
    <w:rsid w:val="008C1A03"/>
    <w:rsid w:val="008C1EA8"/>
    <w:rsid w:val="008C2501"/>
    <w:rsid w:val="008C2A9A"/>
    <w:rsid w:val="008C2FC7"/>
    <w:rsid w:val="008C3128"/>
    <w:rsid w:val="008C32E4"/>
    <w:rsid w:val="008C35BB"/>
    <w:rsid w:val="008C3D2F"/>
    <w:rsid w:val="008C42A9"/>
    <w:rsid w:val="008C4801"/>
    <w:rsid w:val="008C4BBB"/>
    <w:rsid w:val="008C5E76"/>
    <w:rsid w:val="008C67B8"/>
    <w:rsid w:val="008C6DF6"/>
    <w:rsid w:val="008C707C"/>
    <w:rsid w:val="008C71CE"/>
    <w:rsid w:val="008C733A"/>
    <w:rsid w:val="008C7413"/>
    <w:rsid w:val="008C7CD9"/>
    <w:rsid w:val="008D0858"/>
    <w:rsid w:val="008D1129"/>
    <w:rsid w:val="008D11FB"/>
    <w:rsid w:val="008D16B7"/>
    <w:rsid w:val="008D1B28"/>
    <w:rsid w:val="008D2B67"/>
    <w:rsid w:val="008D37B6"/>
    <w:rsid w:val="008D4089"/>
    <w:rsid w:val="008D417A"/>
    <w:rsid w:val="008D520F"/>
    <w:rsid w:val="008D521E"/>
    <w:rsid w:val="008D541E"/>
    <w:rsid w:val="008D5618"/>
    <w:rsid w:val="008D58D7"/>
    <w:rsid w:val="008D65C5"/>
    <w:rsid w:val="008D6F46"/>
    <w:rsid w:val="008D7A99"/>
    <w:rsid w:val="008D7B1D"/>
    <w:rsid w:val="008E0192"/>
    <w:rsid w:val="008E07B0"/>
    <w:rsid w:val="008E1557"/>
    <w:rsid w:val="008E2106"/>
    <w:rsid w:val="008E2E2D"/>
    <w:rsid w:val="008E37F4"/>
    <w:rsid w:val="008E39B2"/>
    <w:rsid w:val="008E3A02"/>
    <w:rsid w:val="008E4123"/>
    <w:rsid w:val="008E4A2B"/>
    <w:rsid w:val="008E4DDD"/>
    <w:rsid w:val="008E4FF8"/>
    <w:rsid w:val="008E540D"/>
    <w:rsid w:val="008E586E"/>
    <w:rsid w:val="008E5D60"/>
    <w:rsid w:val="008E6A7E"/>
    <w:rsid w:val="008E6AE6"/>
    <w:rsid w:val="008E7399"/>
    <w:rsid w:val="008F008C"/>
    <w:rsid w:val="008F0116"/>
    <w:rsid w:val="008F083F"/>
    <w:rsid w:val="008F1283"/>
    <w:rsid w:val="008F12BC"/>
    <w:rsid w:val="008F143D"/>
    <w:rsid w:val="008F1785"/>
    <w:rsid w:val="008F25AD"/>
    <w:rsid w:val="008F2CB8"/>
    <w:rsid w:val="008F3A7D"/>
    <w:rsid w:val="008F3B04"/>
    <w:rsid w:val="008F3B35"/>
    <w:rsid w:val="008F4A2F"/>
    <w:rsid w:val="008F4E9E"/>
    <w:rsid w:val="008F52AB"/>
    <w:rsid w:val="008F541C"/>
    <w:rsid w:val="008F5513"/>
    <w:rsid w:val="008F5A92"/>
    <w:rsid w:val="008F6483"/>
    <w:rsid w:val="008F6A5D"/>
    <w:rsid w:val="008F6DC0"/>
    <w:rsid w:val="008F7619"/>
    <w:rsid w:val="008F7DC1"/>
    <w:rsid w:val="008F7EF6"/>
    <w:rsid w:val="009001A4"/>
    <w:rsid w:val="009003AB"/>
    <w:rsid w:val="00900FDF"/>
    <w:rsid w:val="009014A4"/>
    <w:rsid w:val="00901572"/>
    <w:rsid w:val="00901969"/>
    <w:rsid w:val="00901FA4"/>
    <w:rsid w:val="00902135"/>
    <w:rsid w:val="00902A79"/>
    <w:rsid w:val="00903006"/>
    <w:rsid w:val="0090320A"/>
    <w:rsid w:val="00903698"/>
    <w:rsid w:val="00904B66"/>
    <w:rsid w:val="00904E69"/>
    <w:rsid w:val="00905198"/>
    <w:rsid w:val="009051A7"/>
    <w:rsid w:val="00905569"/>
    <w:rsid w:val="00905B63"/>
    <w:rsid w:val="00905CF3"/>
    <w:rsid w:val="00906614"/>
    <w:rsid w:val="00907182"/>
    <w:rsid w:val="00907677"/>
    <w:rsid w:val="0090786E"/>
    <w:rsid w:val="00910034"/>
    <w:rsid w:val="009100EC"/>
    <w:rsid w:val="009100FC"/>
    <w:rsid w:val="0091047E"/>
    <w:rsid w:val="00910C1F"/>
    <w:rsid w:val="00910D5C"/>
    <w:rsid w:val="00910DE6"/>
    <w:rsid w:val="009112AA"/>
    <w:rsid w:val="009115BE"/>
    <w:rsid w:val="009118D3"/>
    <w:rsid w:val="00911C5E"/>
    <w:rsid w:val="009121AA"/>
    <w:rsid w:val="00912302"/>
    <w:rsid w:val="009124F2"/>
    <w:rsid w:val="00912604"/>
    <w:rsid w:val="00912BDA"/>
    <w:rsid w:val="00912F95"/>
    <w:rsid w:val="009138F1"/>
    <w:rsid w:val="00914319"/>
    <w:rsid w:val="00915052"/>
    <w:rsid w:val="00915484"/>
    <w:rsid w:val="009154AD"/>
    <w:rsid w:val="00916345"/>
    <w:rsid w:val="00916AE8"/>
    <w:rsid w:val="00917716"/>
    <w:rsid w:val="0092034B"/>
    <w:rsid w:val="009203D5"/>
    <w:rsid w:val="00920467"/>
    <w:rsid w:val="00920731"/>
    <w:rsid w:val="00920E6B"/>
    <w:rsid w:val="009215DE"/>
    <w:rsid w:val="00921F2F"/>
    <w:rsid w:val="00922229"/>
    <w:rsid w:val="0092265B"/>
    <w:rsid w:val="00922829"/>
    <w:rsid w:val="009243E8"/>
    <w:rsid w:val="00924818"/>
    <w:rsid w:val="0092490A"/>
    <w:rsid w:val="009249E7"/>
    <w:rsid w:val="00924FAA"/>
    <w:rsid w:val="00925787"/>
    <w:rsid w:val="00925A68"/>
    <w:rsid w:val="00925D32"/>
    <w:rsid w:val="0092674F"/>
    <w:rsid w:val="00926D2B"/>
    <w:rsid w:val="00926E92"/>
    <w:rsid w:val="009271BC"/>
    <w:rsid w:val="009271CB"/>
    <w:rsid w:val="00927271"/>
    <w:rsid w:val="00927E49"/>
    <w:rsid w:val="0092F921"/>
    <w:rsid w:val="009302CA"/>
    <w:rsid w:val="00930360"/>
    <w:rsid w:val="009305C4"/>
    <w:rsid w:val="00930B20"/>
    <w:rsid w:val="00930C10"/>
    <w:rsid w:val="0093104F"/>
    <w:rsid w:val="0093120A"/>
    <w:rsid w:val="00931671"/>
    <w:rsid w:val="009317F0"/>
    <w:rsid w:val="009322CE"/>
    <w:rsid w:val="00932865"/>
    <w:rsid w:val="009340CD"/>
    <w:rsid w:val="00934166"/>
    <w:rsid w:val="0093443B"/>
    <w:rsid w:val="0093469F"/>
    <w:rsid w:val="00934F30"/>
    <w:rsid w:val="00934F6D"/>
    <w:rsid w:val="0093565F"/>
    <w:rsid w:val="00935ADA"/>
    <w:rsid w:val="00935BD4"/>
    <w:rsid w:val="00935E77"/>
    <w:rsid w:val="00936133"/>
    <w:rsid w:val="009362F7"/>
    <w:rsid w:val="00936532"/>
    <w:rsid w:val="009368BB"/>
    <w:rsid w:val="00936BC5"/>
    <w:rsid w:val="009378DC"/>
    <w:rsid w:val="00937B2D"/>
    <w:rsid w:val="00937E99"/>
    <w:rsid w:val="00940D47"/>
    <w:rsid w:val="009412E6"/>
    <w:rsid w:val="009413CA"/>
    <w:rsid w:val="00941AAD"/>
    <w:rsid w:val="00941C27"/>
    <w:rsid w:val="00942167"/>
    <w:rsid w:val="009425CC"/>
    <w:rsid w:val="00942794"/>
    <w:rsid w:val="00942E77"/>
    <w:rsid w:val="00943126"/>
    <w:rsid w:val="0094316D"/>
    <w:rsid w:val="0094337B"/>
    <w:rsid w:val="00943BB2"/>
    <w:rsid w:val="00943CBE"/>
    <w:rsid w:val="0094438A"/>
    <w:rsid w:val="00944572"/>
    <w:rsid w:val="009447BB"/>
    <w:rsid w:val="00944A55"/>
    <w:rsid w:val="00944BD0"/>
    <w:rsid w:val="00944D7C"/>
    <w:rsid w:val="00944F6F"/>
    <w:rsid w:val="009450D4"/>
    <w:rsid w:val="00945352"/>
    <w:rsid w:val="00945412"/>
    <w:rsid w:val="0094552A"/>
    <w:rsid w:val="0094584D"/>
    <w:rsid w:val="00945D01"/>
    <w:rsid w:val="00945FE3"/>
    <w:rsid w:val="00946694"/>
    <w:rsid w:val="009468DC"/>
    <w:rsid w:val="0094739B"/>
    <w:rsid w:val="00947718"/>
    <w:rsid w:val="009477A1"/>
    <w:rsid w:val="00947DC7"/>
    <w:rsid w:val="00950E4C"/>
    <w:rsid w:val="0095100F"/>
    <w:rsid w:val="0095142C"/>
    <w:rsid w:val="009514C9"/>
    <w:rsid w:val="0095166A"/>
    <w:rsid w:val="0095167C"/>
    <w:rsid w:val="00951898"/>
    <w:rsid w:val="009519C1"/>
    <w:rsid w:val="00952224"/>
    <w:rsid w:val="009524FA"/>
    <w:rsid w:val="00952973"/>
    <w:rsid w:val="00952F16"/>
    <w:rsid w:val="00953353"/>
    <w:rsid w:val="00953FFC"/>
    <w:rsid w:val="009543A8"/>
    <w:rsid w:val="009548FE"/>
    <w:rsid w:val="00955724"/>
    <w:rsid w:val="00955FE9"/>
    <w:rsid w:val="00956264"/>
    <w:rsid w:val="00956949"/>
    <w:rsid w:val="009573EA"/>
    <w:rsid w:val="0095762D"/>
    <w:rsid w:val="00957B89"/>
    <w:rsid w:val="00957D4E"/>
    <w:rsid w:val="00960D7C"/>
    <w:rsid w:val="009612BC"/>
    <w:rsid w:val="00961528"/>
    <w:rsid w:val="00961A9A"/>
    <w:rsid w:val="00961D48"/>
    <w:rsid w:val="009620FE"/>
    <w:rsid w:val="0096291B"/>
    <w:rsid w:val="00962BFE"/>
    <w:rsid w:val="00962F14"/>
    <w:rsid w:val="00963927"/>
    <w:rsid w:val="00963B7C"/>
    <w:rsid w:val="0096440D"/>
    <w:rsid w:val="00964633"/>
    <w:rsid w:val="00964EC6"/>
    <w:rsid w:val="00964F1B"/>
    <w:rsid w:val="0096517E"/>
    <w:rsid w:val="0096568E"/>
    <w:rsid w:val="00965C56"/>
    <w:rsid w:val="00965FA8"/>
    <w:rsid w:val="009660A9"/>
    <w:rsid w:val="00966907"/>
    <w:rsid w:val="00966B4A"/>
    <w:rsid w:val="00966C23"/>
    <w:rsid w:val="009677EE"/>
    <w:rsid w:val="009700DD"/>
    <w:rsid w:val="009704CF"/>
    <w:rsid w:val="009705C7"/>
    <w:rsid w:val="009719A1"/>
    <w:rsid w:val="00971BCC"/>
    <w:rsid w:val="009724E9"/>
    <w:rsid w:val="009727ED"/>
    <w:rsid w:val="0097297C"/>
    <w:rsid w:val="00973236"/>
    <w:rsid w:val="009732D3"/>
    <w:rsid w:val="00973512"/>
    <w:rsid w:val="00973B06"/>
    <w:rsid w:val="00973DF3"/>
    <w:rsid w:val="00973E31"/>
    <w:rsid w:val="00973FDC"/>
    <w:rsid w:val="009740B4"/>
    <w:rsid w:val="009741FE"/>
    <w:rsid w:val="00974306"/>
    <w:rsid w:val="00974971"/>
    <w:rsid w:val="00974B51"/>
    <w:rsid w:val="00974C37"/>
    <w:rsid w:val="00975442"/>
    <w:rsid w:val="00975A1A"/>
    <w:rsid w:val="00976962"/>
    <w:rsid w:val="009773B2"/>
    <w:rsid w:val="00977AEA"/>
    <w:rsid w:val="00977EC5"/>
    <w:rsid w:val="009802DC"/>
    <w:rsid w:val="009803D7"/>
    <w:rsid w:val="00980777"/>
    <w:rsid w:val="0098081C"/>
    <w:rsid w:val="00980990"/>
    <w:rsid w:val="0098138E"/>
    <w:rsid w:val="009817A1"/>
    <w:rsid w:val="00983D9C"/>
    <w:rsid w:val="00984919"/>
    <w:rsid w:val="00984F0D"/>
    <w:rsid w:val="0098522F"/>
    <w:rsid w:val="00985E77"/>
    <w:rsid w:val="009862AD"/>
    <w:rsid w:val="0098655A"/>
    <w:rsid w:val="009868D9"/>
    <w:rsid w:val="00986D1B"/>
    <w:rsid w:val="00986E0E"/>
    <w:rsid w:val="00987618"/>
    <w:rsid w:val="009876F0"/>
    <w:rsid w:val="00987A84"/>
    <w:rsid w:val="00987AAF"/>
    <w:rsid w:val="00987ADC"/>
    <w:rsid w:val="00987E3B"/>
    <w:rsid w:val="00987EA4"/>
    <w:rsid w:val="00987ECE"/>
    <w:rsid w:val="00990122"/>
    <w:rsid w:val="009905E4"/>
    <w:rsid w:val="009906CE"/>
    <w:rsid w:val="00990D23"/>
    <w:rsid w:val="00990E68"/>
    <w:rsid w:val="009912BA"/>
    <w:rsid w:val="009913A1"/>
    <w:rsid w:val="00991726"/>
    <w:rsid w:val="00991CB7"/>
    <w:rsid w:val="00991F99"/>
    <w:rsid w:val="00992278"/>
    <w:rsid w:val="0099256D"/>
    <w:rsid w:val="00992672"/>
    <w:rsid w:val="00993125"/>
    <w:rsid w:val="009932DC"/>
    <w:rsid w:val="00994201"/>
    <w:rsid w:val="009944E0"/>
    <w:rsid w:val="00994639"/>
    <w:rsid w:val="00994A1E"/>
    <w:rsid w:val="00994EAC"/>
    <w:rsid w:val="00995196"/>
    <w:rsid w:val="009951BA"/>
    <w:rsid w:val="0099570B"/>
    <w:rsid w:val="00995BFD"/>
    <w:rsid w:val="00995C33"/>
    <w:rsid w:val="00995E4D"/>
    <w:rsid w:val="00995E69"/>
    <w:rsid w:val="009965CA"/>
    <w:rsid w:val="00996834"/>
    <w:rsid w:val="00996AFD"/>
    <w:rsid w:val="009971D8"/>
    <w:rsid w:val="009A01A1"/>
    <w:rsid w:val="009A01F1"/>
    <w:rsid w:val="009A0853"/>
    <w:rsid w:val="009A0910"/>
    <w:rsid w:val="009A0C5D"/>
    <w:rsid w:val="009A118A"/>
    <w:rsid w:val="009A1D08"/>
    <w:rsid w:val="009A1FC2"/>
    <w:rsid w:val="009A26D3"/>
    <w:rsid w:val="009A2787"/>
    <w:rsid w:val="009A33AC"/>
    <w:rsid w:val="009A3603"/>
    <w:rsid w:val="009A366B"/>
    <w:rsid w:val="009A3AE7"/>
    <w:rsid w:val="009A3AEA"/>
    <w:rsid w:val="009A43D3"/>
    <w:rsid w:val="009A46D6"/>
    <w:rsid w:val="009A4930"/>
    <w:rsid w:val="009A4B65"/>
    <w:rsid w:val="009A4DBA"/>
    <w:rsid w:val="009A4DE0"/>
    <w:rsid w:val="009A4F91"/>
    <w:rsid w:val="009A5987"/>
    <w:rsid w:val="009A6187"/>
    <w:rsid w:val="009A6722"/>
    <w:rsid w:val="009A6AE3"/>
    <w:rsid w:val="009A6D01"/>
    <w:rsid w:val="009A6D8A"/>
    <w:rsid w:val="009A6E40"/>
    <w:rsid w:val="009A6F6E"/>
    <w:rsid w:val="009A7CAB"/>
    <w:rsid w:val="009A7F42"/>
    <w:rsid w:val="009A7FE3"/>
    <w:rsid w:val="009B062B"/>
    <w:rsid w:val="009B0E81"/>
    <w:rsid w:val="009B1616"/>
    <w:rsid w:val="009B17DD"/>
    <w:rsid w:val="009B1A7C"/>
    <w:rsid w:val="009B1C5B"/>
    <w:rsid w:val="009B1EFE"/>
    <w:rsid w:val="009B206D"/>
    <w:rsid w:val="009B2141"/>
    <w:rsid w:val="009B32BB"/>
    <w:rsid w:val="009B3655"/>
    <w:rsid w:val="009B3AF1"/>
    <w:rsid w:val="009B40AF"/>
    <w:rsid w:val="009B4590"/>
    <w:rsid w:val="009B4B54"/>
    <w:rsid w:val="009B57DD"/>
    <w:rsid w:val="009B59FE"/>
    <w:rsid w:val="009B5BD2"/>
    <w:rsid w:val="009B6052"/>
    <w:rsid w:val="009B6792"/>
    <w:rsid w:val="009B6E04"/>
    <w:rsid w:val="009B6FA0"/>
    <w:rsid w:val="009B74E8"/>
    <w:rsid w:val="009B797D"/>
    <w:rsid w:val="009B79D8"/>
    <w:rsid w:val="009B7A45"/>
    <w:rsid w:val="009B7CF4"/>
    <w:rsid w:val="009C05A8"/>
    <w:rsid w:val="009C089A"/>
    <w:rsid w:val="009C0D20"/>
    <w:rsid w:val="009C0E2C"/>
    <w:rsid w:val="009C1326"/>
    <w:rsid w:val="009C2269"/>
    <w:rsid w:val="009C2AAB"/>
    <w:rsid w:val="009C2EB3"/>
    <w:rsid w:val="009C3D5F"/>
    <w:rsid w:val="009C43D8"/>
    <w:rsid w:val="009C4488"/>
    <w:rsid w:val="009C5C7A"/>
    <w:rsid w:val="009C63FB"/>
    <w:rsid w:val="009C661F"/>
    <w:rsid w:val="009C6ADB"/>
    <w:rsid w:val="009C6AF0"/>
    <w:rsid w:val="009C78FE"/>
    <w:rsid w:val="009C7E8B"/>
    <w:rsid w:val="009C7EEA"/>
    <w:rsid w:val="009D012B"/>
    <w:rsid w:val="009D0318"/>
    <w:rsid w:val="009D05A0"/>
    <w:rsid w:val="009D1129"/>
    <w:rsid w:val="009D114F"/>
    <w:rsid w:val="009D1273"/>
    <w:rsid w:val="009D1B6B"/>
    <w:rsid w:val="009D1E4A"/>
    <w:rsid w:val="009D1EA2"/>
    <w:rsid w:val="009D218B"/>
    <w:rsid w:val="009D283A"/>
    <w:rsid w:val="009D2AC3"/>
    <w:rsid w:val="009D2D45"/>
    <w:rsid w:val="009D2E63"/>
    <w:rsid w:val="009D2F16"/>
    <w:rsid w:val="009D31DE"/>
    <w:rsid w:val="009D31FD"/>
    <w:rsid w:val="009D3699"/>
    <w:rsid w:val="009D3CBF"/>
    <w:rsid w:val="009D4747"/>
    <w:rsid w:val="009D4B65"/>
    <w:rsid w:val="009D4E5E"/>
    <w:rsid w:val="009D4EE9"/>
    <w:rsid w:val="009D567E"/>
    <w:rsid w:val="009D5912"/>
    <w:rsid w:val="009D5A33"/>
    <w:rsid w:val="009D5E17"/>
    <w:rsid w:val="009D5FEE"/>
    <w:rsid w:val="009D65B1"/>
    <w:rsid w:val="009D673D"/>
    <w:rsid w:val="009D6FC7"/>
    <w:rsid w:val="009D7726"/>
    <w:rsid w:val="009D7A77"/>
    <w:rsid w:val="009D7CE9"/>
    <w:rsid w:val="009D7F01"/>
    <w:rsid w:val="009E026D"/>
    <w:rsid w:val="009E0431"/>
    <w:rsid w:val="009E04D9"/>
    <w:rsid w:val="009E1233"/>
    <w:rsid w:val="009E150D"/>
    <w:rsid w:val="009E2013"/>
    <w:rsid w:val="009E2A3E"/>
    <w:rsid w:val="009E2B9D"/>
    <w:rsid w:val="009E2F2D"/>
    <w:rsid w:val="009E3008"/>
    <w:rsid w:val="009E32FB"/>
    <w:rsid w:val="009E3A7D"/>
    <w:rsid w:val="009E3D63"/>
    <w:rsid w:val="009E4577"/>
    <w:rsid w:val="009E4648"/>
    <w:rsid w:val="009E4669"/>
    <w:rsid w:val="009E4DF3"/>
    <w:rsid w:val="009E547D"/>
    <w:rsid w:val="009E55D6"/>
    <w:rsid w:val="009E5635"/>
    <w:rsid w:val="009E594B"/>
    <w:rsid w:val="009E5F91"/>
    <w:rsid w:val="009E6695"/>
    <w:rsid w:val="009E6B97"/>
    <w:rsid w:val="009E6E59"/>
    <w:rsid w:val="009E7163"/>
    <w:rsid w:val="009E755A"/>
    <w:rsid w:val="009E77BD"/>
    <w:rsid w:val="009E7C7F"/>
    <w:rsid w:val="009E7E9A"/>
    <w:rsid w:val="009F04DD"/>
    <w:rsid w:val="009F0D63"/>
    <w:rsid w:val="009F0EAA"/>
    <w:rsid w:val="009F0FA2"/>
    <w:rsid w:val="009F16BC"/>
    <w:rsid w:val="009F206B"/>
    <w:rsid w:val="009F2506"/>
    <w:rsid w:val="009F32F6"/>
    <w:rsid w:val="009F3985"/>
    <w:rsid w:val="009F3DB8"/>
    <w:rsid w:val="009F402D"/>
    <w:rsid w:val="009F4297"/>
    <w:rsid w:val="009F444B"/>
    <w:rsid w:val="009F4465"/>
    <w:rsid w:val="009F4C62"/>
    <w:rsid w:val="009F510B"/>
    <w:rsid w:val="009F588C"/>
    <w:rsid w:val="009F5F60"/>
    <w:rsid w:val="009F60D2"/>
    <w:rsid w:val="009F62F6"/>
    <w:rsid w:val="009F6C9C"/>
    <w:rsid w:val="009F6E70"/>
    <w:rsid w:val="009F73C0"/>
    <w:rsid w:val="009F73C3"/>
    <w:rsid w:val="009F73C6"/>
    <w:rsid w:val="009F741B"/>
    <w:rsid w:val="009F788E"/>
    <w:rsid w:val="009F7D97"/>
    <w:rsid w:val="009F7DB2"/>
    <w:rsid w:val="009F81B7"/>
    <w:rsid w:val="00A001B3"/>
    <w:rsid w:val="00A002C1"/>
    <w:rsid w:val="00A008A7"/>
    <w:rsid w:val="00A01266"/>
    <w:rsid w:val="00A013B5"/>
    <w:rsid w:val="00A01676"/>
    <w:rsid w:val="00A01A3D"/>
    <w:rsid w:val="00A01B25"/>
    <w:rsid w:val="00A0230E"/>
    <w:rsid w:val="00A02DEB"/>
    <w:rsid w:val="00A03906"/>
    <w:rsid w:val="00A042BB"/>
    <w:rsid w:val="00A04580"/>
    <w:rsid w:val="00A047FA"/>
    <w:rsid w:val="00A049D9"/>
    <w:rsid w:val="00A04C71"/>
    <w:rsid w:val="00A04D71"/>
    <w:rsid w:val="00A05037"/>
    <w:rsid w:val="00A05038"/>
    <w:rsid w:val="00A06118"/>
    <w:rsid w:val="00A06194"/>
    <w:rsid w:val="00A061B3"/>
    <w:rsid w:val="00A064D8"/>
    <w:rsid w:val="00A0663E"/>
    <w:rsid w:val="00A0664B"/>
    <w:rsid w:val="00A066B5"/>
    <w:rsid w:val="00A06EE1"/>
    <w:rsid w:val="00A07015"/>
    <w:rsid w:val="00A07430"/>
    <w:rsid w:val="00A07655"/>
    <w:rsid w:val="00A07987"/>
    <w:rsid w:val="00A07BC1"/>
    <w:rsid w:val="00A07E50"/>
    <w:rsid w:val="00A07EEF"/>
    <w:rsid w:val="00A101A6"/>
    <w:rsid w:val="00A10331"/>
    <w:rsid w:val="00A10704"/>
    <w:rsid w:val="00A109DE"/>
    <w:rsid w:val="00A11030"/>
    <w:rsid w:val="00A111C0"/>
    <w:rsid w:val="00A11254"/>
    <w:rsid w:val="00A11824"/>
    <w:rsid w:val="00A118A4"/>
    <w:rsid w:val="00A11BE6"/>
    <w:rsid w:val="00A11C7E"/>
    <w:rsid w:val="00A122D2"/>
    <w:rsid w:val="00A12601"/>
    <w:rsid w:val="00A12B9A"/>
    <w:rsid w:val="00A12BBA"/>
    <w:rsid w:val="00A12D20"/>
    <w:rsid w:val="00A12D48"/>
    <w:rsid w:val="00A12F0B"/>
    <w:rsid w:val="00A13051"/>
    <w:rsid w:val="00A13292"/>
    <w:rsid w:val="00A13464"/>
    <w:rsid w:val="00A134F1"/>
    <w:rsid w:val="00A138AB"/>
    <w:rsid w:val="00A14542"/>
    <w:rsid w:val="00A14779"/>
    <w:rsid w:val="00A14D58"/>
    <w:rsid w:val="00A15065"/>
    <w:rsid w:val="00A1559C"/>
    <w:rsid w:val="00A156A2"/>
    <w:rsid w:val="00A16AD8"/>
    <w:rsid w:val="00A17571"/>
    <w:rsid w:val="00A17BA0"/>
    <w:rsid w:val="00A17CE0"/>
    <w:rsid w:val="00A208E0"/>
    <w:rsid w:val="00A20A05"/>
    <w:rsid w:val="00A20DEC"/>
    <w:rsid w:val="00A21069"/>
    <w:rsid w:val="00A211BB"/>
    <w:rsid w:val="00A21222"/>
    <w:rsid w:val="00A21447"/>
    <w:rsid w:val="00A21535"/>
    <w:rsid w:val="00A21ADF"/>
    <w:rsid w:val="00A21B04"/>
    <w:rsid w:val="00A22568"/>
    <w:rsid w:val="00A226F4"/>
    <w:rsid w:val="00A22E9E"/>
    <w:rsid w:val="00A22F4D"/>
    <w:rsid w:val="00A231E5"/>
    <w:rsid w:val="00A235F1"/>
    <w:rsid w:val="00A23C72"/>
    <w:rsid w:val="00A24347"/>
    <w:rsid w:val="00A2436E"/>
    <w:rsid w:val="00A2477C"/>
    <w:rsid w:val="00A24D45"/>
    <w:rsid w:val="00A25384"/>
    <w:rsid w:val="00A25533"/>
    <w:rsid w:val="00A25542"/>
    <w:rsid w:val="00A25650"/>
    <w:rsid w:val="00A25C01"/>
    <w:rsid w:val="00A267A4"/>
    <w:rsid w:val="00A26B2D"/>
    <w:rsid w:val="00A273FD"/>
    <w:rsid w:val="00A2760F"/>
    <w:rsid w:val="00A2C89A"/>
    <w:rsid w:val="00A30C66"/>
    <w:rsid w:val="00A31B49"/>
    <w:rsid w:val="00A31BEA"/>
    <w:rsid w:val="00A31C18"/>
    <w:rsid w:val="00A3287F"/>
    <w:rsid w:val="00A32AA5"/>
    <w:rsid w:val="00A338D8"/>
    <w:rsid w:val="00A33CAA"/>
    <w:rsid w:val="00A342CE"/>
    <w:rsid w:val="00A34693"/>
    <w:rsid w:val="00A34773"/>
    <w:rsid w:val="00A34AB4"/>
    <w:rsid w:val="00A34BF9"/>
    <w:rsid w:val="00A34F60"/>
    <w:rsid w:val="00A35224"/>
    <w:rsid w:val="00A353A4"/>
    <w:rsid w:val="00A35B61"/>
    <w:rsid w:val="00A3639E"/>
    <w:rsid w:val="00A363E1"/>
    <w:rsid w:val="00A3669B"/>
    <w:rsid w:val="00A36F58"/>
    <w:rsid w:val="00A37109"/>
    <w:rsid w:val="00A372E7"/>
    <w:rsid w:val="00A376C4"/>
    <w:rsid w:val="00A40809"/>
    <w:rsid w:val="00A41F33"/>
    <w:rsid w:val="00A42306"/>
    <w:rsid w:val="00A4242E"/>
    <w:rsid w:val="00A42441"/>
    <w:rsid w:val="00A42CEC"/>
    <w:rsid w:val="00A42E56"/>
    <w:rsid w:val="00A43487"/>
    <w:rsid w:val="00A4365B"/>
    <w:rsid w:val="00A44F57"/>
    <w:rsid w:val="00A452FC"/>
    <w:rsid w:val="00A45488"/>
    <w:rsid w:val="00A45613"/>
    <w:rsid w:val="00A458C4"/>
    <w:rsid w:val="00A4617C"/>
    <w:rsid w:val="00A4621B"/>
    <w:rsid w:val="00A4653E"/>
    <w:rsid w:val="00A469BE"/>
    <w:rsid w:val="00A46C0A"/>
    <w:rsid w:val="00A46C92"/>
    <w:rsid w:val="00A47066"/>
    <w:rsid w:val="00A47364"/>
    <w:rsid w:val="00A4F03F"/>
    <w:rsid w:val="00A50939"/>
    <w:rsid w:val="00A51231"/>
    <w:rsid w:val="00A515E9"/>
    <w:rsid w:val="00A5179C"/>
    <w:rsid w:val="00A51C42"/>
    <w:rsid w:val="00A52985"/>
    <w:rsid w:val="00A5335C"/>
    <w:rsid w:val="00A534A2"/>
    <w:rsid w:val="00A54932"/>
    <w:rsid w:val="00A549F4"/>
    <w:rsid w:val="00A54B58"/>
    <w:rsid w:val="00A55605"/>
    <w:rsid w:val="00A558B0"/>
    <w:rsid w:val="00A55ACD"/>
    <w:rsid w:val="00A5602E"/>
    <w:rsid w:val="00A560E7"/>
    <w:rsid w:val="00A5663F"/>
    <w:rsid w:val="00A5691D"/>
    <w:rsid w:val="00A57121"/>
    <w:rsid w:val="00A57796"/>
    <w:rsid w:val="00A57F1B"/>
    <w:rsid w:val="00A6025C"/>
    <w:rsid w:val="00A603C3"/>
    <w:rsid w:val="00A60493"/>
    <w:rsid w:val="00A60C30"/>
    <w:rsid w:val="00A60E44"/>
    <w:rsid w:val="00A61724"/>
    <w:rsid w:val="00A618DE"/>
    <w:rsid w:val="00A61AF9"/>
    <w:rsid w:val="00A61D56"/>
    <w:rsid w:val="00A6234E"/>
    <w:rsid w:val="00A6242E"/>
    <w:rsid w:val="00A625D3"/>
    <w:rsid w:val="00A62754"/>
    <w:rsid w:val="00A63610"/>
    <w:rsid w:val="00A6398C"/>
    <w:rsid w:val="00A639B5"/>
    <w:rsid w:val="00A648BE"/>
    <w:rsid w:val="00A64BAB"/>
    <w:rsid w:val="00A64C0D"/>
    <w:rsid w:val="00A64CAF"/>
    <w:rsid w:val="00A659F1"/>
    <w:rsid w:val="00A67348"/>
    <w:rsid w:val="00A67527"/>
    <w:rsid w:val="00A67714"/>
    <w:rsid w:val="00A67837"/>
    <w:rsid w:val="00A67942"/>
    <w:rsid w:val="00A705F9"/>
    <w:rsid w:val="00A70C44"/>
    <w:rsid w:val="00A71516"/>
    <w:rsid w:val="00A716CB"/>
    <w:rsid w:val="00A73180"/>
    <w:rsid w:val="00A73534"/>
    <w:rsid w:val="00A736A5"/>
    <w:rsid w:val="00A73CD8"/>
    <w:rsid w:val="00A74170"/>
    <w:rsid w:val="00A744F5"/>
    <w:rsid w:val="00A74826"/>
    <w:rsid w:val="00A74D71"/>
    <w:rsid w:val="00A74EFF"/>
    <w:rsid w:val="00A74F22"/>
    <w:rsid w:val="00A7504E"/>
    <w:rsid w:val="00A75A59"/>
    <w:rsid w:val="00A75BD3"/>
    <w:rsid w:val="00A76078"/>
    <w:rsid w:val="00A762F7"/>
    <w:rsid w:val="00A76CC5"/>
    <w:rsid w:val="00A7707E"/>
    <w:rsid w:val="00A773A6"/>
    <w:rsid w:val="00A80846"/>
    <w:rsid w:val="00A80E25"/>
    <w:rsid w:val="00A80E2C"/>
    <w:rsid w:val="00A80E49"/>
    <w:rsid w:val="00A80F8F"/>
    <w:rsid w:val="00A814CE"/>
    <w:rsid w:val="00A8245E"/>
    <w:rsid w:val="00A825C2"/>
    <w:rsid w:val="00A82B23"/>
    <w:rsid w:val="00A833E2"/>
    <w:rsid w:val="00A839FE"/>
    <w:rsid w:val="00A83C6C"/>
    <w:rsid w:val="00A8410E"/>
    <w:rsid w:val="00A84590"/>
    <w:rsid w:val="00A84D15"/>
    <w:rsid w:val="00A84FAD"/>
    <w:rsid w:val="00A851E1"/>
    <w:rsid w:val="00A85BFB"/>
    <w:rsid w:val="00A86187"/>
    <w:rsid w:val="00A86364"/>
    <w:rsid w:val="00A86474"/>
    <w:rsid w:val="00A86523"/>
    <w:rsid w:val="00A86783"/>
    <w:rsid w:val="00A86B85"/>
    <w:rsid w:val="00A86EA3"/>
    <w:rsid w:val="00A87646"/>
    <w:rsid w:val="00A9030A"/>
    <w:rsid w:val="00A904D1"/>
    <w:rsid w:val="00A90642"/>
    <w:rsid w:val="00A908E9"/>
    <w:rsid w:val="00A90D8F"/>
    <w:rsid w:val="00A90FEE"/>
    <w:rsid w:val="00A9126E"/>
    <w:rsid w:val="00A916D7"/>
    <w:rsid w:val="00A91862"/>
    <w:rsid w:val="00A92068"/>
    <w:rsid w:val="00A92799"/>
    <w:rsid w:val="00A92FD1"/>
    <w:rsid w:val="00A93057"/>
    <w:rsid w:val="00A931A8"/>
    <w:rsid w:val="00A936E5"/>
    <w:rsid w:val="00A93A24"/>
    <w:rsid w:val="00A93F34"/>
    <w:rsid w:val="00A94A4F"/>
    <w:rsid w:val="00A94CA5"/>
    <w:rsid w:val="00A94EE8"/>
    <w:rsid w:val="00A95328"/>
    <w:rsid w:val="00A95442"/>
    <w:rsid w:val="00A9548F"/>
    <w:rsid w:val="00A95508"/>
    <w:rsid w:val="00A95D92"/>
    <w:rsid w:val="00A9698F"/>
    <w:rsid w:val="00A97204"/>
    <w:rsid w:val="00A97C5D"/>
    <w:rsid w:val="00AA02F5"/>
    <w:rsid w:val="00AA0334"/>
    <w:rsid w:val="00AA0A7F"/>
    <w:rsid w:val="00AA12B7"/>
    <w:rsid w:val="00AA1BD0"/>
    <w:rsid w:val="00AA3115"/>
    <w:rsid w:val="00AA350F"/>
    <w:rsid w:val="00AA3A6C"/>
    <w:rsid w:val="00AA4134"/>
    <w:rsid w:val="00AA43CE"/>
    <w:rsid w:val="00AA52BD"/>
    <w:rsid w:val="00AA5D84"/>
    <w:rsid w:val="00AA62E1"/>
    <w:rsid w:val="00AA76E3"/>
    <w:rsid w:val="00AA7776"/>
    <w:rsid w:val="00AA78C7"/>
    <w:rsid w:val="00AA78CB"/>
    <w:rsid w:val="00AA7905"/>
    <w:rsid w:val="00AA7F23"/>
    <w:rsid w:val="00AB00B5"/>
    <w:rsid w:val="00AB0128"/>
    <w:rsid w:val="00AB0186"/>
    <w:rsid w:val="00AB0562"/>
    <w:rsid w:val="00AB0642"/>
    <w:rsid w:val="00AB0A5F"/>
    <w:rsid w:val="00AB0BA2"/>
    <w:rsid w:val="00AB1018"/>
    <w:rsid w:val="00AB1052"/>
    <w:rsid w:val="00AB17A8"/>
    <w:rsid w:val="00AB18B9"/>
    <w:rsid w:val="00AB1939"/>
    <w:rsid w:val="00AB1D1D"/>
    <w:rsid w:val="00AB24A0"/>
    <w:rsid w:val="00AB2653"/>
    <w:rsid w:val="00AB2905"/>
    <w:rsid w:val="00AB3D18"/>
    <w:rsid w:val="00AB3D29"/>
    <w:rsid w:val="00AB3E03"/>
    <w:rsid w:val="00AB3F93"/>
    <w:rsid w:val="00AB445B"/>
    <w:rsid w:val="00AB4950"/>
    <w:rsid w:val="00AB4B05"/>
    <w:rsid w:val="00AB4FFD"/>
    <w:rsid w:val="00AB5138"/>
    <w:rsid w:val="00AB54A6"/>
    <w:rsid w:val="00AB5575"/>
    <w:rsid w:val="00AB5AB3"/>
    <w:rsid w:val="00AB5CEC"/>
    <w:rsid w:val="00AB6665"/>
    <w:rsid w:val="00AB6721"/>
    <w:rsid w:val="00AB6AF7"/>
    <w:rsid w:val="00AB6F25"/>
    <w:rsid w:val="00AB70D9"/>
    <w:rsid w:val="00AC0101"/>
    <w:rsid w:val="00AC0366"/>
    <w:rsid w:val="00AC0567"/>
    <w:rsid w:val="00AC0A48"/>
    <w:rsid w:val="00AC0D3E"/>
    <w:rsid w:val="00AC16CB"/>
    <w:rsid w:val="00AC196B"/>
    <w:rsid w:val="00AC21D1"/>
    <w:rsid w:val="00AC2248"/>
    <w:rsid w:val="00AC24B3"/>
    <w:rsid w:val="00AC2B67"/>
    <w:rsid w:val="00AC2D0F"/>
    <w:rsid w:val="00AC2EAF"/>
    <w:rsid w:val="00AC315D"/>
    <w:rsid w:val="00AC361D"/>
    <w:rsid w:val="00AC3844"/>
    <w:rsid w:val="00AC399C"/>
    <w:rsid w:val="00AC3DFD"/>
    <w:rsid w:val="00AC48BF"/>
    <w:rsid w:val="00AC4BF0"/>
    <w:rsid w:val="00AC4DB4"/>
    <w:rsid w:val="00AC528D"/>
    <w:rsid w:val="00AC5D64"/>
    <w:rsid w:val="00AC5FE4"/>
    <w:rsid w:val="00AC6157"/>
    <w:rsid w:val="00AC63F6"/>
    <w:rsid w:val="00AC6444"/>
    <w:rsid w:val="00AC67EE"/>
    <w:rsid w:val="00AC6F68"/>
    <w:rsid w:val="00AC71BA"/>
    <w:rsid w:val="00AC722B"/>
    <w:rsid w:val="00AC729A"/>
    <w:rsid w:val="00AC73E5"/>
    <w:rsid w:val="00AC793E"/>
    <w:rsid w:val="00AD00A6"/>
    <w:rsid w:val="00AD1575"/>
    <w:rsid w:val="00AD1886"/>
    <w:rsid w:val="00AD2287"/>
    <w:rsid w:val="00AD25E2"/>
    <w:rsid w:val="00AD2866"/>
    <w:rsid w:val="00AD2ACD"/>
    <w:rsid w:val="00AD2D16"/>
    <w:rsid w:val="00AD32DA"/>
    <w:rsid w:val="00AD3C4F"/>
    <w:rsid w:val="00AD49C1"/>
    <w:rsid w:val="00AD59D9"/>
    <w:rsid w:val="00AD5C41"/>
    <w:rsid w:val="00AD63EC"/>
    <w:rsid w:val="00AD63FC"/>
    <w:rsid w:val="00AD7F10"/>
    <w:rsid w:val="00AD7F4D"/>
    <w:rsid w:val="00AE03EC"/>
    <w:rsid w:val="00AE04EF"/>
    <w:rsid w:val="00AE0765"/>
    <w:rsid w:val="00AE078E"/>
    <w:rsid w:val="00AE0D92"/>
    <w:rsid w:val="00AE0DFA"/>
    <w:rsid w:val="00AE0E01"/>
    <w:rsid w:val="00AE115B"/>
    <w:rsid w:val="00AE17D3"/>
    <w:rsid w:val="00AE1E63"/>
    <w:rsid w:val="00AE1E7D"/>
    <w:rsid w:val="00AE22DC"/>
    <w:rsid w:val="00AE239F"/>
    <w:rsid w:val="00AE2856"/>
    <w:rsid w:val="00AE2D4D"/>
    <w:rsid w:val="00AE314F"/>
    <w:rsid w:val="00AE32E2"/>
    <w:rsid w:val="00AE3C6C"/>
    <w:rsid w:val="00AE407C"/>
    <w:rsid w:val="00AE419B"/>
    <w:rsid w:val="00AE4623"/>
    <w:rsid w:val="00AE4F7C"/>
    <w:rsid w:val="00AE544D"/>
    <w:rsid w:val="00AE56EF"/>
    <w:rsid w:val="00AE57F5"/>
    <w:rsid w:val="00AE5E39"/>
    <w:rsid w:val="00AE634F"/>
    <w:rsid w:val="00AE65C6"/>
    <w:rsid w:val="00AE69FB"/>
    <w:rsid w:val="00AE6ACA"/>
    <w:rsid w:val="00AE6BCA"/>
    <w:rsid w:val="00AE7132"/>
    <w:rsid w:val="00AE7903"/>
    <w:rsid w:val="00AE7A05"/>
    <w:rsid w:val="00AE7A48"/>
    <w:rsid w:val="00AE7E30"/>
    <w:rsid w:val="00AF05A6"/>
    <w:rsid w:val="00AF091B"/>
    <w:rsid w:val="00AF0A31"/>
    <w:rsid w:val="00AF1D41"/>
    <w:rsid w:val="00AF1F7D"/>
    <w:rsid w:val="00AF2085"/>
    <w:rsid w:val="00AF23E1"/>
    <w:rsid w:val="00AF2544"/>
    <w:rsid w:val="00AF3634"/>
    <w:rsid w:val="00AF3795"/>
    <w:rsid w:val="00AF3870"/>
    <w:rsid w:val="00AF3B07"/>
    <w:rsid w:val="00AF4287"/>
    <w:rsid w:val="00AF47A7"/>
    <w:rsid w:val="00AF4901"/>
    <w:rsid w:val="00AF4A40"/>
    <w:rsid w:val="00AF4BEC"/>
    <w:rsid w:val="00AF54B6"/>
    <w:rsid w:val="00AF5E3E"/>
    <w:rsid w:val="00AF5ED7"/>
    <w:rsid w:val="00AF60C9"/>
    <w:rsid w:val="00AF617B"/>
    <w:rsid w:val="00AF6316"/>
    <w:rsid w:val="00AF64A6"/>
    <w:rsid w:val="00AF72D8"/>
    <w:rsid w:val="00AF796D"/>
    <w:rsid w:val="00AF7AE1"/>
    <w:rsid w:val="00AF7B86"/>
    <w:rsid w:val="00AF7EE9"/>
    <w:rsid w:val="00B00193"/>
    <w:rsid w:val="00B001A1"/>
    <w:rsid w:val="00B001F6"/>
    <w:rsid w:val="00B005C6"/>
    <w:rsid w:val="00B00711"/>
    <w:rsid w:val="00B01F7E"/>
    <w:rsid w:val="00B02142"/>
    <w:rsid w:val="00B02356"/>
    <w:rsid w:val="00B025E9"/>
    <w:rsid w:val="00B02938"/>
    <w:rsid w:val="00B02CD9"/>
    <w:rsid w:val="00B030A1"/>
    <w:rsid w:val="00B03488"/>
    <w:rsid w:val="00B03498"/>
    <w:rsid w:val="00B038E9"/>
    <w:rsid w:val="00B03F5C"/>
    <w:rsid w:val="00B04CF6"/>
    <w:rsid w:val="00B04D24"/>
    <w:rsid w:val="00B04F7A"/>
    <w:rsid w:val="00B05199"/>
    <w:rsid w:val="00B05518"/>
    <w:rsid w:val="00B057A1"/>
    <w:rsid w:val="00B057B9"/>
    <w:rsid w:val="00B05820"/>
    <w:rsid w:val="00B05CF4"/>
    <w:rsid w:val="00B0616A"/>
    <w:rsid w:val="00B06524"/>
    <w:rsid w:val="00B06EC7"/>
    <w:rsid w:val="00B070A4"/>
    <w:rsid w:val="00B07269"/>
    <w:rsid w:val="00B0735A"/>
    <w:rsid w:val="00B07CE5"/>
    <w:rsid w:val="00B07FFC"/>
    <w:rsid w:val="00B10618"/>
    <w:rsid w:val="00B10E90"/>
    <w:rsid w:val="00B12071"/>
    <w:rsid w:val="00B120D6"/>
    <w:rsid w:val="00B12A03"/>
    <w:rsid w:val="00B12BEE"/>
    <w:rsid w:val="00B12C23"/>
    <w:rsid w:val="00B12FFE"/>
    <w:rsid w:val="00B135B5"/>
    <w:rsid w:val="00B13917"/>
    <w:rsid w:val="00B13C9A"/>
    <w:rsid w:val="00B13CE7"/>
    <w:rsid w:val="00B1416F"/>
    <w:rsid w:val="00B1523F"/>
    <w:rsid w:val="00B15315"/>
    <w:rsid w:val="00B1554D"/>
    <w:rsid w:val="00B15C8E"/>
    <w:rsid w:val="00B161E9"/>
    <w:rsid w:val="00B164EC"/>
    <w:rsid w:val="00B166EC"/>
    <w:rsid w:val="00B16A19"/>
    <w:rsid w:val="00B175C3"/>
    <w:rsid w:val="00B17BC3"/>
    <w:rsid w:val="00B17E74"/>
    <w:rsid w:val="00B207BD"/>
    <w:rsid w:val="00B20A27"/>
    <w:rsid w:val="00B210C2"/>
    <w:rsid w:val="00B21543"/>
    <w:rsid w:val="00B21843"/>
    <w:rsid w:val="00B21C20"/>
    <w:rsid w:val="00B23467"/>
    <w:rsid w:val="00B23847"/>
    <w:rsid w:val="00B2474A"/>
    <w:rsid w:val="00B2494F"/>
    <w:rsid w:val="00B24B95"/>
    <w:rsid w:val="00B24C9C"/>
    <w:rsid w:val="00B253E9"/>
    <w:rsid w:val="00B25EF9"/>
    <w:rsid w:val="00B26323"/>
    <w:rsid w:val="00B26B80"/>
    <w:rsid w:val="00B27380"/>
    <w:rsid w:val="00B2764E"/>
    <w:rsid w:val="00B277CA"/>
    <w:rsid w:val="00B27BE3"/>
    <w:rsid w:val="00B27C9F"/>
    <w:rsid w:val="00B3075B"/>
    <w:rsid w:val="00B3087D"/>
    <w:rsid w:val="00B30C8F"/>
    <w:rsid w:val="00B311AA"/>
    <w:rsid w:val="00B314EE"/>
    <w:rsid w:val="00B336E8"/>
    <w:rsid w:val="00B336F4"/>
    <w:rsid w:val="00B33C17"/>
    <w:rsid w:val="00B34794"/>
    <w:rsid w:val="00B3512D"/>
    <w:rsid w:val="00B3525E"/>
    <w:rsid w:val="00B357F1"/>
    <w:rsid w:val="00B368BE"/>
    <w:rsid w:val="00B36B3F"/>
    <w:rsid w:val="00B36E78"/>
    <w:rsid w:val="00B36F27"/>
    <w:rsid w:val="00B37511"/>
    <w:rsid w:val="00B376DF"/>
    <w:rsid w:val="00B3785D"/>
    <w:rsid w:val="00B37892"/>
    <w:rsid w:val="00B37E15"/>
    <w:rsid w:val="00B403EE"/>
    <w:rsid w:val="00B40BEA"/>
    <w:rsid w:val="00B410FC"/>
    <w:rsid w:val="00B4135E"/>
    <w:rsid w:val="00B41683"/>
    <w:rsid w:val="00B41843"/>
    <w:rsid w:val="00B4184C"/>
    <w:rsid w:val="00B41A57"/>
    <w:rsid w:val="00B41C91"/>
    <w:rsid w:val="00B4224A"/>
    <w:rsid w:val="00B42E19"/>
    <w:rsid w:val="00B42E4C"/>
    <w:rsid w:val="00B43408"/>
    <w:rsid w:val="00B4347C"/>
    <w:rsid w:val="00B43728"/>
    <w:rsid w:val="00B43A41"/>
    <w:rsid w:val="00B43D15"/>
    <w:rsid w:val="00B43E30"/>
    <w:rsid w:val="00B44611"/>
    <w:rsid w:val="00B44D61"/>
    <w:rsid w:val="00B44DE0"/>
    <w:rsid w:val="00B45330"/>
    <w:rsid w:val="00B45591"/>
    <w:rsid w:val="00B45A6B"/>
    <w:rsid w:val="00B45A70"/>
    <w:rsid w:val="00B46C05"/>
    <w:rsid w:val="00B47160"/>
    <w:rsid w:val="00B47463"/>
    <w:rsid w:val="00B47BF0"/>
    <w:rsid w:val="00B47E8C"/>
    <w:rsid w:val="00B5114E"/>
    <w:rsid w:val="00B5117A"/>
    <w:rsid w:val="00B51188"/>
    <w:rsid w:val="00B511F9"/>
    <w:rsid w:val="00B5151B"/>
    <w:rsid w:val="00B51BAE"/>
    <w:rsid w:val="00B51C22"/>
    <w:rsid w:val="00B52258"/>
    <w:rsid w:val="00B5287F"/>
    <w:rsid w:val="00B52D91"/>
    <w:rsid w:val="00B52FC8"/>
    <w:rsid w:val="00B53A36"/>
    <w:rsid w:val="00B53D09"/>
    <w:rsid w:val="00B53DF4"/>
    <w:rsid w:val="00B5477F"/>
    <w:rsid w:val="00B54A3C"/>
    <w:rsid w:val="00B54FB9"/>
    <w:rsid w:val="00B554AE"/>
    <w:rsid w:val="00B556C0"/>
    <w:rsid w:val="00B5647A"/>
    <w:rsid w:val="00B5699C"/>
    <w:rsid w:val="00B56A70"/>
    <w:rsid w:val="00B56B13"/>
    <w:rsid w:val="00B56C6D"/>
    <w:rsid w:val="00B56E3C"/>
    <w:rsid w:val="00B56F2F"/>
    <w:rsid w:val="00B56FBE"/>
    <w:rsid w:val="00B574BA"/>
    <w:rsid w:val="00B5781C"/>
    <w:rsid w:val="00B57A4D"/>
    <w:rsid w:val="00B57A76"/>
    <w:rsid w:val="00B57B1C"/>
    <w:rsid w:val="00B57DF0"/>
    <w:rsid w:val="00B57F55"/>
    <w:rsid w:val="00B60170"/>
    <w:rsid w:val="00B60396"/>
    <w:rsid w:val="00B60421"/>
    <w:rsid w:val="00B606AA"/>
    <w:rsid w:val="00B60838"/>
    <w:rsid w:val="00B60A87"/>
    <w:rsid w:val="00B60B9B"/>
    <w:rsid w:val="00B6173A"/>
    <w:rsid w:val="00B617B1"/>
    <w:rsid w:val="00B61E45"/>
    <w:rsid w:val="00B6230B"/>
    <w:rsid w:val="00B62875"/>
    <w:rsid w:val="00B62E28"/>
    <w:rsid w:val="00B632A3"/>
    <w:rsid w:val="00B63491"/>
    <w:rsid w:val="00B63808"/>
    <w:rsid w:val="00B63B87"/>
    <w:rsid w:val="00B63E34"/>
    <w:rsid w:val="00B64169"/>
    <w:rsid w:val="00B64606"/>
    <w:rsid w:val="00B64950"/>
    <w:rsid w:val="00B64986"/>
    <w:rsid w:val="00B64BA6"/>
    <w:rsid w:val="00B64C72"/>
    <w:rsid w:val="00B64C84"/>
    <w:rsid w:val="00B65036"/>
    <w:rsid w:val="00B65143"/>
    <w:rsid w:val="00B652E4"/>
    <w:rsid w:val="00B6586A"/>
    <w:rsid w:val="00B6634E"/>
    <w:rsid w:val="00B66624"/>
    <w:rsid w:val="00B667FA"/>
    <w:rsid w:val="00B667FF"/>
    <w:rsid w:val="00B6682A"/>
    <w:rsid w:val="00B66D35"/>
    <w:rsid w:val="00B66F68"/>
    <w:rsid w:val="00B673CB"/>
    <w:rsid w:val="00B7006F"/>
    <w:rsid w:val="00B70417"/>
    <w:rsid w:val="00B70821"/>
    <w:rsid w:val="00B708B3"/>
    <w:rsid w:val="00B70AD1"/>
    <w:rsid w:val="00B70B4E"/>
    <w:rsid w:val="00B71361"/>
    <w:rsid w:val="00B71759"/>
    <w:rsid w:val="00B7225E"/>
    <w:rsid w:val="00B73344"/>
    <w:rsid w:val="00B746B4"/>
    <w:rsid w:val="00B74A9F"/>
    <w:rsid w:val="00B75693"/>
    <w:rsid w:val="00B76E86"/>
    <w:rsid w:val="00B806D1"/>
    <w:rsid w:val="00B80EE9"/>
    <w:rsid w:val="00B80FE9"/>
    <w:rsid w:val="00B810C2"/>
    <w:rsid w:val="00B81157"/>
    <w:rsid w:val="00B814DD"/>
    <w:rsid w:val="00B82B39"/>
    <w:rsid w:val="00B82C2A"/>
    <w:rsid w:val="00B82D0E"/>
    <w:rsid w:val="00B83911"/>
    <w:rsid w:val="00B83C8A"/>
    <w:rsid w:val="00B83E9E"/>
    <w:rsid w:val="00B83FA0"/>
    <w:rsid w:val="00B8419E"/>
    <w:rsid w:val="00B845C9"/>
    <w:rsid w:val="00B84B7B"/>
    <w:rsid w:val="00B84BF8"/>
    <w:rsid w:val="00B84D35"/>
    <w:rsid w:val="00B8594B"/>
    <w:rsid w:val="00B8641B"/>
    <w:rsid w:val="00B86984"/>
    <w:rsid w:val="00B86AC2"/>
    <w:rsid w:val="00B86C9B"/>
    <w:rsid w:val="00B86DA5"/>
    <w:rsid w:val="00B8725D"/>
    <w:rsid w:val="00B87F5D"/>
    <w:rsid w:val="00B90586"/>
    <w:rsid w:val="00B90608"/>
    <w:rsid w:val="00B9165C"/>
    <w:rsid w:val="00B91AFA"/>
    <w:rsid w:val="00B924D7"/>
    <w:rsid w:val="00B933F7"/>
    <w:rsid w:val="00B93726"/>
    <w:rsid w:val="00B93E6E"/>
    <w:rsid w:val="00B942BD"/>
    <w:rsid w:val="00B94363"/>
    <w:rsid w:val="00B9443F"/>
    <w:rsid w:val="00B94B4C"/>
    <w:rsid w:val="00B95156"/>
    <w:rsid w:val="00B95C5F"/>
    <w:rsid w:val="00B95CF6"/>
    <w:rsid w:val="00B9619A"/>
    <w:rsid w:val="00B9622D"/>
    <w:rsid w:val="00B96AD7"/>
    <w:rsid w:val="00B96C07"/>
    <w:rsid w:val="00B96C12"/>
    <w:rsid w:val="00B96D4C"/>
    <w:rsid w:val="00B9710D"/>
    <w:rsid w:val="00BA00A8"/>
    <w:rsid w:val="00BA01FE"/>
    <w:rsid w:val="00BA0C37"/>
    <w:rsid w:val="00BA0DB1"/>
    <w:rsid w:val="00BA131E"/>
    <w:rsid w:val="00BA182C"/>
    <w:rsid w:val="00BA1A74"/>
    <w:rsid w:val="00BA1D1F"/>
    <w:rsid w:val="00BA2A48"/>
    <w:rsid w:val="00BA2D37"/>
    <w:rsid w:val="00BA30F3"/>
    <w:rsid w:val="00BA47F0"/>
    <w:rsid w:val="00BA498B"/>
    <w:rsid w:val="00BA4A93"/>
    <w:rsid w:val="00BA4AE6"/>
    <w:rsid w:val="00BA4C15"/>
    <w:rsid w:val="00BA4CF6"/>
    <w:rsid w:val="00BA4D5F"/>
    <w:rsid w:val="00BA4E3E"/>
    <w:rsid w:val="00BA583A"/>
    <w:rsid w:val="00BA64FA"/>
    <w:rsid w:val="00BA6803"/>
    <w:rsid w:val="00BA6A0F"/>
    <w:rsid w:val="00BA6ACB"/>
    <w:rsid w:val="00BA6ADE"/>
    <w:rsid w:val="00BA6AEA"/>
    <w:rsid w:val="00BA6CEC"/>
    <w:rsid w:val="00BA7456"/>
    <w:rsid w:val="00BA7BE2"/>
    <w:rsid w:val="00BA7C5D"/>
    <w:rsid w:val="00BB0243"/>
    <w:rsid w:val="00BB064F"/>
    <w:rsid w:val="00BB09AC"/>
    <w:rsid w:val="00BB0DC2"/>
    <w:rsid w:val="00BB1BB1"/>
    <w:rsid w:val="00BB2206"/>
    <w:rsid w:val="00BB29A8"/>
    <w:rsid w:val="00BB2D20"/>
    <w:rsid w:val="00BB332A"/>
    <w:rsid w:val="00BB385E"/>
    <w:rsid w:val="00BB3C74"/>
    <w:rsid w:val="00BB43FB"/>
    <w:rsid w:val="00BB44A8"/>
    <w:rsid w:val="00BB4F77"/>
    <w:rsid w:val="00BB54D5"/>
    <w:rsid w:val="00BB55AD"/>
    <w:rsid w:val="00BB55B9"/>
    <w:rsid w:val="00BB6036"/>
    <w:rsid w:val="00BB6593"/>
    <w:rsid w:val="00BB6768"/>
    <w:rsid w:val="00BB6F66"/>
    <w:rsid w:val="00BB6FBF"/>
    <w:rsid w:val="00BB743C"/>
    <w:rsid w:val="00BB76AC"/>
    <w:rsid w:val="00BB7998"/>
    <w:rsid w:val="00BC0113"/>
    <w:rsid w:val="00BC0261"/>
    <w:rsid w:val="00BC04EB"/>
    <w:rsid w:val="00BC12F2"/>
    <w:rsid w:val="00BC173F"/>
    <w:rsid w:val="00BC199B"/>
    <w:rsid w:val="00BC19A9"/>
    <w:rsid w:val="00BC1EF7"/>
    <w:rsid w:val="00BC1F72"/>
    <w:rsid w:val="00BC2091"/>
    <w:rsid w:val="00BC270A"/>
    <w:rsid w:val="00BC2877"/>
    <w:rsid w:val="00BC2D3A"/>
    <w:rsid w:val="00BC2E02"/>
    <w:rsid w:val="00BC3656"/>
    <w:rsid w:val="00BC38A4"/>
    <w:rsid w:val="00BC3A3D"/>
    <w:rsid w:val="00BC402D"/>
    <w:rsid w:val="00BC4485"/>
    <w:rsid w:val="00BC44D1"/>
    <w:rsid w:val="00BC4F45"/>
    <w:rsid w:val="00BC52F1"/>
    <w:rsid w:val="00BC569F"/>
    <w:rsid w:val="00BC59FD"/>
    <w:rsid w:val="00BC6077"/>
    <w:rsid w:val="00BC6443"/>
    <w:rsid w:val="00BC64E2"/>
    <w:rsid w:val="00BC7124"/>
    <w:rsid w:val="00BC7138"/>
    <w:rsid w:val="00BC7AE0"/>
    <w:rsid w:val="00BD0874"/>
    <w:rsid w:val="00BD0D05"/>
    <w:rsid w:val="00BD168B"/>
    <w:rsid w:val="00BD2408"/>
    <w:rsid w:val="00BD2F21"/>
    <w:rsid w:val="00BD36A9"/>
    <w:rsid w:val="00BD4580"/>
    <w:rsid w:val="00BD4888"/>
    <w:rsid w:val="00BD4DC9"/>
    <w:rsid w:val="00BD5016"/>
    <w:rsid w:val="00BD5131"/>
    <w:rsid w:val="00BD5573"/>
    <w:rsid w:val="00BD5CC0"/>
    <w:rsid w:val="00BD5E79"/>
    <w:rsid w:val="00BD6A06"/>
    <w:rsid w:val="00BD6C0D"/>
    <w:rsid w:val="00BD6D95"/>
    <w:rsid w:val="00BD71C5"/>
    <w:rsid w:val="00BE1EC0"/>
    <w:rsid w:val="00BE1F72"/>
    <w:rsid w:val="00BE2278"/>
    <w:rsid w:val="00BE2477"/>
    <w:rsid w:val="00BE3A12"/>
    <w:rsid w:val="00BE5026"/>
    <w:rsid w:val="00BE54F2"/>
    <w:rsid w:val="00BE55E8"/>
    <w:rsid w:val="00BE5F22"/>
    <w:rsid w:val="00BE6149"/>
    <w:rsid w:val="00BE6340"/>
    <w:rsid w:val="00BE6406"/>
    <w:rsid w:val="00BE7228"/>
    <w:rsid w:val="00BE75B1"/>
    <w:rsid w:val="00BE77B3"/>
    <w:rsid w:val="00BE788B"/>
    <w:rsid w:val="00BE7C0A"/>
    <w:rsid w:val="00BF0079"/>
    <w:rsid w:val="00BF0A1C"/>
    <w:rsid w:val="00BF0A86"/>
    <w:rsid w:val="00BF0F92"/>
    <w:rsid w:val="00BF132B"/>
    <w:rsid w:val="00BF1B4C"/>
    <w:rsid w:val="00BF1EC8"/>
    <w:rsid w:val="00BF231C"/>
    <w:rsid w:val="00BF2385"/>
    <w:rsid w:val="00BF2E0D"/>
    <w:rsid w:val="00BF353A"/>
    <w:rsid w:val="00BF3E34"/>
    <w:rsid w:val="00BF3E7C"/>
    <w:rsid w:val="00BF4136"/>
    <w:rsid w:val="00BF4EDD"/>
    <w:rsid w:val="00BF4FEE"/>
    <w:rsid w:val="00BF53ED"/>
    <w:rsid w:val="00BF5684"/>
    <w:rsid w:val="00BF5B69"/>
    <w:rsid w:val="00BF5BB5"/>
    <w:rsid w:val="00BF6612"/>
    <w:rsid w:val="00BF68CF"/>
    <w:rsid w:val="00BF6F57"/>
    <w:rsid w:val="00BF7C3B"/>
    <w:rsid w:val="00BF7EEE"/>
    <w:rsid w:val="00BF7F76"/>
    <w:rsid w:val="00C00571"/>
    <w:rsid w:val="00C005C7"/>
    <w:rsid w:val="00C00C75"/>
    <w:rsid w:val="00C0126C"/>
    <w:rsid w:val="00C01451"/>
    <w:rsid w:val="00C014BF"/>
    <w:rsid w:val="00C01572"/>
    <w:rsid w:val="00C01B80"/>
    <w:rsid w:val="00C01CAF"/>
    <w:rsid w:val="00C024AF"/>
    <w:rsid w:val="00C02668"/>
    <w:rsid w:val="00C0275B"/>
    <w:rsid w:val="00C02772"/>
    <w:rsid w:val="00C027EC"/>
    <w:rsid w:val="00C028F2"/>
    <w:rsid w:val="00C02A32"/>
    <w:rsid w:val="00C031BE"/>
    <w:rsid w:val="00C03532"/>
    <w:rsid w:val="00C03689"/>
    <w:rsid w:val="00C04B3B"/>
    <w:rsid w:val="00C04F77"/>
    <w:rsid w:val="00C050EF"/>
    <w:rsid w:val="00C05521"/>
    <w:rsid w:val="00C067B4"/>
    <w:rsid w:val="00C06A55"/>
    <w:rsid w:val="00C06E37"/>
    <w:rsid w:val="00C073E5"/>
    <w:rsid w:val="00C07455"/>
    <w:rsid w:val="00C07C94"/>
    <w:rsid w:val="00C07DF3"/>
    <w:rsid w:val="00C10089"/>
    <w:rsid w:val="00C1028F"/>
    <w:rsid w:val="00C1076B"/>
    <w:rsid w:val="00C10B5F"/>
    <w:rsid w:val="00C1117F"/>
    <w:rsid w:val="00C112D1"/>
    <w:rsid w:val="00C132D8"/>
    <w:rsid w:val="00C13611"/>
    <w:rsid w:val="00C13681"/>
    <w:rsid w:val="00C13B22"/>
    <w:rsid w:val="00C13BE9"/>
    <w:rsid w:val="00C149BD"/>
    <w:rsid w:val="00C150AB"/>
    <w:rsid w:val="00C1575A"/>
    <w:rsid w:val="00C159C1"/>
    <w:rsid w:val="00C15A1E"/>
    <w:rsid w:val="00C15C23"/>
    <w:rsid w:val="00C15C51"/>
    <w:rsid w:val="00C163CF"/>
    <w:rsid w:val="00C164B6"/>
    <w:rsid w:val="00C16A2F"/>
    <w:rsid w:val="00C16A30"/>
    <w:rsid w:val="00C172E5"/>
    <w:rsid w:val="00C205C3"/>
    <w:rsid w:val="00C20602"/>
    <w:rsid w:val="00C21641"/>
    <w:rsid w:val="00C2174D"/>
    <w:rsid w:val="00C21B19"/>
    <w:rsid w:val="00C21BD5"/>
    <w:rsid w:val="00C22A4F"/>
    <w:rsid w:val="00C23349"/>
    <w:rsid w:val="00C2396A"/>
    <w:rsid w:val="00C23CB1"/>
    <w:rsid w:val="00C243A2"/>
    <w:rsid w:val="00C24524"/>
    <w:rsid w:val="00C24EE9"/>
    <w:rsid w:val="00C25488"/>
    <w:rsid w:val="00C25A82"/>
    <w:rsid w:val="00C25F1C"/>
    <w:rsid w:val="00C26E14"/>
    <w:rsid w:val="00C27652"/>
    <w:rsid w:val="00C277C9"/>
    <w:rsid w:val="00C27B87"/>
    <w:rsid w:val="00C301BC"/>
    <w:rsid w:val="00C30485"/>
    <w:rsid w:val="00C307E1"/>
    <w:rsid w:val="00C308A4"/>
    <w:rsid w:val="00C3123A"/>
    <w:rsid w:val="00C31C69"/>
    <w:rsid w:val="00C323A1"/>
    <w:rsid w:val="00C325CE"/>
    <w:rsid w:val="00C32770"/>
    <w:rsid w:val="00C32A65"/>
    <w:rsid w:val="00C33A1A"/>
    <w:rsid w:val="00C340CF"/>
    <w:rsid w:val="00C347BA"/>
    <w:rsid w:val="00C35DB4"/>
    <w:rsid w:val="00C35F22"/>
    <w:rsid w:val="00C361C6"/>
    <w:rsid w:val="00C363C2"/>
    <w:rsid w:val="00C3724E"/>
    <w:rsid w:val="00C402DE"/>
    <w:rsid w:val="00C40415"/>
    <w:rsid w:val="00C4047C"/>
    <w:rsid w:val="00C40A70"/>
    <w:rsid w:val="00C40A7C"/>
    <w:rsid w:val="00C40AE4"/>
    <w:rsid w:val="00C40EAE"/>
    <w:rsid w:val="00C413D1"/>
    <w:rsid w:val="00C41482"/>
    <w:rsid w:val="00C41871"/>
    <w:rsid w:val="00C41CBE"/>
    <w:rsid w:val="00C4203D"/>
    <w:rsid w:val="00C42244"/>
    <w:rsid w:val="00C4230D"/>
    <w:rsid w:val="00C43C4F"/>
    <w:rsid w:val="00C43D9E"/>
    <w:rsid w:val="00C44644"/>
    <w:rsid w:val="00C4468E"/>
    <w:rsid w:val="00C446D8"/>
    <w:rsid w:val="00C45275"/>
    <w:rsid w:val="00C456A9"/>
    <w:rsid w:val="00C46658"/>
    <w:rsid w:val="00C46C02"/>
    <w:rsid w:val="00C475B5"/>
    <w:rsid w:val="00C477FA"/>
    <w:rsid w:val="00C479FE"/>
    <w:rsid w:val="00C47B9B"/>
    <w:rsid w:val="00C5082F"/>
    <w:rsid w:val="00C5093A"/>
    <w:rsid w:val="00C50D10"/>
    <w:rsid w:val="00C51178"/>
    <w:rsid w:val="00C513B2"/>
    <w:rsid w:val="00C51913"/>
    <w:rsid w:val="00C51DA6"/>
    <w:rsid w:val="00C52002"/>
    <w:rsid w:val="00C521DF"/>
    <w:rsid w:val="00C523DA"/>
    <w:rsid w:val="00C5274E"/>
    <w:rsid w:val="00C5289E"/>
    <w:rsid w:val="00C52E0A"/>
    <w:rsid w:val="00C53399"/>
    <w:rsid w:val="00C5376C"/>
    <w:rsid w:val="00C53D3B"/>
    <w:rsid w:val="00C55700"/>
    <w:rsid w:val="00C55C1A"/>
    <w:rsid w:val="00C563C6"/>
    <w:rsid w:val="00C5684A"/>
    <w:rsid w:val="00C56899"/>
    <w:rsid w:val="00C57568"/>
    <w:rsid w:val="00C577F0"/>
    <w:rsid w:val="00C57EC1"/>
    <w:rsid w:val="00C604C5"/>
    <w:rsid w:val="00C6060E"/>
    <w:rsid w:val="00C61DFA"/>
    <w:rsid w:val="00C62030"/>
    <w:rsid w:val="00C621A2"/>
    <w:rsid w:val="00C631A5"/>
    <w:rsid w:val="00C634DD"/>
    <w:rsid w:val="00C63891"/>
    <w:rsid w:val="00C6392C"/>
    <w:rsid w:val="00C64213"/>
    <w:rsid w:val="00C64591"/>
    <w:rsid w:val="00C64ADC"/>
    <w:rsid w:val="00C6534F"/>
    <w:rsid w:val="00C654F5"/>
    <w:rsid w:val="00C65818"/>
    <w:rsid w:val="00C65AA2"/>
    <w:rsid w:val="00C65AEE"/>
    <w:rsid w:val="00C66506"/>
    <w:rsid w:val="00C66D59"/>
    <w:rsid w:val="00C66F48"/>
    <w:rsid w:val="00C67260"/>
    <w:rsid w:val="00C67409"/>
    <w:rsid w:val="00C6796D"/>
    <w:rsid w:val="00C679A1"/>
    <w:rsid w:val="00C67EB9"/>
    <w:rsid w:val="00C70411"/>
    <w:rsid w:val="00C708E1"/>
    <w:rsid w:val="00C70924"/>
    <w:rsid w:val="00C70E58"/>
    <w:rsid w:val="00C70F48"/>
    <w:rsid w:val="00C70F6A"/>
    <w:rsid w:val="00C710B1"/>
    <w:rsid w:val="00C71F34"/>
    <w:rsid w:val="00C71F89"/>
    <w:rsid w:val="00C71FDD"/>
    <w:rsid w:val="00C72529"/>
    <w:rsid w:val="00C72902"/>
    <w:rsid w:val="00C72BAC"/>
    <w:rsid w:val="00C72D69"/>
    <w:rsid w:val="00C7363F"/>
    <w:rsid w:val="00C736C0"/>
    <w:rsid w:val="00C741B3"/>
    <w:rsid w:val="00C7445C"/>
    <w:rsid w:val="00C745DD"/>
    <w:rsid w:val="00C7487B"/>
    <w:rsid w:val="00C74E8A"/>
    <w:rsid w:val="00C75052"/>
    <w:rsid w:val="00C758DF"/>
    <w:rsid w:val="00C75C58"/>
    <w:rsid w:val="00C7670A"/>
    <w:rsid w:val="00C779F0"/>
    <w:rsid w:val="00C77C1D"/>
    <w:rsid w:val="00C77EF9"/>
    <w:rsid w:val="00C8060B"/>
    <w:rsid w:val="00C80E20"/>
    <w:rsid w:val="00C80EA0"/>
    <w:rsid w:val="00C8136D"/>
    <w:rsid w:val="00C81640"/>
    <w:rsid w:val="00C81804"/>
    <w:rsid w:val="00C822F2"/>
    <w:rsid w:val="00C82360"/>
    <w:rsid w:val="00C82374"/>
    <w:rsid w:val="00C833CC"/>
    <w:rsid w:val="00C836C2"/>
    <w:rsid w:val="00C83CE8"/>
    <w:rsid w:val="00C84112"/>
    <w:rsid w:val="00C84133"/>
    <w:rsid w:val="00C84134"/>
    <w:rsid w:val="00C84229"/>
    <w:rsid w:val="00C8462C"/>
    <w:rsid w:val="00C84797"/>
    <w:rsid w:val="00C84821"/>
    <w:rsid w:val="00C84B4B"/>
    <w:rsid w:val="00C85000"/>
    <w:rsid w:val="00C8547C"/>
    <w:rsid w:val="00C858EB"/>
    <w:rsid w:val="00C85973"/>
    <w:rsid w:val="00C85D56"/>
    <w:rsid w:val="00C8620D"/>
    <w:rsid w:val="00C86AA2"/>
    <w:rsid w:val="00C86D5E"/>
    <w:rsid w:val="00C86D6B"/>
    <w:rsid w:val="00C87463"/>
    <w:rsid w:val="00C876AA"/>
    <w:rsid w:val="00C87A0D"/>
    <w:rsid w:val="00C87FBE"/>
    <w:rsid w:val="00C9029B"/>
    <w:rsid w:val="00C90642"/>
    <w:rsid w:val="00C9071C"/>
    <w:rsid w:val="00C9076F"/>
    <w:rsid w:val="00C907A1"/>
    <w:rsid w:val="00C907C8"/>
    <w:rsid w:val="00C907DF"/>
    <w:rsid w:val="00C908DE"/>
    <w:rsid w:val="00C90CE6"/>
    <w:rsid w:val="00C90D14"/>
    <w:rsid w:val="00C913A1"/>
    <w:rsid w:val="00C9187C"/>
    <w:rsid w:val="00C92085"/>
    <w:rsid w:val="00C920EF"/>
    <w:rsid w:val="00C92F61"/>
    <w:rsid w:val="00C93DF1"/>
    <w:rsid w:val="00C94366"/>
    <w:rsid w:val="00C9440B"/>
    <w:rsid w:val="00C946D6"/>
    <w:rsid w:val="00C9472F"/>
    <w:rsid w:val="00C94D94"/>
    <w:rsid w:val="00C94E2E"/>
    <w:rsid w:val="00C951EE"/>
    <w:rsid w:val="00C95E65"/>
    <w:rsid w:val="00C96229"/>
    <w:rsid w:val="00C96454"/>
    <w:rsid w:val="00C967E5"/>
    <w:rsid w:val="00C96CAC"/>
    <w:rsid w:val="00C97745"/>
    <w:rsid w:val="00CA0EF4"/>
    <w:rsid w:val="00CA105F"/>
    <w:rsid w:val="00CA12F8"/>
    <w:rsid w:val="00CA1A1B"/>
    <w:rsid w:val="00CA1FFE"/>
    <w:rsid w:val="00CA2443"/>
    <w:rsid w:val="00CA3836"/>
    <w:rsid w:val="00CA3EAE"/>
    <w:rsid w:val="00CA4062"/>
    <w:rsid w:val="00CA4625"/>
    <w:rsid w:val="00CA4F1C"/>
    <w:rsid w:val="00CA5071"/>
    <w:rsid w:val="00CA5234"/>
    <w:rsid w:val="00CA5286"/>
    <w:rsid w:val="00CA5360"/>
    <w:rsid w:val="00CA55AE"/>
    <w:rsid w:val="00CA564B"/>
    <w:rsid w:val="00CA5670"/>
    <w:rsid w:val="00CA5E86"/>
    <w:rsid w:val="00CA6DC8"/>
    <w:rsid w:val="00CA7FC6"/>
    <w:rsid w:val="00CA7FEB"/>
    <w:rsid w:val="00CB008A"/>
    <w:rsid w:val="00CB03A0"/>
    <w:rsid w:val="00CB0473"/>
    <w:rsid w:val="00CB072C"/>
    <w:rsid w:val="00CB0A6D"/>
    <w:rsid w:val="00CB0CEA"/>
    <w:rsid w:val="00CB0F76"/>
    <w:rsid w:val="00CB1ACE"/>
    <w:rsid w:val="00CB1E68"/>
    <w:rsid w:val="00CB2B69"/>
    <w:rsid w:val="00CB2B79"/>
    <w:rsid w:val="00CB2D60"/>
    <w:rsid w:val="00CB2E4A"/>
    <w:rsid w:val="00CB2E59"/>
    <w:rsid w:val="00CB368F"/>
    <w:rsid w:val="00CB3C04"/>
    <w:rsid w:val="00CB3D8B"/>
    <w:rsid w:val="00CB3FDD"/>
    <w:rsid w:val="00CB43BA"/>
    <w:rsid w:val="00CB4B00"/>
    <w:rsid w:val="00CB4B0F"/>
    <w:rsid w:val="00CB586B"/>
    <w:rsid w:val="00CB5889"/>
    <w:rsid w:val="00CB5BB3"/>
    <w:rsid w:val="00CB63D5"/>
    <w:rsid w:val="00CB6636"/>
    <w:rsid w:val="00CB6919"/>
    <w:rsid w:val="00CB6952"/>
    <w:rsid w:val="00CB6A5D"/>
    <w:rsid w:val="00CB704F"/>
    <w:rsid w:val="00CB72BC"/>
    <w:rsid w:val="00CB776A"/>
    <w:rsid w:val="00CB7800"/>
    <w:rsid w:val="00CB7A03"/>
    <w:rsid w:val="00CB7A9B"/>
    <w:rsid w:val="00CB7BCA"/>
    <w:rsid w:val="00CB7D3D"/>
    <w:rsid w:val="00CBBFF5"/>
    <w:rsid w:val="00CC01ED"/>
    <w:rsid w:val="00CC0517"/>
    <w:rsid w:val="00CC053B"/>
    <w:rsid w:val="00CC0810"/>
    <w:rsid w:val="00CC08AC"/>
    <w:rsid w:val="00CC09DC"/>
    <w:rsid w:val="00CC0BFD"/>
    <w:rsid w:val="00CC0DAB"/>
    <w:rsid w:val="00CC1479"/>
    <w:rsid w:val="00CC1B15"/>
    <w:rsid w:val="00CC1D59"/>
    <w:rsid w:val="00CC20E0"/>
    <w:rsid w:val="00CC27C9"/>
    <w:rsid w:val="00CC2BE7"/>
    <w:rsid w:val="00CC2FBC"/>
    <w:rsid w:val="00CC30DB"/>
    <w:rsid w:val="00CC3260"/>
    <w:rsid w:val="00CC3B3E"/>
    <w:rsid w:val="00CC3C33"/>
    <w:rsid w:val="00CC3EC8"/>
    <w:rsid w:val="00CC439C"/>
    <w:rsid w:val="00CC53E1"/>
    <w:rsid w:val="00CC5E25"/>
    <w:rsid w:val="00CC6111"/>
    <w:rsid w:val="00CC6A99"/>
    <w:rsid w:val="00CC6E58"/>
    <w:rsid w:val="00CC73F0"/>
    <w:rsid w:val="00CD079D"/>
    <w:rsid w:val="00CD132E"/>
    <w:rsid w:val="00CD2016"/>
    <w:rsid w:val="00CD2173"/>
    <w:rsid w:val="00CD2C91"/>
    <w:rsid w:val="00CD32A6"/>
    <w:rsid w:val="00CD3C21"/>
    <w:rsid w:val="00CD55DB"/>
    <w:rsid w:val="00CD5646"/>
    <w:rsid w:val="00CD5FE5"/>
    <w:rsid w:val="00CD629E"/>
    <w:rsid w:val="00CD62B8"/>
    <w:rsid w:val="00CD6447"/>
    <w:rsid w:val="00CD675C"/>
    <w:rsid w:val="00CD67B1"/>
    <w:rsid w:val="00CD6B0D"/>
    <w:rsid w:val="00CD6FD1"/>
    <w:rsid w:val="00CD71B3"/>
    <w:rsid w:val="00CD7631"/>
    <w:rsid w:val="00CD7D51"/>
    <w:rsid w:val="00CE0AC6"/>
    <w:rsid w:val="00CE1070"/>
    <w:rsid w:val="00CE113D"/>
    <w:rsid w:val="00CE120A"/>
    <w:rsid w:val="00CE1515"/>
    <w:rsid w:val="00CE18F5"/>
    <w:rsid w:val="00CE2959"/>
    <w:rsid w:val="00CE3166"/>
    <w:rsid w:val="00CE38E4"/>
    <w:rsid w:val="00CE3B4B"/>
    <w:rsid w:val="00CE421F"/>
    <w:rsid w:val="00CE488C"/>
    <w:rsid w:val="00CE48D2"/>
    <w:rsid w:val="00CE494F"/>
    <w:rsid w:val="00CE4A87"/>
    <w:rsid w:val="00CE5178"/>
    <w:rsid w:val="00CE5A03"/>
    <w:rsid w:val="00CE5FF5"/>
    <w:rsid w:val="00CE686A"/>
    <w:rsid w:val="00CE6FA7"/>
    <w:rsid w:val="00CE7520"/>
    <w:rsid w:val="00CE7F8E"/>
    <w:rsid w:val="00CF05DF"/>
    <w:rsid w:val="00CF0A8C"/>
    <w:rsid w:val="00CF103E"/>
    <w:rsid w:val="00CF1603"/>
    <w:rsid w:val="00CF16FF"/>
    <w:rsid w:val="00CF2407"/>
    <w:rsid w:val="00CF2D1C"/>
    <w:rsid w:val="00CF2DDF"/>
    <w:rsid w:val="00CF32DB"/>
    <w:rsid w:val="00CF3B7A"/>
    <w:rsid w:val="00CF3BF4"/>
    <w:rsid w:val="00CF3C3D"/>
    <w:rsid w:val="00CF4332"/>
    <w:rsid w:val="00CF4A10"/>
    <w:rsid w:val="00CF5669"/>
    <w:rsid w:val="00CF5F3D"/>
    <w:rsid w:val="00CF60CD"/>
    <w:rsid w:val="00CF6A31"/>
    <w:rsid w:val="00CF6D59"/>
    <w:rsid w:val="00CF6EC2"/>
    <w:rsid w:val="00CF6F33"/>
    <w:rsid w:val="00CF6F69"/>
    <w:rsid w:val="00CF72BC"/>
    <w:rsid w:val="00CF752A"/>
    <w:rsid w:val="00CF75A7"/>
    <w:rsid w:val="00CF766F"/>
    <w:rsid w:val="00CF7DF5"/>
    <w:rsid w:val="00D00536"/>
    <w:rsid w:val="00D007C9"/>
    <w:rsid w:val="00D00AA3"/>
    <w:rsid w:val="00D00FFB"/>
    <w:rsid w:val="00D011A8"/>
    <w:rsid w:val="00D019EF"/>
    <w:rsid w:val="00D02BB9"/>
    <w:rsid w:val="00D02DEC"/>
    <w:rsid w:val="00D02FAA"/>
    <w:rsid w:val="00D03057"/>
    <w:rsid w:val="00D0321A"/>
    <w:rsid w:val="00D032B6"/>
    <w:rsid w:val="00D03A87"/>
    <w:rsid w:val="00D04301"/>
    <w:rsid w:val="00D04936"/>
    <w:rsid w:val="00D04A41"/>
    <w:rsid w:val="00D04DD7"/>
    <w:rsid w:val="00D0533B"/>
    <w:rsid w:val="00D054E4"/>
    <w:rsid w:val="00D0575B"/>
    <w:rsid w:val="00D05F0B"/>
    <w:rsid w:val="00D07C69"/>
    <w:rsid w:val="00D07F73"/>
    <w:rsid w:val="00D10036"/>
    <w:rsid w:val="00D111E1"/>
    <w:rsid w:val="00D1157D"/>
    <w:rsid w:val="00D118E4"/>
    <w:rsid w:val="00D11CB4"/>
    <w:rsid w:val="00D1220D"/>
    <w:rsid w:val="00D12426"/>
    <w:rsid w:val="00D127E9"/>
    <w:rsid w:val="00D12CA4"/>
    <w:rsid w:val="00D131E5"/>
    <w:rsid w:val="00D13210"/>
    <w:rsid w:val="00D13694"/>
    <w:rsid w:val="00D137A4"/>
    <w:rsid w:val="00D14101"/>
    <w:rsid w:val="00D147B8"/>
    <w:rsid w:val="00D14928"/>
    <w:rsid w:val="00D150DC"/>
    <w:rsid w:val="00D15BFE"/>
    <w:rsid w:val="00D15DD7"/>
    <w:rsid w:val="00D163C0"/>
    <w:rsid w:val="00D166FF"/>
    <w:rsid w:val="00D16C4B"/>
    <w:rsid w:val="00D16D99"/>
    <w:rsid w:val="00D177A6"/>
    <w:rsid w:val="00D177A9"/>
    <w:rsid w:val="00D17C3F"/>
    <w:rsid w:val="00D2041C"/>
    <w:rsid w:val="00D206DF"/>
    <w:rsid w:val="00D207D7"/>
    <w:rsid w:val="00D20916"/>
    <w:rsid w:val="00D209A0"/>
    <w:rsid w:val="00D20AC4"/>
    <w:rsid w:val="00D20C90"/>
    <w:rsid w:val="00D21216"/>
    <w:rsid w:val="00D21635"/>
    <w:rsid w:val="00D21B8C"/>
    <w:rsid w:val="00D2279E"/>
    <w:rsid w:val="00D227E7"/>
    <w:rsid w:val="00D2291F"/>
    <w:rsid w:val="00D22C4A"/>
    <w:rsid w:val="00D22FE3"/>
    <w:rsid w:val="00D2357C"/>
    <w:rsid w:val="00D23E8B"/>
    <w:rsid w:val="00D241A4"/>
    <w:rsid w:val="00D242FB"/>
    <w:rsid w:val="00D248C6"/>
    <w:rsid w:val="00D24B19"/>
    <w:rsid w:val="00D25ADE"/>
    <w:rsid w:val="00D2608E"/>
    <w:rsid w:val="00D264B2"/>
    <w:rsid w:val="00D2657F"/>
    <w:rsid w:val="00D2662E"/>
    <w:rsid w:val="00D269C9"/>
    <w:rsid w:val="00D26E29"/>
    <w:rsid w:val="00D27725"/>
    <w:rsid w:val="00D2773A"/>
    <w:rsid w:val="00D2775C"/>
    <w:rsid w:val="00D27AF9"/>
    <w:rsid w:val="00D27B20"/>
    <w:rsid w:val="00D27F5C"/>
    <w:rsid w:val="00D2994E"/>
    <w:rsid w:val="00D30054"/>
    <w:rsid w:val="00D3059E"/>
    <w:rsid w:val="00D31569"/>
    <w:rsid w:val="00D317B8"/>
    <w:rsid w:val="00D326AB"/>
    <w:rsid w:val="00D32B34"/>
    <w:rsid w:val="00D33390"/>
    <w:rsid w:val="00D33592"/>
    <w:rsid w:val="00D34679"/>
    <w:rsid w:val="00D34E40"/>
    <w:rsid w:val="00D3520E"/>
    <w:rsid w:val="00D3523F"/>
    <w:rsid w:val="00D35C21"/>
    <w:rsid w:val="00D35F21"/>
    <w:rsid w:val="00D36027"/>
    <w:rsid w:val="00D364B3"/>
    <w:rsid w:val="00D36920"/>
    <w:rsid w:val="00D369E4"/>
    <w:rsid w:val="00D36A3E"/>
    <w:rsid w:val="00D36ADD"/>
    <w:rsid w:val="00D36B8D"/>
    <w:rsid w:val="00D36B99"/>
    <w:rsid w:val="00D36FDF"/>
    <w:rsid w:val="00D3704F"/>
    <w:rsid w:val="00D37A55"/>
    <w:rsid w:val="00D37C3B"/>
    <w:rsid w:val="00D4022C"/>
    <w:rsid w:val="00D4034A"/>
    <w:rsid w:val="00D40AD5"/>
    <w:rsid w:val="00D40C7A"/>
    <w:rsid w:val="00D41F78"/>
    <w:rsid w:val="00D42371"/>
    <w:rsid w:val="00D4244F"/>
    <w:rsid w:val="00D42D7E"/>
    <w:rsid w:val="00D42EB7"/>
    <w:rsid w:val="00D4321B"/>
    <w:rsid w:val="00D43297"/>
    <w:rsid w:val="00D43437"/>
    <w:rsid w:val="00D434C5"/>
    <w:rsid w:val="00D43555"/>
    <w:rsid w:val="00D43711"/>
    <w:rsid w:val="00D44216"/>
    <w:rsid w:val="00D44268"/>
    <w:rsid w:val="00D44606"/>
    <w:rsid w:val="00D44BE9"/>
    <w:rsid w:val="00D44DB6"/>
    <w:rsid w:val="00D44F87"/>
    <w:rsid w:val="00D45620"/>
    <w:rsid w:val="00D46061"/>
    <w:rsid w:val="00D4615B"/>
    <w:rsid w:val="00D461D0"/>
    <w:rsid w:val="00D4620E"/>
    <w:rsid w:val="00D46765"/>
    <w:rsid w:val="00D46889"/>
    <w:rsid w:val="00D4750A"/>
    <w:rsid w:val="00D47B08"/>
    <w:rsid w:val="00D50119"/>
    <w:rsid w:val="00D50132"/>
    <w:rsid w:val="00D505F7"/>
    <w:rsid w:val="00D508A1"/>
    <w:rsid w:val="00D50914"/>
    <w:rsid w:val="00D509F5"/>
    <w:rsid w:val="00D50D35"/>
    <w:rsid w:val="00D51088"/>
    <w:rsid w:val="00D519F3"/>
    <w:rsid w:val="00D51CB7"/>
    <w:rsid w:val="00D51D7E"/>
    <w:rsid w:val="00D5243D"/>
    <w:rsid w:val="00D524A2"/>
    <w:rsid w:val="00D52A05"/>
    <w:rsid w:val="00D5336C"/>
    <w:rsid w:val="00D53437"/>
    <w:rsid w:val="00D53762"/>
    <w:rsid w:val="00D53CF0"/>
    <w:rsid w:val="00D54431"/>
    <w:rsid w:val="00D544E1"/>
    <w:rsid w:val="00D545BC"/>
    <w:rsid w:val="00D547F4"/>
    <w:rsid w:val="00D54BA9"/>
    <w:rsid w:val="00D55F71"/>
    <w:rsid w:val="00D55FC2"/>
    <w:rsid w:val="00D56337"/>
    <w:rsid w:val="00D5699D"/>
    <w:rsid w:val="00D572ED"/>
    <w:rsid w:val="00D576BE"/>
    <w:rsid w:val="00D576F5"/>
    <w:rsid w:val="00D57D86"/>
    <w:rsid w:val="00D606A3"/>
    <w:rsid w:val="00D60F50"/>
    <w:rsid w:val="00D612A2"/>
    <w:rsid w:val="00D625CB"/>
    <w:rsid w:val="00D62C31"/>
    <w:rsid w:val="00D62CAC"/>
    <w:rsid w:val="00D63FE7"/>
    <w:rsid w:val="00D64034"/>
    <w:rsid w:val="00D644CE"/>
    <w:rsid w:val="00D645AD"/>
    <w:rsid w:val="00D64F5D"/>
    <w:rsid w:val="00D65823"/>
    <w:rsid w:val="00D65D53"/>
    <w:rsid w:val="00D664F5"/>
    <w:rsid w:val="00D66D73"/>
    <w:rsid w:val="00D66F5C"/>
    <w:rsid w:val="00D671E7"/>
    <w:rsid w:val="00D67440"/>
    <w:rsid w:val="00D67B6D"/>
    <w:rsid w:val="00D7030A"/>
    <w:rsid w:val="00D70451"/>
    <w:rsid w:val="00D7091E"/>
    <w:rsid w:val="00D70AA4"/>
    <w:rsid w:val="00D711D8"/>
    <w:rsid w:val="00D72288"/>
    <w:rsid w:val="00D72562"/>
    <w:rsid w:val="00D7282E"/>
    <w:rsid w:val="00D73687"/>
    <w:rsid w:val="00D738DB"/>
    <w:rsid w:val="00D73FD4"/>
    <w:rsid w:val="00D7414B"/>
    <w:rsid w:val="00D75150"/>
    <w:rsid w:val="00D75558"/>
    <w:rsid w:val="00D755AC"/>
    <w:rsid w:val="00D75785"/>
    <w:rsid w:val="00D7582B"/>
    <w:rsid w:val="00D759CE"/>
    <w:rsid w:val="00D7617C"/>
    <w:rsid w:val="00D76491"/>
    <w:rsid w:val="00D77253"/>
    <w:rsid w:val="00D77C6D"/>
    <w:rsid w:val="00D805EE"/>
    <w:rsid w:val="00D8127B"/>
    <w:rsid w:val="00D81FB2"/>
    <w:rsid w:val="00D82412"/>
    <w:rsid w:val="00D82A41"/>
    <w:rsid w:val="00D82A43"/>
    <w:rsid w:val="00D82A7E"/>
    <w:rsid w:val="00D83033"/>
    <w:rsid w:val="00D832D3"/>
    <w:rsid w:val="00D83E2F"/>
    <w:rsid w:val="00D8430E"/>
    <w:rsid w:val="00D859B7"/>
    <w:rsid w:val="00D85D39"/>
    <w:rsid w:val="00D86453"/>
    <w:rsid w:val="00D8662F"/>
    <w:rsid w:val="00D867C3"/>
    <w:rsid w:val="00D8680A"/>
    <w:rsid w:val="00D86F7F"/>
    <w:rsid w:val="00D871BE"/>
    <w:rsid w:val="00D87612"/>
    <w:rsid w:val="00D87D87"/>
    <w:rsid w:val="00D90224"/>
    <w:rsid w:val="00D90313"/>
    <w:rsid w:val="00D9041E"/>
    <w:rsid w:val="00D9048B"/>
    <w:rsid w:val="00D90740"/>
    <w:rsid w:val="00D90A5E"/>
    <w:rsid w:val="00D929DA"/>
    <w:rsid w:val="00D92B8A"/>
    <w:rsid w:val="00D9354D"/>
    <w:rsid w:val="00D93F51"/>
    <w:rsid w:val="00D9481F"/>
    <w:rsid w:val="00D9566E"/>
    <w:rsid w:val="00D9608F"/>
    <w:rsid w:val="00D96326"/>
    <w:rsid w:val="00D965FF"/>
    <w:rsid w:val="00D968A3"/>
    <w:rsid w:val="00D9743E"/>
    <w:rsid w:val="00D97539"/>
    <w:rsid w:val="00D97BBF"/>
    <w:rsid w:val="00D97D37"/>
    <w:rsid w:val="00DA035F"/>
    <w:rsid w:val="00DA0AE8"/>
    <w:rsid w:val="00DA0C28"/>
    <w:rsid w:val="00DA0F26"/>
    <w:rsid w:val="00DA14B0"/>
    <w:rsid w:val="00DA1D5A"/>
    <w:rsid w:val="00DA1D9C"/>
    <w:rsid w:val="00DA20F5"/>
    <w:rsid w:val="00DA214B"/>
    <w:rsid w:val="00DA266A"/>
    <w:rsid w:val="00DA2811"/>
    <w:rsid w:val="00DA2C03"/>
    <w:rsid w:val="00DA2CBC"/>
    <w:rsid w:val="00DA2DF2"/>
    <w:rsid w:val="00DA31F5"/>
    <w:rsid w:val="00DA3338"/>
    <w:rsid w:val="00DA33D5"/>
    <w:rsid w:val="00DA35F9"/>
    <w:rsid w:val="00DA393A"/>
    <w:rsid w:val="00DA3A36"/>
    <w:rsid w:val="00DA3B07"/>
    <w:rsid w:val="00DA3D00"/>
    <w:rsid w:val="00DA4756"/>
    <w:rsid w:val="00DA49E4"/>
    <w:rsid w:val="00DA5770"/>
    <w:rsid w:val="00DA58EA"/>
    <w:rsid w:val="00DA64A6"/>
    <w:rsid w:val="00DA6A33"/>
    <w:rsid w:val="00DA6BCC"/>
    <w:rsid w:val="00DA6FBB"/>
    <w:rsid w:val="00DA73C8"/>
    <w:rsid w:val="00DA7A00"/>
    <w:rsid w:val="00DA7B5D"/>
    <w:rsid w:val="00DB0239"/>
    <w:rsid w:val="00DB0EA9"/>
    <w:rsid w:val="00DB0EC4"/>
    <w:rsid w:val="00DB22E4"/>
    <w:rsid w:val="00DB240B"/>
    <w:rsid w:val="00DB2909"/>
    <w:rsid w:val="00DB2951"/>
    <w:rsid w:val="00DB2C7C"/>
    <w:rsid w:val="00DB2E95"/>
    <w:rsid w:val="00DB373B"/>
    <w:rsid w:val="00DB37BE"/>
    <w:rsid w:val="00DB39F1"/>
    <w:rsid w:val="00DB3B14"/>
    <w:rsid w:val="00DB3C18"/>
    <w:rsid w:val="00DB4265"/>
    <w:rsid w:val="00DB5A52"/>
    <w:rsid w:val="00DB6AA0"/>
    <w:rsid w:val="00DB6AB2"/>
    <w:rsid w:val="00DB7A71"/>
    <w:rsid w:val="00DB7CD2"/>
    <w:rsid w:val="00DC0E05"/>
    <w:rsid w:val="00DC1813"/>
    <w:rsid w:val="00DC1B32"/>
    <w:rsid w:val="00DC1D2D"/>
    <w:rsid w:val="00DC1DE6"/>
    <w:rsid w:val="00DC1ED9"/>
    <w:rsid w:val="00DC265B"/>
    <w:rsid w:val="00DC28FE"/>
    <w:rsid w:val="00DC2C4D"/>
    <w:rsid w:val="00DC2C5F"/>
    <w:rsid w:val="00DC33FC"/>
    <w:rsid w:val="00DC3597"/>
    <w:rsid w:val="00DC3A0E"/>
    <w:rsid w:val="00DC4213"/>
    <w:rsid w:val="00DC44FF"/>
    <w:rsid w:val="00DC4665"/>
    <w:rsid w:val="00DC505B"/>
    <w:rsid w:val="00DC54C3"/>
    <w:rsid w:val="00DC5509"/>
    <w:rsid w:val="00DC5785"/>
    <w:rsid w:val="00DC5B96"/>
    <w:rsid w:val="00DC62F3"/>
    <w:rsid w:val="00DC690B"/>
    <w:rsid w:val="00DC6958"/>
    <w:rsid w:val="00DC7544"/>
    <w:rsid w:val="00DCD1E3"/>
    <w:rsid w:val="00DCFE9D"/>
    <w:rsid w:val="00DD0235"/>
    <w:rsid w:val="00DD02B5"/>
    <w:rsid w:val="00DD076A"/>
    <w:rsid w:val="00DD0816"/>
    <w:rsid w:val="00DD0E86"/>
    <w:rsid w:val="00DD128E"/>
    <w:rsid w:val="00DD1AA8"/>
    <w:rsid w:val="00DD1DC4"/>
    <w:rsid w:val="00DD20D2"/>
    <w:rsid w:val="00DD2629"/>
    <w:rsid w:val="00DD2844"/>
    <w:rsid w:val="00DD3348"/>
    <w:rsid w:val="00DD428F"/>
    <w:rsid w:val="00DD459D"/>
    <w:rsid w:val="00DD4AB3"/>
    <w:rsid w:val="00DD4B1C"/>
    <w:rsid w:val="00DD54F1"/>
    <w:rsid w:val="00DD557B"/>
    <w:rsid w:val="00DD57D0"/>
    <w:rsid w:val="00DD5847"/>
    <w:rsid w:val="00DD5E52"/>
    <w:rsid w:val="00DD5F32"/>
    <w:rsid w:val="00DD60CA"/>
    <w:rsid w:val="00DD6EC9"/>
    <w:rsid w:val="00DD76CB"/>
    <w:rsid w:val="00DD7C23"/>
    <w:rsid w:val="00DE0C24"/>
    <w:rsid w:val="00DE1330"/>
    <w:rsid w:val="00DE1936"/>
    <w:rsid w:val="00DE1BF3"/>
    <w:rsid w:val="00DE21D8"/>
    <w:rsid w:val="00DE2454"/>
    <w:rsid w:val="00DE259B"/>
    <w:rsid w:val="00DE3030"/>
    <w:rsid w:val="00DE35F8"/>
    <w:rsid w:val="00DE3723"/>
    <w:rsid w:val="00DE3E0D"/>
    <w:rsid w:val="00DE439E"/>
    <w:rsid w:val="00DE464C"/>
    <w:rsid w:val="00DE4C36"/>
    <w:rsid w:val="00DE4E1C"/>
    <w:rsid w:val="00DE5827"/>
    <w:rsid w:val="00DE596F"/>
    <w:rsid w:val="00DE5A62"/>
    <w:rsid w:val="00DE5BC2"/>
    <w:rsid w:val="00DE745B"/>
    <w:rsid w:val="00DE77EE"/>
    <w:rsid w:val="00DF01FB"/>
    <w:rsid w:val="00DF0323"/>
    <w:rsid w:val="00DF04F5"/>
    <w:rsid w:val="00DF0731"/>
    <w:rsid w:val="00DF0B3B"/>
    <w:rsid w:val="00DF0E30"/>
    <w:rsid w:val="00DF1666"/>
    <w:rsid w:val="00DF18AB"/>
    <w:rsid w:val="00DF238E"/>
    <w:rsid w:val="00DF2681"/>
    <w:rsid w:val="00DF284F"/>
    <w:rsid w:val="00DF37AC"/>
    <w:rsid w:val="00DF3AA2"/>
    <w:rsid w:val="00DF4116"/>
    <w:rsid w:val="00DF452A"/>
    <w:rsid w:val="00DF579B"/>
    <w:rsid w:val="00DF58E7"/>
    <w:rsid w:val="00DF60CB"/>
    <w:rsid w:val="00DF6215"/>
    <w:rsid w:val="00DF6384"/>
    <w:rsid w:val="00DF6671"/>
    <w:rsid w:val="00DF672F"/>
    <w:rsid w:val="00DF67F3"/>
    <w:rsid w:val="00DF6B44"/>
    <w:rsid w:val="00DF759E"/>
    <w:rsid w:val="00DF7B0F"/>
    <w:rsid w:val="00E002B5"/>
    <w:rsid w:val="00E007A3"/>
    <w:rsid w:val="00E0090F"/>
    <w:rsid w:val="00E00AF6"/>
    <w:rsid w:val="00E01796"/>
    <w:rsid w:val="00E01901"/>
    <w:rsid w:val="00E019B4"/>
    <w:rsid w:val="00E01EAC"/>
    <w:rsid w:val="00E02049"/>
    <w:rsid w:val="00E022E4"/>
    <w:rsid w:val="00E022F0"/>
    <w:rsid w:val="00E0251D"/>
    <w:rsid w:val="00E027F2"/>
    <w:rsid w:val="00E02B16"/>
    <w:rsid w:val="00E02F48"/>
    <w:rsid w:val="00E02F96"/>
    <w:rsid w:val="00E036AB"/>
    <w:rsid w:val="00E03701"/>
    <w:rsid w:val="00E03D62"/>
    <w:rsid w:val="00E04BEC"/>
    <w:rsid w:val="00E05348"/>
    <w:rsid w:val="00E05580"/>
    <w:rsid w:val="00E0565B"/>
    <w:rsid w:val="00E058D5"/>
    <w:rsid w:val="00E05A8E"/>
    <w:rsid w:val="00E05B9E"/>
    <w:rsid w:val="00E06461"/>
    <w:rsid w:val="00E069F2"/>
    <w:rsid w:val="00E07348"/>
    <w:rsid w:val="00E07FDE"/>
    <w:rsid w:val="00E10021"/>
    <w:rsid w:val="00E10A83"/>
    <w:rsid w:val="00E10C28"/>
    <w:rsid w:val="00E112E6"/>
    <w:rsid w:val="00E11366"/>
    <w:rsid w:val="00E11876"/>
    <w:rsid w:val="00E11CB9"/>
    <w:rsid w:val="00E11F5F"/>
    <w:rsid w:val="00E1215E"/>
    <w:rsid w:val="00E123FE"/>
    <w:rsid w:val="00E1263D"/>
    <w:rsid w:val="00E132DE"/>
    <w:rsid w:val="00E1404B"/>
    <w:rsid w:val="00E143E0"/>
    <w:rsid w:val="00E14477"/>
    <w:rsid w:val="00E1525D"/>
    <w:rsid w:val="00E1553B"/>
    <w:rsid w:val="00E158CB"/>
    <w:rsid w:val="00E15A79"/>
    <w:rsid w:val="00E1659C"/>
    <w:rsid w:val="00E165A3"/>
    <w:rsid w:val="00E16D18"/>
    <w:rsid w:val="00E16E8E"/>
    <w:rsid w:val="00E1768A"/>
    <w:rsid w:val="00E20007"/>
    <w:rsid w:val="00E20081"/>
    <w:rsid w:val="00E200BC"/>
    <w:rsid w:val="00E20243"/>
    <w:rsid w:val="00E2039D"/>
    <w:rsid w:val="00E2043C"/>
    <w:rsid w:val="00E20921"/>
    <w:rsid w:val="00E20B7C"/>
    <w:rsid w:val="00E20B81"/>
    <w:rsid w:val="00E21490"/>
    <w:rsid w:val="00E2178F"/>
    <w:rsid w:val="00E217AA"/>
    <w:rsid w:val="00E220CD"/>
    <w:rsid w:val="00E223CB"/>
    <w:rsid w:val="00E22844"/>
    <w:rsid w:val="00E22910"/>
    <w:rsid w:val="00E22C09"/>
    <w:rsid w:val="00E2303D"/>
    <w:rsid w:val="00E23380"/>
    <w:rsid w:val="00E23A73"/>
    <w:rsid w:val="00E23CBB"/>
    <w:rsid w:val="00E23DE9"/>
    <w:rsid w:val="00E24216"/>
    <w:rsid w:val="00E2480F"/>
    <w:rsid w:val="00E24FA5"/>
    <w:rsid w:val="00E2587F"/>
    <w:rsid w:val="00E258B6"/>
    <w:rsid w:val="00E258D6"/>
    <w:rsid w:val="00E25946"/>
    <w:rsid w:val="00E25B04"/>
    <w:rsid w:val="00E25E6A"/>
    <w:rsid w:val="00E26C5C"/>
    <w:rsid w:val="00E27BA4"/>
    <w:rsid w:val="00E302E9"/>
    <w:rsid w:val="00E304A0"/>
    <w:rsid w:val="00E30C4C"/>
    <w:rsid w:val="00E31FAE"/>
    <w:rsid w:val="00E326B5"/>
    <w:rsid w:val="00E32BCB"/>
    <w:rsid w:val="00E32E6D"/>
    <w:rsid w:val="00E33429"/>
    <w:rsid w:val="00E33955"/>
    <w:rsid w:val="00E33E3D"/>
    <w:rsid w:val="00E34955"/>
    <w:rsid w:val="00E34D1B"/>
    <w:rsid w:val="00E35DFC"/>
    <w:rsid w:val="00E365FA"/>
    <w:rsid w:val="00E3690D"/>
    <w:rsid w:val="00E369AF"/>
    <w:rsid w:val="00E369DD"/>
    <w:rsid w:val="00E36A8E"/>
    <w:rsid w:val="00E36BF1"/>
    <w:rsid w:val="00E36F31"/>
    <w:rsid w:val="00E377AC"/>
    <w:rsid w:val="00E37B59"/>
    <w:rsid w:val="00E37E5B"/>
    <w:rsid w:val="00E4061D"/>
    <w:rsid w:val="00E40A19"/>
    <w:rsid w:val="00E414AB"/>
    <w:rsid w:val="00E41715"/>
    <w:rsid w:val="00E41834"/>
    <w:rsid w:val="00E4184A"/>
    <w:rsid w:val="00E419B4"/>
    <w:rsid w:val="00E41ACC"/>
    <w:rsid w:val="00E41B1B"/>
    <w:rsid w:val="00E41E13"/>
    <w:rsid w:val="00E41E61"/>
    <w:rsid w:val="00E41ED2"/>
    <w:rsid w:val="00E420D8"/>
    <w:rsid w:val="00E424B2"/>
    <w:rsid w:val="00E42594"/>
    <w:rsid w:val="00E42610"/>
    <w:rsid w:val="00E42851"/>
    <w:rsid w:val="00E42896"/>
    <w:rsid w:val="00E42B44"/>
    <w:rsid w:val="00E42BE9"/>
    <w:rsid w:val="00E4336A"/>
    <w:rsid w:val="00E43435"/>
    <w:rsid w:val="00E434F2"/>
    <w:rsid w:val="00E43540"/>
    <w:rsid w:val="00E43C28"/>
    <w:rsid w:val="00E43DDB"/>
    <w:rsid w:val="00E442BF"/>
    <w:rsid w:val="00E442CC"/>
    <w:rsid w:val="00E443B1"/>
    <w:rsid w:val="00E448EA"/>
    <w:rsid w:val="00E44912"/>
    <w:rsid w:val="00E462AC"/>
    <w:rsid w:val="00E46577"/>
    <w:rsid w:val="00E46E83"/>
    <w:rsid w:val="00E47421"/>
    <w:rsid w:val="00E476D1"/>
    <w:rsid w:val="00E47A4B"/>
    <w:rsid w:val="00E47EF8"/>
    <w:rsid w:val="00E47F69"/>
    <w:rsid w:val="00E4F13F"/>
    <w:rsid w:val="00E50562"/>
    <w:rsid w:val="00E50789"/>
    <w:rsid w:val="00E50D0E"/>
    <w:rsid w:val="00E50E96"/>
    <w:rsid w:val="00E51F22"/>
    <w:rsid w:val="00E51F9B"/>
    <w:rsid w:val="00E52380"/>
    <w:rsid w:val="00E5276D"/>
    <w:rsid w:val="00E52A71"/>
    <w:rsid w:val="00E52F81"/>
    <w:rsid w:val="00E53658"/>
    <w:rsid w:val="00E53C10"/>
    <w:rsid w:val="00E53C29"/>
    <w:rsid w:val="00E53DC8"/>
    <w:rsid w:val="00E553C8"/>
    <w:rsid w:val="00E55B5B"/>
    <w:rsid w:val="00E5711B"/>
    <w:rsid w:val="00E572D3"/>
    <w:rsid w:val="00E57399"/>
    <w:rsid w:val="00E57BEB"/>
    <w:rsid w:val="00E57C2F"/>
    <w:rsid w:val="00E5EA45"/>
    <w:rsid w:val="00E6001C"/>
    <w:rsid w:val="00E607DB"/>
    <w:rsid w:val="00E60881"/>
    <w:rsid w:val="00E6108D"/>
    <w:rsid w:val="00E61E24"/>
    <w:rsid w:val="00E61EFE"/>
    <w:rsid w:val="00E62772"/>
    <w:rsid w:val="00E62ABD"/>
    <w:rsid w:val="00E62D0B"/>
    <w:rsid w:val="00E637F4"/>
    <w:rsid w:val="00E63BFA"/>
    <w:rsid w:val="00E64FB7"/>
    <w:rsid w:val="00E64FC0"/>
    <w:rsid w:val="00E652E3"/>
    <w:rsid w:val="00E6532F"/>
    <w:rsid w:val="00E657ED"/>
    <w:rsid w:val="00E659D8"/>
    <w:rsid w:val="00E659E4"/>
    <w:rsid w:val="00E65E3D"/>
    <w:rsid w:val="00E66B5C"/>
    <w:rsid w:val="00E671CD"/>
    <w:rsid w:val="00E67354"/>
    <w:rsid w:val="00E675B3"/>
    <w:rsid w:val="00E67BAF"/>
    <w:rsid w:val="00E67D30"/>
    <w:rsid w:val="00E6AD0C"/>
    <w:rsid w:val="00E7002F"/>
    <w:rsid w:val="00E71482"/>
    <w:rsid w:val="00E7157B"/>
    <w:rsid w:val="00E71761"/>
    <w:rsid w:val="00E71780"/>
    <w:rsid w:val="00E717E0"/>
    <w:rsid w:val="00E71D2B"/>
    <w:rsid w:val="00E71D74"/>
    <w:rsid w:val="00E71E68"/>
    <w:rsid w:val="00E72374"/>
    <w:rsid w:val="00E72A44"/>
    <w:rsid w:val="00E72AC1"/>
    <w:rsid w:val="00E73148"/>
    <w:rsid w:val="00E73371"/>
    <w:rsid w:val="00E7408C"/>
    <w:rsid w:val="00E7458A"/>
    <w:rsid w:val="00E747A7"/>
    <w:rsid w:val="00E74A54"/>
    <w:rsid w:val="00E74E1A"/>
    <w:rsid w:val="00E75840"/>
    <w:rsid w:val="00E764E6"/>
    <w:rsid w:val="00E76906"/>
    <w:rsid w:val="00E7696D"/>
    <w:rsid w:val="00E773F0"/>
    <w:rsid w:val="00E7741D"/>
    <w:rsid w:val="00E77526"/>
    <w:rsid w:val="00E778B0"/>
    <w:rsid w:val="00E77BB5"/>
    <w:rsid w:val="00E800B9"/>
    <w:rsid w:val="00E805A3"/>
    <w:rsid w:val="00E80FED"/>
    <w:rsid w:val="00E810DF"/>
    <w:rsid w:val="00E8264A"/>
    <w:rsid w:val="00E82B05"/>
    <w:rsid w:val="00E82C30"/>
    <w:rsid w:val="00E82C61"/>
    <w:rsid w:val="00E82F0A"/>
    <w:rsid w:val="00E832F6"/>
    <w:rsid w:val="00E83527"/>
    <w:rsid w:val="00E8365C"/>
    <w:rsid w:val="00E8447D"/>
    <w:rsid w:val="00E844E2"/>
    <w:rsid w:val="00E849C2"/>
    <w:rsid w:val="00E84B51"/>
    <w:rsid w:val="00E84BD2"/>
    <w:rsid w:val="00E84C40"/>
    <w:rsid w:val="00E84EBE"/>
    <w:rsid w:val="00E85042"/>
    <w:rsid w:val="00E85264"/>
    <w:rsid w:val="00E8568B"/>
    <w:rsid w:val="00E857B0"/>
    <w:rsid w:val="00E85BEB"/>
    <w:rsid w:val="00E869DA"/>
    <w:rsid w:val="00E86A1C"/>
    <w:rsid w:val="00E86A49"/>
    <w:rsid w:val="00E86B2D"/>
    <w:rsid w:val="00E86B3A"/>
    <w:rsid w:val="00E86D67"/>
    <w:rsid w:val="00E870BD"/>
    <w:rsid w:val="00E878AB"/>
    <w:rsid w:val="00E878F0"/>
    <w:rsid w:val="00E9041C"/>
    <w:rsid w:val="00E90611"/>
    <w:rsid w:val="00E909ED"/>
    <w:rsid w:val="00E90BF0"/>
    <w:rsid w:val="00E90FE6"/>
    <w:rsid w:val="00E91B85"/>
    <w:rsid w:val="00E92627"/>
    <w:rsid w:val="00E92CE8"/>
    <w:rsid w:val="00E9322C"/>
    <w:rsid w:val="00E936BC"/>
    <w:rsid w:val="00E93740"/>
    <w:rsid w:val="00E937E1"/>
    <w:rsid w:val="00E93E3D"/>
    <w:rsid w:val="00E93F94"/>
    <w:rsid w:val="00E941D2"/>
    <w:rsid w:val="00E9466E"/>
    <w:rsid w:val="00E949DD"/>
    <w:rsid w:val="00E94B63"/>
    <w:rsid w:val="00E957DA"/>
    <w:rsid w:val="00E9588F"/>
    <w:rsid w:val="00E95CD0"/>
    <w:rsid w:val="00E95D22"/>
    <w:rsid w:val="00E96123"/>
    <w:rsid w:val="00E96174"/>
    <w:rsid w:val="00E96438"/>
    <w:rsid w:val="00E9704B"/>
    <w:rsid w:val="00E9727E"/>
    <w:rsid w:val="00E972D3"/>
    <w:rsid w:val="00E9769F"/>
    <w:rsid w:val="00EA03FD"/>
    <w:rsid w:val="00EA053D"/>
    <w:rsid w:val="00EA0F18"/>
    <w:rsid w:val="00EA191A"/>
    <w:rsid w:val="00EA197A"/>
    <w:rsid w:val="00EA225A"/>
    <w:rsid w:val="00EA35B1"/>
    <w:rsid w:val="00EA36C6"/>
    <w:rsid w:val="00EA3909"/>
    <w:rsid w:val="00EA3B1B"/>
    <w:rsid w:val="00EA3FA3"/>
    <w:rsid w:val="00EA4A57"/>
    <w:rsid w:val="00EA4A80"/>
    <w:rsid w:val="00EA5440"/>
    <w:rsid w:val="00EA5EBB"/>
    <w:rsid w:val="00EA60E5"/>
    <w:rsid w:val="00EA6501"/>
    <w:rsid w:val="00EA66FC"/>
    <w:rsid w:val="00EA7177"/>
    <w:rsid w:val="00EA7334"/>
    <w:rsid w:val="00EA7721"/>
    <w:rsid w:val="00EB114E"/>
    <w:rsid w:val="00EB128F"/>
    <w:rsid w:val="00EB18F7"/>
    <w:rsid w:val="00EB1C58"/>
    <w:rsid w:val="00EB1CCA"/>
    <w:rsid w:val="00EB1D0E"/>
    <w:rsid w:val="00EB1D88"/>
    <w:rsid w:val="00EB2061"/>
    <w:rsid w:val="00EB22F7"/>
    <w:rsid w:val="00EB23EC"/>
    <w:rsid w:val="00EB272E"/>
    <w:rsid w:val="00EB2A4E"/>
    <w:rsid w:val="00EB2AF8"/>
    <w:rsid w:val="00EB348C"/>
    <w:rsid w:val="00EB3643"/>
    <w:rsid w:val="00EB3967"/>
    <w:rsid w:val="00EB3DBF"/>
    <w:rsid w:val="00EB3E19"/>
    <w:rsid w:val="00EB462C"/>
    <w:rsid w:val="00EB4B78"/>
    <w:rsid w:val="00EB5401"/>
    <w:rsid w:val="00EB547D"/>
    <w:rsid w:val="00EB56ED"/>
    <w:rsid w:val="00EB597C"/>
    <w:rsid w:val="00EB656C"/>
    <w:rsid w:val="00EB65C7"/>
    <w:rsid w:val="00EB690E"/>
    <w:rsid w:val="00EB6976"/>
    <w:rsid w:val="00EB74C3"/>
    <w:rsid w:val="00EB759D"/>
    <w:rsid w:val="00EB7765"/>
    <w:rsid w:val="00EB77BE"/>
    <w:rsid w:val="00EB7CAE"/>
    <w:rsid w:val="00EC0992"/>
    <w:rsid w:val="00EC0BC8"/>
    <w:rsid w:val="00EC1C44"/>
    <w:rsid w:val="00EC1D88"/>
    <w:rsid w:val="00EC21ED"/>
    <w:rsid w:val="00EC25B8"/>
    <w:rsid w:val="00EC29A6"/>
    <w:rsid w:val="00EC3497"/>
    <w:rsid w:val="00EC3730"/>
    <w:rsid w:val="00EC3771"/>
    <w:rsid w:val="00EC3BED"/>
    <w:rsid w:val="00EC3F1C"/>
    <w:rsid w:val="00EC412D"/>
    <w:rsid w:val="00EC51FC"/>
    <w:rsid w:val="00EC5250"/>
    <w:rsid w:val="00EC59FE"/>
    <w:rsid w:val="00EC5EC5"/>
    <w:rsid w:val="00EC609D"/>
    <w:rsid w:val="00EC60E8"/>
    <w:rsid w:val="00EC636B"/>
    <w:rsid w:val="00EC6583"/>
    <w:rsid w:val="00EC7246"/>
    <w:rsid w:val="00EC739A"/>
    <w:rsid w:val="00EC7BF4"/>
    <w:rsid w:val="00EC7C84"/>
    <w:rsid w:val="00ECE916"/>
    <w:rsid w:val="00ED016F"/>
    <w:rsid w:val="00ED0AAA"/>
    <w:rsid w:val="00ED1484"/>
    <w:rsid w:val="00ED1651"/>
    <w:rsid w:val="00ED1768"/>
    <w:rsid w:val="00ED1965"/>
    <w:rsid w:val="00ED1CB5"/>
    <w:rsid w:val="00ED2034"/>
    <w:rsid w:val="00ED228E"/>
    <w:rsid w:val="00ED2FEC"/>
    <w:rsid w:val="00ED348F"/>
    <w:rsid w:val="00ED3938"/>
    <w:rsid w:val="00ED39D4"/>
    <w:rsid w:val="00ED42E4"/>
    <w:rsid w:val="00ED502C"/>
    <w:rsid w:val="00ED5435"/>
    <w:rsid w:val="00ED5725"/>
    <w:rsid w:val="00ED60D3"/>
    <w:rsid w:val="00ED6217"/>
    <w:rsid w:val="00ED7031"/>
    <w:rsid w:val="00ED73B4"/>
    <w:rsid w:val="00EE03DE"/>
    <w:rsid w:val="00EE15D7"/>
    <w:rsid w:val="00EE189A"/>
    <w:rsid w:val="00EE1B7B"/>
    <w:rsid w:val="00EE1F99"/>
    <w:rsid w:val="00EE2D9E"/>
    <w:rsid w:val="00EE3060"/>
    <w:rsid w:val="00EE31C9"/>
    <w:rsid w:val="00EE33AA"/>
    <w:rsid w:val="00EE340F"/>
    <w:rsid w:val="00EE350E"/>
    <w:rsid w:val="00EE3842"/>
    <w:rsid w:val="00EE3E48"/>
    <w:rsid w:val="00EE4315"/>
    <w:rsid w:val="00EE4648"/>
    <w:rsid w:val="00EE48EB"/>
    <w:rsid w:val="00EE51D4"/>
    <w:rsid w:val="00EE529E"/>
    <w:rsid w:val="00EE5CCE"/>
    <w:rsid w:val="00EE5CE1"/>
    <w:rsid w:val="00EE65E3"/>
    <w:rsid w:val="00EE7BE0"/>
    <w:rsid w:val="00EF007E"/>
    <w:rsid w:val="00EF01C3"/>
    <w:rsid w:val="00EF0258"/>
    <w:rsid w:val="00EF1610"/>
    <w:rsid w:val="00EF1F4A"/>
    <w:rsid w:val="00EF21C6"/>
    <w:rsid w:val="00EF2474"/>
    <w:rsid w:val="00EF248F"/>
    <w:rsid w:val="00EF2A71"/>
    <w:rsid w:val="00EF2B9F"/>
    <w:rsid w:val="00EF2D80"/>
    <w:rsid w:val="00EF2E52"/>
    <w:rsid w:val="00EF3C0B"/>
    <w:rsid w:val="00EF3F9B"/>
    <w:rsid w:val="00EF4076"/>
    <w:rsid w:val="00EF42AA"/>
    <w:rsid w:val="00EF48CC"/>
    <w:rsid w:val="00EF543A"/>
    <w:rsid w:val="00EF5870"/>
    <w:rsid w:val="00EF5CE5"/>
    <w:rsid w:val="00EF5FA3"/>
    <w:rsid w:val="00EF65DA"/>
    <w:rsid w:val="00EF692C"/>
    <w:rsid w:val="00F000AD"/>
    <w:rsid w:val="00F00C1C"/>
    <w:rsid w:val="00F014C9"/>
    <w:rsid w:val="00F019FB"/>
    <w:rsid w:val="00F01B14"/>
    <w:rsid w:val="00F01D8C"/>
    <w:rsid w:val="00F01F0C"/>
    <w:rsid w:val="00F023BB"/>
    <w:rsid w:val="00F02788"/>
    <w:rsid w:val="00F028AC"/>
    <w:rsid w:val="00F028B9"/>
    <w:rsid w:val="00F03D45"/>
    <w:rsid w:val="00F03D4C"/>
    <w:rsid w:val="00F0423B"/>
    <w:rsid w:val="00F04C7D"/>
    <w:rsid w:val="00F04F17"/>
    <w:rsid w:val="00F055F6"/>
    <w:rsid w:val="00F0631C"/>
    <w:rsid w:val="00F06A88"/>
    <w:rsid w:val="00F06CC6"/>
    <w:rsid w:val="00F06EB2"/>
    <w:rsid w:val="00F07BB5"/>
    <w:rsid w:val="00F101A8"/>
    <w:rsid w:val="00F106F4"/>
    <w:rsid w:val="00F1123C"/>
    <w:rsid w:val="00F12D08"/>
    <w:rsid w:val="00F12F48"/>
    <w:rsid w:val="00F12F8C"/>
    <w:rsid w:val="00F130A2"/>
    <w:rsid w:val="00F13EA9"/>
    <w:rsid w:val="00F15C63"/>
    <w:rsid w:val="00F1604C"/>
    <w:rsid w:val="00F1615B"/>
    <w:rsid w:val="00F167DD"/>
    <w:rsid w:val="00F17633"/>
    <w:rsid w:val="00F17FA6"/>
    <w:rsid w:val="00F20150"/>
    <w:rsid w:val="00F201D2"/>
    <w:rsid w:val="00F21311"/>
    <w:rsid w:val="00F21802"/>
    <w:rsid w:val="00F218C0"/>
    <w:rsid w:val="00F21DE9"/>
    <w:rsid w:val="00F2232B"/>
    <w:rsid w:val="00F22513"/>
    <w:rsid w:val="00F22711"/>
    <w:rsid w:val="00F22741"/>
    <w:rsid w:val="00F228BA"/>
    <w:rsid w:val="00F228EB"/>
    <w:rsid w:val="00F22C82"/>
    <w:rsid w:val="00F22FBA"/>
    <w:rsid w:val="00F23F52"/>
    <w:rsid w:val="00F2411C"/>
    <w:rsid w:val="00F242C0"/>
    <w:rsid w:val="00F2489E"/>
    <w:rsid w:val="00F24C5E"/>
    <w:rsid w:val="00F24D79"/>
    <w:rsid w:val="00F24F86"/>
    <w:rsid w:val="00F25470"/>
    <w:rsid w:val="00F25529"/>
    <w:rsid w:val="00F25DA0"/>
    <w:rsid w:val="00F260F8"/>
    <w:rsid w:val="00F26164"/>
    <w:rsid w:val="00F26D33"/>
    <w:rsid w:val="00F26E62"/>
    <w:rsid w:val="00F26E8D"/>
    <w:rsid w:val="00F26ED3"/>
    <w:rsid w:val="00F27388"/>
    <w:rsid w:val="00F275C0"/>
    <w:rsid w:val="00F2766F"/>
    <w:rsid w:val="00F27A23"/>
    <w:rsid w:val="00F2DD94"/>
    <w:rsid w:val="00F3006D"/>
    <w:rsid w:val="00F30070"/>
    <w:rsid w:val="00F30274"/>
    <w:rsid w:val="00F3078D"/>
    <w:rsid w:val="00F3135D"/>
    <w:rsid w:val="00F31803"/>
    <w:rsid w:val="00F31A7F"/>
    <w:rsid w:val="00F31BC7"/>
    <w:rsid w:val="00F31E8E"/>
    <w:rsid w:val="00F3206F"/>
    <w:rsid w:val="00F3233A"/>
    <w:rsid w:val="00F3283D"/>
    <w:rsid w:val="00F332D0"/>
    <w:rsid w:val="00F337E6"/>
    <w:rsid w:val="00F3381D"/>
    <w:rsid w:val="00F33986"/>
    <w:rsid w:val="00F33AC2"/>
    <w:rsid w:val="00F33ADD"/>
    <w:rsid w:val="00F346E6"/>
    <w:rsid w:val="00F348EC"/>
    <w:rsid w:val="00F34B11"/>
    <w:rsid w:val="00F34D69"/>
    <w:rsid w:val="00F34D96"/>
    <w:rsid w:val="00F34F9C"/>
    <w:rsid w:val="00F3609D"/>
    <w:rsid w:val="00F36477"/>
    <w:rsid w:val="00F366AE"/>
    <w:rsid w:val="00F36E14"/>
    <w:rsid w:val="00F373F9"/>
    <w:rsid w:val="00F405A3"/>
    <w:rsid w:val="00F40996"/>
    <w:rsid w:val="00F41656"/>
    <w:rsid w:val="00F41731"/>
    <w:rsid w:val="00F42182"/>
    <w:rsid w:val="00F424DF"/>
    <w:rsid w:val="00F43326"/>
    <w:rsid w:val="00F43507"/>
    <w:rsid w:val="00F4361F"/>
    <w:rsid w:val="00F43A28"/>
    <w:rsid w:val="00F43A9A"/>
    <w:rsid w:val="00F43C37"/>
    <w:rsid w:val="00F43CBA"/>
    <w:rsid w:val="00F44047"/>
    <w:rsid w:val="00F44050"/>
    <w:rsid w:val="00F448A7"/>
    <w:rsid w:val="00F44A60"/>
    <w:rsid w:val="00F44F79"/>
    <w:rsid w:val="00F45007"/>
    <w:rsid w:val="00F4516E"/>
    <w:rsid w:val="00F45971"/>
    <w:rsid w:val="00F45B14"/>
    <w:rsid w:val="00F45C0B"/>
    <w:rsid w:val="00F45D5D"/>
    <w:rsid w:val="00F45EB0"/>
    <w:rsid w:val="00F45F15"/>
    <w:rsid w:val="00F466A1"/>
    <w:rsid w:val="00F46770"/>
    <w:rsid w:val="00F46993"/>
    <w:rsid w:val="00F472F8"/>
    <w:rsid w:val="00F475DF"/>
    <w:rsid w:val="00F51031"/>
    <w:rsid w:val="00F51421"/>
    <w:rsid w:val="00F51F09"/>
    <w:rsid w:val="00F521CE"/>
    <w:rsid w:val="00F52537"/>
    <w:rsid w:val="00F5268B"/>
    <w:rsid w:val="00F52699"/>
    <w:rsid w:val="00F52B56"/>
    <w:rsid w:val="00F52BEC"/>
    <w:rsid w:val="00F52CE8"/>
    <w:rsid w:val="00F53521"/>
    <w:rsid w:val="00F5384E"/>
    <w:rsid w:val="00F5395A"/>
    <w:rsid w:val="00F5452B"/>
    <w:rsid w:val="00F54C0C"/>
    <w:rsid w:val="00F55004"/>
    <w:rsid w:val="00F555EB"/>
    <w:rsid w:val="00F556EE"/>
    <w:rsid w:val="00F55813"/>
    <w:rsid w:val="00F55BA2"/>
    <w:rsid w:val="00F55E41"/>
    <w:rsid w:val="00F56452"/>
    <w:rsid w:val="00F56D94"/>
    <w:rsid w:val="00F56FAA"/>
    <w:rsid w:val="00F57127"/>
    <w:rsid w:val="00F572B5"/>
    <w:rsid w:val="00F57937"/>
    <w:rsid w:val="00F57973"/>
    <w:rsid w:val="00F57B02"/>
    <w:rsid w:val="00F60294"/>
    <w:rsid w:val="00F6049C"/>
    <w:rsid w:val="00F60866"/>
    <w:rsid w:val="00F60A2B"/>
    <w:rsid w:val="00F6127F"/>
    <w:rsid w:val="00F6150D"/>
    <w:rsid w:val="00F61550"/>
    <w:rsid w:val="00F61E07"/>
    <w:rsid w:val="00F61F9E"/>
    <w:rsid w:val="00F61FEC"/>
    <w:rsid w:val="00F62146"/>
    <w:rsid w:val="00F622DE"/>
    <w:rsid w:val="00F62AF3"/>
    <w:rsid w:val="00F62B7A"/>
    <w:rsid w:val="00F6344B"/>
    <w:rsid w:val="00F636F4"/>
    <w:rsid w:val="00F6397D"/>
    <w:rsid w:val="00F63A0F"/>
    <w:rsid w:val="00F63B41"/>
    <w:rsid w:val="00F63B99"/>
    <w:rsid w:val="00F64289"/>
    <w:rsid w:val="00F647EB"/>
    <w:rsid w:val="00F6534B"/>
    <w:rsid w:val="00F65F38"/>
    <w:rsid w:val="00F6625A"/>
    <w:rsid w:val="00F66C6F"/>
    <w:rsid w:val="00F67530"/>
    <w:rsid w:val="00F67793"/>
    <w:rsid w:val="00F67B1A"/>
    <w:rsid w:val="00F67DFA"/>
    <w:rsid w:val="00F67EC4"/>
    <w:rsid w:val="00F67FFB"/>
    <w:rsid w:val="00F70106"/>
    <w:rsid w:val="00F70BEE"/>
    <w:rsid w:val="00F7137E"/>
    <w:rsid w:val="00F7144D"/>
    <w:rsid w:val="00F71D15"/>
    <w:rsid w:val="00F71D93"/>
    <w:rsid w:val="00F7276C"/>
    <w:rsid w:val="00F7293E"/>
    <w:rsid w:val="00F729FE"/>
    <w:rsid w:val="00F72B85"/>
    <w:rsid w:val="00F72EF1"/>
    <w:rsid w:val="00F732A7"/>
    <w:rsid w:val="00F735BB"/>
    <w:rsid w:val="00F73D32"/>
    <w:rsid w:val="00F73F57"/>
    <w:rsid w:val="00F74E3A"/>
    <w:rsid w:val="00F74EB7"/>
    <w:rsid w:val="00F75029"/>
    <w:rsid w:val="00F751FC"/>
    <w:rsid w:val="00F75C54"/>
    <w:rsid w:val="00F75DA0"/>
    <w:rsid w:val="00F76650"/>
    <w:rsid w:val="00F76657"/>
    <w:rsid w:val="00F76737"/>
    <w:rsid w:val="00F76883"/>
    <w:rsid w:val="00F76E0F"/>
    <w:rsid w:val="00F7705C"/>
    <w:rsid w:val="00F773C4"/>
    <w:rsid w:val="00F7741B"/>
    <w:rsid w:val="00F77588"/>
    <w:rsid w:val="00F77F64"/>
    <w:rsid w:val="00F8063A"/>
    <w:rsid w:val="00F807B7"/>
    <w:rsid w:val="00F80CCD"/>
    <w:rsid w:val="00F80DF6"/>
    <w:rsid w:val="00F811CF"/>
    <w:rsid w:val="00F81DA8"/>
    <w:rsid w:val="00F82434"/>
    <w:rsid w:val="00F8261E"/>
    <w:rsid w:val="00F82F71"/>
    <w:rsid w:val="00F83124"/>
    <w:rsid w:val="00F83551"/>
    <w:rsid w:val="00F83574"/>
    <w:rsid w:val="00F8369A"/>
    <w:rsid w:val="00F837C0"/>
    <w:rsid w:val="00F83D53"/>
    <w:rsid w:val="00F83EAB"/>
    <w:rsid w:val="00F84114"/>
    <w:rsid w:val="00F847C1"/>
    <w:rsid w:val="00F84B6A"/>
    <w:rsid w:val="00F84D27"/>
    <w:rsid w:val="00F855C4"/>
    <w:rsid w:val="00F860DA"/>
    <w:rsid w:val="00F863E5"/>
    <w:rsid w:val="00F865A1"/>
    <w:rsid w:val="00F866F7"/>
    <w:rsid w:val="00F869F0"/>
    <w:rsid w:val="00F86F77"/>
    <w:rsid w:val="00F86FB4"/>
    <w:rsid w:val="00F86FCC"/>
    <w:rsid w:val="00F87035"/>
    <w:rsid w:val="00F87297"/>
    <w:rsid w:val="00F90071"/>
    <w:rsid w:val="00F90328"/>
    <w:rsid w:val="00F90BEB"/>
    <w:rsid w:val="00F90BF9"/>
    <w:rsid w:val="00F90C70"/>
    <w:rsid w:val="00F91444"/>
    <w:rsid w:val="00F9187B"/>
    <w:rsid w:val="00F91AEA"/>
    <w:rsid w:val="00F91DFF"/>
    <w:rsid w:val="00F92192"/>
    <w:rsid w:val="00F9229A"/>
    <w:rsid w:val="00F92385"/>
    <w:rsid w:val="00F928D7"/>
    <w:rsid w:val="00F92CD9"/>
    <w:rsid w:val="00F92EFF"/>
    <w:rsid w:val="00F93CE3"/>
    <w:rsid w:val="00F93D55"/>
    <w:rsid w:val="00F94923"/>
    <w:rsid w:val="00F94AAF"/>
    <w:rsid w:val="00F94E49"/>
    <w:rsid w:val="00F95399"/>
    <w:rsid w:val="00F95CEC"/>
    <w:rsid w:val="00F96152"/>
    <w:rsid w:val="00F96317"/>
    <w:rsid w:val="00F96B37"/>
    <w:rsid w:val="00F96B94"/>
    <w:rsid w:val="00F96E6D"/>
    <w:rsid w:val="00F972F5"/>
    <w:rsid w:val="00F97574"/>
    <w:rsid w:val="00F97A68"/>
    <w:rsid w:val="00FA007F"/>
    <w:rsid w:val="00FA0188"/>
    <w:rsid w:val="00FA0437"/>
    <w:rsid w:val="00FA18E0"/>
    <w:rsid w:val="00FA1B4F"/>
    <w:rsid w:val="00FA1D37"/>
    <w:rsid w:val="00FA21D0"/>
    <w:rsid w:val="00FA23EA"/>
    <w:rsid w:val="00FA2766"/>
    <w:rsid w:val="00FA27A0"/>
    <w:rsid w:val="00FA2D6E"/>
    <w:rsid w:val="00FA3369"/>
    <w:rsid w:val="00FA381D"/>
    <w:rsid w:val="00FA3A5C"/>
    <w:rsid w:val="00FA3AA1"/>
    <w:rsid w:val="00FA4797"/>
    <w:rsid w:val="00FA4BBB"/>
    <w:rsid w:val="00FA558E"/>
    <w:rsid w:val="00FA5916"/>
    <w:rsid w:val="00FA60A1"/>
    <w:rsid w:val="00FA6417"/>
    <w:rsid w:val="00FA666E"/>
    <w:rsid w:val="00FA692E"/>
    <w:rsid w:val="00FA6B32"/>
    <w:rsid w:val="00FA796A"/>
    <w:rsid w:val="00FB05B7"/>
    <w:rsid w:val="00FB062A"/>
    <w:rsid w:val="00FB09DC"/>
    <w:rsid w:val="00FB0B3C"/>
    <w:rsid w:val="00FB0BC5"/>
    <w:rsid w:val="00FB147C"/>
    <w:rsid w:val="00FB1B95"/>
    <w:rsid w:val="00FB1DE5"/>
    <w:rsid w:val="00FB2499"/>
    <w:rsid w:val="00FB264B"/>
    <w:rsid w:val="00FB2C03"/>
    <w:rsid w:val="00FB3114"/>
    <w:rsid w:val="00FB35D7"/>
    <w:rsid w:val="00FB3BD6"/>
    <w:rsid w:val="00FB4395"/>
    <w:rsid w:val="00FB43C3"/>
    <w:rsid w:val="00FB4B6E"/>
    <w:rsid w:val="00FB4E7B"/>
    <w:rsid w:val="00FB52A6"/>
    <w:rsid w:val="00FB56B2"/>
    <w:rsid w:val="00FB5C01"/>
    <w:rsid w:val="00FB5DC8"/>
    <w:rsid w:val="00FB6CC0"/>
    <w:rsid w:val="00FB6F6B"/>
    <w:rsid w:val="00FB7084"/>
    <w:rsid w:val="00FB70C7"/>
    <w:rsid w:val="00FB765A"/>
    <w:rsid w:val="00FC02C5"/>
    <w:rsid w:val="00FC05A5"/>
    <w:rsid w:val="00FC0EDC"/>
    <w:rsid w:val="00FC1070"/>
    <w:rsid w:val="00FC152A"/>
    <w:rsid w:val="00FC15B2"/>
    <w:rsid w:val="00FC15EA"/>
    <w:rsid w:val="00FC2836"/>
    <w:rsid w:val="00FC2A26"/>
    <w:rsid w:val="00FC2BF1"/>
    <w:rsid w:val="00FC30BE"/>
    <w:rsid w:val="00FC3707"/>
    <w:rsid w:val="00FC388A"/>
    <w:rsid w:val="00FC3C0F"/>
    <w:rsid w:val="00FC3D05"/>
    <w:rsid w:val="00FC47F9"/>
    <w:rsid w:val="00FC4D43"/>
    <w:rsid w:val="00FC5EF4"/>
    <w:rsid w:val="00FC6EAE"/>
    <w:rsid w:val="00FC7010"/>
    <w:rsid w:val="00FC7F50"/>
    <w:rsid w:val="00FC7F6E"/>
    <w:rsid w:val="00FD0826"/>
    <w:rsid w:val="00FD0A6B"/>
    <w:rsid w:val="00FD1B7E"/>
    <w:rsid w:val="00FD2033"/>
    <w:rsid w:val="00FD21FF"/>
    <w:rsid w:val="00FD2677"/>
    <w:rsid w:val="00FD28C3"/>
    <w:rsid w:val="00FD2AE8"/>
    <w:rsid w:val="00FD310E"/>
    <w:rsid w:val="00FD341B"/>
    <w:rsid w:val="00FD436F"/>
    <w:rsid w:val="00FD50A3"/>
    <w:rsid w:val="00FD52B9"/>
    <w:rsid w:val="00FD587C"/>
    <w:rsid w:val="00FD5A75"/>
    <w:rsid w:val="00FD6076"/>
    <w:rsid w:val="00FD61EC"/>
    <w:rsid w:val="00FD6AB4"/>
    <w:rsid w:val="00FD76E1"/>
    <w:rsid w:val="00FD7AD1"/>
    <w:rsid w:val="00FE0045"/>
    <w:rsid w:val="00FE030A"/>
    <w:rsid w:val="00FE092B"/>
    <w:rsid w:val="00FE0965"/>
    <w:rsid w:val="00FE09AE"/>
    <w:rsid w:val="00FE0AC6"/>
    <w:rsid w:val="00FE0F46"/>
    <w:rsid w:val="00FE11D1"/>
    <w:rsid w:val="00FE1DE2"/>
    <w:rsid w:val="00FE1F93"/>
    <w:rsid w:val="00FE22AC"/>
    <w:rsid w:val="00FE2B11"/>
    <w:rsid w:val="00FE2ECE"/>
    <w:rsid w:val="00FE3272"/>
    <w:rsid w:val="00FE369A"/>
    <w:rsid w:val="00FE3D03"/>
    <w:rsid w:val="00FE43CC"/>
    <w:rsid w:val="00FE4DD1"/>
    <w:rsid w:val="00FE4F7A"/>
    <w:rsid w:val="00FE50CC"/>
    <w:rsid w:val="00FE537B"/>
    <w:rsid w:val="00FE5580"/>
    <w:rsid w:val="00FE6383"/>
    <w:rsid w:val="00FF031D"/>
    <w:rsid w:val="00FF04A1"/>
    <w:rsid w:val="00FF0540"/>
    <w:rsid w:val="00FF05D3"/>
    <w:rsid w:val="00FF066A"/>
    <w:rsid w:val="00FF0684"/>
    <w:rsid w:val="00FF110C"/>
    <w:rsid w:val="00FF2FC4"/>
    <w:rsid w:val="00FF3741"/>
    <w:rsid w:val="00FF3EAA"/>
    <w:rsid w:val="00FF45E3"/>
    <w:rsid w:val="00FF485F"/>
    <w:rsid w:val="00FF48AB"/>
    <w:rsid w:val="00FF48C9"/>
    <w:rsid w:val="00FF48DE"/>
    <w:rsid w:val="00FF4B86"/>
    <w:rsid w:val="00FF54B3"/>
    <w:rsid w:val="00FF63CC"/>
    <w:rsid w:val="00FF6EE2"/>
    <w:rsid w:val="01004830"/>
    <w:rsid w:val="01017139"/>
    <w:rsid w:val="01081BCB"/>
    <w:rsid w:val="01084999"/>
    <w:rsid w:val="0123EBAC"/>
    <w:rsid w:val="01295F9A"/>
    <w:rsid w:val="012A7565"/>
    <w:rsid w:val="012BAEF6"/>
    <w:rsid w:val="012F47BE"/>
    <w:rsid w:val="01416FF7"/>
    <w:rsid w:val="01541891"/>
    <w:rsid w:val="01564417"/>
    <w:rsid w:val="01792EC2"/>
    <w:rsid w:val="017CBFF5"/>
    <w:rsid w:val="01811372"/>
    <w:rsid w:val="01877F11"/>
    <w:rsid w:val="01889DE1"/>
    <w:rsid w:val="018A4B7A"/>
    <w:rsid w:val="018F1FC1"/>
    <w:rsid w:val="01940E07"/>
    <w:rsid w:val="019A3729"/>
    <w:rsid w:val="019AE304"/>
    <w:rsid w:val="019C73A4"/>
    <w:rsid w:val="01ADC76A"/>
    <w:rsid w:val="01CBD50F"/>
    <w:rsid w:val="01D3230E"/>
    <w:rsid w:val="01D9D8BB"/>
    <w:rsid w:val="01E03EDD"/>
    <w:rsid w:val="01E46C43"/>
    <w:rsid w:val="01E6E161"/>
    <w:rsid w:val="01EBE747"/>
    <w:rsid w:val="01F0F20A"/>
    <w:rsid w:val="01F5D6E7"/>
    <w:rsid w:val="01FDC322"/>
    <w:rsid w:val="01FF93F8"/>
    <w:rsid w:val="02148156"/>
    <w:rsid w:val="021A51CE"/>
    <w:rsid w:val="021EEE21"/>
    <w:rsid w:val="021F6018"/>
    <w:rsid w:val="0226C5A1"/>
    <w:rsid w:val="0228DE64"/>
    <w:rsid w:val="0232FEB0"/>
    <w:rsid w:val="023472AC"/>
    <w:rsid w:val="0235429B"/>
    <w:rsid w:val="024524EE"/>
    <w:rsid w:val="0253EB26"/>
    <w:rsid w:val="02632D08"/>
    <w:rsid w:val="026D82A5"/>
    <w:rsid w:val="02789E27"/>
    <w:rsid w:val="027DEE86"/>
    <w:rsid w:val="0282CEBD"/>
    <w:rsid w:val="02845A87"/>
    <w:rsid w:val="028A1332"/>
    <w:rsid w:val="028ACF9F"/>
    <w:rsid w:val="028EDC76"/>
    <w:rsid w:val="029A6316"/>
    <w:rsid w:val="02A0FBAD"/>
    <w:rsid w:val="02A8D6DE"/>
    <w:rsid w:val="02AB801D"/>
    <w:rsid w:val="02B3809E"/>
    <w:rsid w:val="02B9A38F"/>
    <w:rsid w:val="02DEA420"/>
    <w:rsid w:val="02E2A22B"/>
    <w:rsid w:val="02E41101"/>
    <w:rsid w:val="02E7C996"/>
    <w:rsid w:val="02EC0E53"/>
    <w:rsid w:val="02F0F3AF"/>
    <w:rsid w:val="02F4F707"/>
    <w:rsid w:val="02F50EBD"/>
    <w:rsid w:val="02F8E074"/>
    <w:rsid w:val="02FA74DE"/>
    <w:rsid w:val="0306C726"/>
    <w:rsid w:val="030CBE81"/>
    <w:rsid w:val="031FAA88"/>
    <w:rsid w:val="03209BCA"/>
    <w:rsid w:val="0327A7EE"/>
    <w:rsid w:val="032FCAF7"/>
    <w:rsid w:val="033DD5B1"/>
    <w:rsid w:val="033FDC54"/>
    <w:rsid w:val="0344D16F"/>
    <w:rsid w:val="034A97A5"/>
    <w:rsid w:val="0351BBCD"/>
    <w:rsid w:val="035ACF07"/>
    <w:rsid w:val="036477B1"/>
    <w:rsid w:val="0366557D"/>
    <w:rsid w:val="036C176C"/>
    <w:rsid w:val="036E2C2A"/>
    <w:rsid w:val="036FDC2A"/>
    <w:rsid w:val="039058C1"/>
    <w:rsid w:val="039BB644"/>
    <w:rsid w:val="039F21E8"/>
    <w:rsid w:val="03A03126"/>
    <w:rsid w:val="03A72557"/>
    <w:rsid w:val="03AA0797"/>
    <w:rsid w:val="03C22E30"/>
    <w:rsid w:val="03CBC6DA"/>
    <w:rsid w:val="03D51810"/>
    <w:rsid w:val="03D8FBAC"/>
    <w:rsid w:val="03DF6048"/>
    <w:rsid w:val="03E20561"/>
    <w:rsid w:val="03E4E27E"/>
    <w:rsid w:val="03E7E5DF"/>
    <w:rsid w:val="03ECB33E"/>
    <w:rsid w:val="03EE5F9D"/>
    <w:rsid w:val="03F3F259"/>
    <w:rsid w:val="03F9F852"/>
    <w:rsid w:val="0401E5C0"/>
    <w:rsid w:val="040B208E"/>
    <w:rsid w:val="040D5892"/>
    <w:rsid w:val="040F5173"/>
    <w:rsid w:val="04158C7C"/>
    <w:rsid w:val="041800EC"/>
    <w:rsid w:val="04282A6A"/>
    <w:rsid w:val="042A2A77"/>
    <w:rsid w:val="044907BC"/>
    <w:rsid w:val="044C5F9E"/>
    <w:rsid w:val="04588536"/>
    <w:rsid w:val="04689900"/>
    <w:rsid w:val="0468A218"/>
    <w:rsid w:val="046ABFD1"/>
    <w:rsid w:val="046EEB3A"/>
    <w:rsid w:val="04710AF6"/>
    <w:rsid w:val="0473D781"/>
    <w:rsid w:val="0480A457"/>
    <w:rsid w:val="048AA726"/>
    <w:rsid w:val="048AEF0A"/>
    <w:rsid w:val="0491C7B8"/>
    <w:rsid w:val="0498CB16"/>
    <w:rsid w:val="04A50FF1"/>
    <w:rsid w:val="04A67329"/>
    <w:rsid w:val="04AA1258"/>
    <w:rsid w:val="04ACA215"/>
    <w:rsid w:val="04AD3205"/>
    <w:rsid w:val="04BA8261"/>
    <w:rsid w:val="04C73E5B"/>
    <w:rsid w:val="04D0B688"/>
    <w:rsid w:val="04D28A9A"/>
    <w:rsid w:val="04E19ECC"/>
    <w:rsid w:val="050228F5"/>
    <w:rsid w:val="050FCC31"/>
    <w:rsid w:val="051350E3"/>
    <w:rsid w:val="051E9E27"/>
    <w:rsid w:val="052390E5"/>
    <w:rsid w:val="0526DAEC"/>
    <w:rsid w:val="052A1882"/>
    <w:rsid w:val="052E5D90"/>
    <w:rsid w:val="052FA1C9"/>
    <w:rsid w:val="0532BADC"/>
    <w:rsid w:val="0534A497"/>
    <w:rsid w:val="054E53F7"/>
    <w:rsid w:val="054F27C0"/>
    <w:rsid w:val="05508F33"/>
    <w:rsid w:val="0553ACEC"/>
    <w:rsid w:val="0570ED5C"/>
    <w:rsid w:val="0572A7BB"/>
    <w:rsid w:val="057B8D57"/>
    <w:rsid w:val="05829D86"/>
    <w:rsid w:val="0583D757"/>
    <w:rsid w:val="05850773"/>
    <w:rsid w:val="05875E30"/>
    <w:rsid w:val="059DC267"/>
    <w:rsid w:val="05A8B3F1"/>
    <w:rsid w:val="05A9519F"/>
    <w:rsid w:val="05ACBE45"/>
    <w:rsid w:val="05AE9D61"/>
    <w:rsid w:val="05B70C7A"/>
    <w:rsid w:val="05BCD896"/>
    <w:rsid w:val="05CDEF15"/>
    <w:rsid w:val="05D6DBF0"/>
    <w:rsid w:val="05D97B7B"/>
    <w:rsid w:val="05E00A51"/>
    <w:rsid w:val="05E3ECC0"/>
    <w:rsid w:val="05F20D05"/>
    <w:rsid w:val="05F40AE2"/>
    <w:rsid w:val="05F4D91D"/>
    <w:rsid w:val="05FF2902"/>
    <w:rsid w:val="06021595"/>
    <w:rsid w:val="060811B9"/>
    <w:rsid w:val="060BCB1E"/>
    <w:rsid w:val="0619035B"/>
    <w:rsid w:val="061F6A58"/>
    <w:rsid w:val="0623406F"/>
    <w:rsid w:val="064D87E0"/>
    <w:rsid w:val="0655CD7D"/>
    <w:rsid w:val="065B05E6"/>
    <w:rsid w:val="065C1627"/>
    <w:rsid w:val="06638DE6"/>
    <w:rsid w:val="06684B7E"/>
    <w:rsid w:val="06698169"/>
    <w:rsid w:val="0673BEF4"/>
    <w:rsid w:val="067E4696"/>
    <w:rsid w:val="068560C6"/>
    <w:rsid w:val="068DB67E"/>
    <w:rsid w:val="0691728D"/>
    <w:rsid w:val="0694DABD"/>
    <w:rsid w:val="06A757DA"/>
    <w:rsid w:val="06B044B5"/>
    <w:rsid w:val="06B1A37B"/>
    <w:rsid w:val="06B91B09"/>
    <w:rsid w:val="06BC47CB"/>
    <w:rsid w:val="06D22857"/>
    <w:rsid w:val="06D583E1"/>
    <w:rsid w:val="06DB4676"/>
    <w:rsid w:val="06E1A859"/>
    <w:rsid w:val="06E23E9A"/>
    <w:rsid w:val="06EE01D0"/>
    <w:rsid w:val="06EF670B"/>
    <w:rsid w:val="0707C32D"/>
    <w:rsid w:val="0707CD95"/>
    <w:rsid w:val="071AC8D4"/>
    <w:rsid w:val="071D9015"/>
    <w:rsid w:val="0720403D"/>
    <w:rsid w:val="0721365E"/>
    <w:rsid w:val="072D3485"/>
    <w:rsid w:val="073EF7D1"/>
    <w:rsid w:val="074A3B99"/>
    <w:rsid w:val="074C9466"/>
    <w:rsid w:val="075AE851"/>
    <w:rsid w:val="0776FBED"/>
    <w:rsid w:val="0780ACA9"/>
    <w:rsid w:val="0787EDE0"/>
    <w:rsid w:val="078FAB1D"/>
    <w:rsid w:val="079CD10B"/>
    <w:rsid w:val="07A4BCE6"/>
    <w:rsid w:val="07A57D09"/>
    <w:rsid w:val="07AC48E4"/>
    <w:rsid w:val="07B93B76"/>
    <w:rsid w:val="07BEA2E9"/>
    <w:rsid w:val="07C83096"/>
    <w:rsid w:val="07E9AE7E"/>
    <w:rsid w:val="07EB690C"/>
    <w:rsid w:val="07EF04D2"/>
    <w:rsid w:val="07F837CA"/>
    <w:rsid w:val="07F8EC48"/>
    <w:rsid w:val="08146CF4"/>
    <w:rsid w:val="083CE982"/>
    <w:rsid w:val="08400830"/>
    <w:rsid w:val="08461543"/>
    <w:rsid w:val="0849945C"/>
    <w:rsid w:val="084C0683"/>
    <w:rsid w:val="08549CED"/>
    <w:rsid w:val="08654785"/>
    <w:rsid w:val="086AC7BD"/>
    <w:rsid w:val="086CA201"/>
    <w:rsid w:val="086E738C"/>
    <w:rsid w:val="0872BB1D"/>
    <w:rsid w:val="087D9ABB"/>
    <w:rsid w:val="087FD5B5"/>
    <w:rsid w:val="0886C908"/>
    <w:rsid w:val="088BEF8B"/>
    <w:rsid w:val="089AEE4F"/>
    <w:rsid w:val="089BE88A"/>
    <w:rsid w:val="089F6CC1"/>
    <w:rsid w:val="08ABFB48"/>
    <w:rsid w:val="08B10F30"/>
    <w:rsid w:val="08B4C91E"/>
    <w:rsid w:val="08B742EA"/>
    <w:rsid w:val="08B87D48"/>
    <w:rsid w:val="08B93750"/>
    <w:rsid w:val="08C9B54E"/>
    <w:rsid w:val="08D1DEAC"/>
    <w:rsid w:val="08D4402A"/>
    <w:rsid w:val="08D757CD"/>
    <w:rsid w:val="08D9E33F"/>
    <w:rsid w:val="08E15AF0"/>
    <w:rsid w:val="08ECAEA7"/>
    <w:rsid w:val="08F1FB62"/>
    <w:rsid w:val="08FB83B0"/>
    <w:rsid w:val="090525BA"/>
    <w:rsid w:val="09086F79"/>
    <w:rsid w:val="0919F658"/>
    <w:rsid w:val="09225BF1"/>
    <w:rsid w:val="0929D871"/>
    <w:rsid w:val="092B99AD"/>
    <w:rsid w:val="092EF203"/>
    <w:rsid w:val="092FD855"/>
    <w:rsid w:val="0930BD0D"/>
    <w:rsid w:val="0930DDFE"/>
    <w:rsid w:val="0931CD49"/>
    <w:rsid w:val="09338B86"/>
    <w:rsid w:val="0936A16E"/>
    <w:rsid w:val="093B46B7"/>
    <w:rsid w:val="09417F8C"/>
    <w:rsid w:val="094929AA"/>
    <w:rsid w:val="094ACEDE"/>
    <w:rsid w:val="094DD329"/>
    <w:rsid w:val="094E3FE6"/>
    <w:rsid w:val="09570B1A"/>
    <w:rsid w:val="095A3418"/>
    <w:rsid w:val="095F322D"/>
    <w:rsid w:val="097C9CF2"/>
    <w:rsid w:val="0984ABEF"/>
    <w:rsid w:val="098D6CA7"/>
    <w:rsid w:val="0992E860"/>
    <w:rsid w:val="0993996E"/>
    <w:rsid w:val="099E9AF7"/>
    <w:rsid w:val="09A9777F"/>
    <w:rsid w:val="09AAE039"/>
    <w:rsid w:val="09B1755D"/>
    <w:rsid w:val="09B6D5B6"/>
    <w:rsid w:val="09BAB8F1"/>
    <w:rsid w:val="09BC3F63"/>
    <w:rsid w:val="09CB9A62"/>
    <w:rsid w:val="09CC8AC0"/>
    <w:rsid w:val="09D16700"/>
    <w:rsid w:val="09D77782"/>
    <w:rsid w:val="09E07B59"/>
    <w:rsid w:val="09E5823E"/>
    <w:rsid w:val="09EDDDB1"/>
    <w:rsid w:val="09F1BECA"/>
    <w:rsid w:val="09F83DC0"/>
    <w:rsid w:val="09FA2B6B"/>
    <w:rsid w:val="09FA82D3"/>
    <w:rsid w:val="09FB6A20"/>
    <w:rsid w:val="0A06ECE5"/>
    <w:rsid w:val="0A10656A"/>
    <w:rsid w:val="0A109742"/>
    <w:rsid w:val="0A10AA5F"/>
    <w:rsid w:val="0A14AC5B"/>
    <w:rsid w:val="0A1E048B"/>
    <w:rsid w:val="0A27F8F9"/>
    <w:rsid w:val="0A3A23E0"/>
    <w:rsid w:val="0A3EF14D"/>
    <w:rsid w:val="0A404408"/>
    <w:rsid w:val="0A49462A"/>
    <w:rsid w:val="0A49F879"/>
    <w:rsid w:val="0A5EBF0F"/>
    <w:rsid w:val="0A683090"/>
    <w:rsid w:val="0A6E4385"/>
    <w:rsid w:val="0A718BDD"/>
    <w:rsid w:val="0A74FD20"/>
    <w:rsid w:val="0A750A1E"/>
    <w:rsid w:val="0A77ECA9"/>
    <w:rsid w:val="0A815D72"/>
    <w:rsid w:val="0A82D1CA"/>
    <w:rsid w:val="0A896062"/>
    <w:rsid w:val="0A8E647E"/>
    <w:rsid w:val="0A967568"/>
    <w:rsid w:val="0A9CDE4E"/>
    <w:rsid w:val="0A9E1D3A"/>
    <w:rsid w:val="0AA1DD34"/>
    <w:rsid w:val="0AA237DA"/>
    <w:rsid w:val="0AA4B3B2"/>
    <w:rsid w:val="0AA672DF"/>
    <w:rsid w:val="0AA98C50"/>
    <w:rsid w:val="0AAD57AC"/>
    <w:rsid w:val="0AB402BE"/>
    <w:rsid w:val="0AC65561"/>
    <w:rsid w:val="0ADD3E46"/>
    <w:rsid w:val="0AE5DA06"/>
    <w:rsid w:val="0AE667E7"/>
    <w:rsid w:val="0AE79D70"/>
    <w:rsid w:val="0AF2B68D"/>
    <w:rsid w:val="0B015E63"/>
    <w:rsid w:val="0B045338"/>
    <w:rsid w:val="0B101112"/>
    <w:rsid w:val="0B18591D"/>
    <w:rsid w:val="0B1867FF"/>
    <w:rsid w:val="0B278432"/>
    <w:rsid w:val="0B2CFE09"/>
    <w:rsid w:val="0B41435B"/>
    <w:rsid w:val="0B590BF2"/>
    <w:rsid w:val="0B5E4427"/>
    <w:rsid w:val="0B6FF14D"/>
    <w:rsid w:val="0B73C09A"/>
    <w:rsid w:val="0B749B42"/>
    <w:rsid w:val="0B7D8197"/>
    <w:rsid w:val="0B83127C"/>
    <w:rsid w:val="0B84CA22"/>
    <w:rsid w:val="0B97CD19"/>
    <w:rsid w:val="0B990271"/>
    <w:rsid w:val="0BA9D3BB"/>
    <w:rsid w:val="0BAD048C"/>
    <w:rsid w:val="0BB3492A"/>
    <w:rsid w:val="0BB8ABA7"/>
    <w:rsid w:val="0BB90135"/>
    <w:rsid w:val="0BC3E89F"/>
    <w:rsid w:val="0BDA7B4B"/>
    <w:rsid w:val="0BDAC8EC"/>
    <w:rsid w:val="0BDBFFDB"/>
    <w:rsid w:val="0BDCF5D3"/>
    <w:rsid w:val="0BE040FC"/>
    <w:rsid w:val="0BE2F44B"/>
    <w:rsid w:val="0BE49BEF"/>
    <w:rsid w:val="0BF43F4D"/>
    <w:rsid w:val="0BFF3F47"/>
    <w:rsid w:val="0BFF709E"/>
    <w:rsid w:val="0C004B6A"/>
    <w:rsid w:val="0C08DD60"/>
    <w:rsid w:val="0C0D00B9"/>
    <w:rsid w:val="0C0F43EA"/>
    <w:rsid w:val="0C195AF9"/>
    <w:rsid w:val="0C1F6F08"/>
    <w:rsid w:val="0C263538"/>
    <w:rsid w:val="0C31BB80"/>
    <w:rsid w:val="0C3C1891"/>
    <w:rsid w:val="0C47B373"/>
    <w:rsid w:val="0C48F360"/>
    <w:rsid w:val="0C493724"/>
    <w:rsid w:val="0C4BCEE4"/>
    <w:rsid w:val="0C527B29"/>
    <w:rsid w:val="0C67569E"/>
    <w:rsid w:val="0C70E6F1"/>
    <w:rsid w:val="0C727619"/>
    <w:rsid w:val="0C7C1B0E"/>
    <w:rsid w:val="0C7FD0CD"/>
    <w:rsid w:val="0C8FF3F5"/>
    <w:rsid w:val="0C91BE65"/>
    <w:rsid w:val="0C9E6A67"/>
    <w:rsid w:val="0C9F9553"/>
    <w:rsid w:val="0CABA225"/>
    <w:rsid w:val="0CABEF8D"/>
    <w:rsid w:val="0CB2BA2B"/>
    <w:rsid w:val="0CBDDAAB"/>
    <w:rsid w:val="0CC1374A"/>
    <w:rsid w:val="0CC7A56E"/>
    <w:rsid w:val="0CCAD056"/>
    <w:rsid w:val="0CD69BC5"/>
    <w:rsid w:val="0CD83ED2"/>
    <w:rsid w:val="0CEC3CFC"/>
    <w:rsid w:val="0CEFB4ED"/>
    <w:rsid w:val="0D199F7C"/>
    <w:rsid w:val="0D1BD35E"/>
    <w:rsid w:val="0D2E3C9B"/>
    <w:rsid w:val="0D324A0A"/>
    <w:rsid w:val="0D384544"/>
    <w:rsid w:val="0D3E1385"/>
    <w:rsid w:val="0D44E9B5"/>
    <w:rsid w:val="0D450A5C"/>
    <w:rsid w:val="0D464C30"/>
    <w:rsid w:val="0D5B27C2"/>
    <w:rsid w:val="0D6019AE"/>
    <w:rsid w:val="0D6606FC"/>
    <w:rsid w:val="0D6A9DBC"/>
    <w:rsid w:val="0D702B4F"/>
    <w:rsid w:val="0D7E2DA6"/>
    <w:rsid w:val="0D80CB1C"/>
    <w:rsid w:val="0D82CDEA"/>
    <w:rsid w:val="0D8323CC"/>
    <w:rsid w:val="0D84778D"/>
    <w:rsid w:val="0D862A49"/>
    <w:rsid w:val="0D86BBA2"/>
    <w:rsid w:val="0D9191D8"/>
    <w:rsid w:val="0D96F56B"/>
    <w:rsid w:val="0DACA918"/>
    <w:rsid w:val="0DB7922C"/>
    <w:rsid w:val="0DC36E6C"/>
    <w:rsid w:val="0DC3A0AF"/>
    <w:rsid w:val="0DC3E1F3"/>
    <w:rsid w:val="0DDB0F75"/>
    <w:rsid w:val="0DE3CE79"/>
    <w:rsid w:val="0DF1E1FF"/>
    <w:rsid w:val="0DF39EAC"/>
    <w:rsid w:val="0DFD7FE8"/>
    <w:rsid w:val="0E01440C"/>
    <w:rsid w:val="0E019BBD"/>
    <w:rsid w:val="0E01D209"/>
    <w:rsid w:val="0E059077"/>
    <w:rsid w:val="0E23142A"/>
    <w:rsid w:val="0E2AFEA7"/>
    <w:rsid w:val="0E2EF111"/>
    <w:rsid w:val="0E308752"/>
    <w:rsid w:val="0E3CB126"/>
    <w:rsid w:val="0E3D64F9"/>
    <w:rsid w:val="0E403394"/>
    <w:rsid w:val="0E51B248"/>
    <w:rsid w:val="0E55ADC1"/>
    <w:rsid w:val="0E5AACE9"/>
    <w:rsid w:val="0E5D4B12"/>
    <w:rsid w:val="0E5F634F"/>
    <w:rsid w:val="0E5F682D"/>
    <w:rsid w:val="0E5FE5C5"/>
    <w:rsid w:val="0E70166A"/>
    <w:rsid w:val="0E7AAF5C"/>
    <w:rsid w:val="0E7E6C13"/>
    <w:rsid w:val="0E863057"/>
    <w:rsid w:val="0E9CDD3A"/>
    <w:rsid w:val="0EA6450B"/>
    <w:rsid w:val="0EAB3E93"/>
    <w:rsid w:val="0EB110EF"/>
    <w:rsid w:val="0EBE0076"/>
    <w:rsid w:val="0EBEF7B6"/>
    <w:rsid w:val="0ECA9443"/>
    <w:rsid w:val="0EDF88EC"/>
    <w:rsid w:val="0EE169BB"/>
    <w:rsid w:val="0EE8FA19"/>
    <w:rsid w:val="0EF3DC7E"/>
    <w:rsid w:val="0EFDDBA6"/>
    <w:rsid w:val="0F031E95"/>
    <w:rsid w:val="0F055333"/>
    <w:rsid w:val="0F073DF5"/>
    <w:rsid w:val="0F102273"/>
    <w:rsid w:val="0F158E51"/>
    <w:rsid w:val="0F2FF418"/>
    <w:rsid w:val="0F35140A"/>
    <w:rsid w:val="0F375DE6"/>
    <w:rsid w:val="0F381EB7"/>
    <w:rsid w:val="0F52F751"/>
    <w:rsid w:val="0F5BC814"/>
    <w:rsid w:val="0F714006"/>
    <w:rsid w:val="0F73251D"/>
    <w:rsid w:val="0F8F24FA"/>
    <w:rsid w:val="0F92842A"/>
    <w:rsid w:val="0F94ECB9"/>
    <w:rsid w:val="0F98DC41"/>
    <w:rsid w:val="0FA06C50"/>
    <w:rsid w:val="0FAB8FCB"/>
    <w:rsid w:val="0FB040C1"/>
    <w:rsid w:val="0FB15DA3"/>
    <w:rsid w:val="0FB27963"/>
    <w:rsid w:val="0FB5C3BE"/>
    <w:rsid w:val="0FC0DD6F"/>
    <w:rsid w:val="0FC5C306"/>
    <w:rsid w:val="0FC945F5"/>
    <w:rsid w:val="0FD815E1"/>
    <w:rsid w:val="0FE89C5F"/>
    <w:rsid w:val="0FF546BF"/>
    <w:rsid w:val="0FF80F7D"/>
    <w:rsid w:val="100B2005"/>
    <w:rsid w:val="100EBEB2"/>
    <w:rsid w:val="1013132F"/>
    <w:rsid w:val="1017ACDD"/>
    <w:rsid w:val="1018CA40"/>
    <w:rsid w:val="102DABF8"/>
    <w:rsid w:val="10335C66"/>
    <w:rsid w:val="1037E19D"/>
    <w:rsid w:val="103CD6F4"/>
    <w:rsid w:val="1045B52B"/>
    <w:rsid w:val="106BD721"/>
    <w:rsid w:val="1076EAC5"/>
    <w:rsid w:val="1076F6ED"/>
    <w:rsid w:val="1078165D"/>
    <w:rsid w:val="1078EA50"/>
    <w:rsid w:val="108249EB"/>
    <w:rsid w:val="108852BB"/>
    <w:rsid w:val="108EC997"/>
    <w:rsid w:val="109963B5"/>
    <w:rsid w:val="109D809C"/>
    <w:rsid w:val="10A70E52"/>
    <w:rsid w:val="10A78700"/>
    <w:rsid w:val="10A78A7B"/>
    <w:rsid w:val="10AB018B"/>
    <w:rsid w:val="10B0AF67"/>
    <w:rsid w:val="10B7451F"/>
    <w:rsid w:val="10BA0E29"/>
    <w:rsid w:val="10BEBD9D"/>
    <w:rsid w:val="10C62488"/>
    <w:rsid w:val="10C70A5F"/>
    <w:rsid w:val="10C93E44"/>
    <w:rsid w:val="10D4E43B"/>
    <w:rsid w:val="10E63349"/>
    <w:rsid w:val="10E7FFE7"/>
    <w:rsid w:val="10ED0598"/>
    <w:rsid w:val="10F462D6"/>
    <w:rsid w:val="10F79875"/>
    <w:rsid w:val="110B1CFD"/>
    <w:rsid w:val="110B2221"/>
    <w:rsid w:val="111C2942"/>
    <w:rsid w:val="11205622"/>
    <w:rsid w:val="11233356"/>
    <w:rsid w:val="11259C4C"/>
    <w:rsid w:val="1125AC55"/>
    <w:rsid w:val="1131A1D0"/>
    <w:rsid w:val="1132D865"/>
    <w:rsid w:val="11339183"/>
    <w:rsid w:val="113666D6"/>
    <w:rsid w:val="1142FAA5"/>
    <w:rsid w:val="11551B8A"/>
    <w:rsid w:val="11626F0C"/>
    <w:rsid w:val="116A6399"/>
    <w:rsid w:val="1170272E"/>
    <w:rsid w:val="117A7A94"/>
    <w:rsid w:val="1190F603"/>
    <w:rsid w:val="1190FEBF"/>
    <w:rsid w:val="11973C12"/>
    <w:rsid w:val="1198C7AC"/>
    <w:rsid w:val="11B14DE3"/>
    <w:rsid w:val="11B19DDF"/>
    <w:rsid w:val="11D8BA83"/>
    <w:rsid w:val="11E4CBB2"/>
    <w:rsid w:val="11EEE5BE"/>
    <w:rsid w:val="11FB83E8"/>
    <w:rsid w:val="11FC963F"/>
    <w:rsid w:val="1218F0F7"/>
    <w:rsid w:val="122196FA"/>
    <w:rsid w:val="12239C4B"/>
    <w:rsid w:val="122468A3"/>
    <w:rsid w:val="1226043F"/>
    <w:rsid w:val="12265D92"/>
    <w:rsid w:val="122832AB"/>
    <w:rsid w:val="1233B22F"/>
    <w:rsid w:val="1234E62B"/>
    <w:rsid w:val="12377499"/>
    <w:rsid w:val="12408408"/>
    <w:rsid w:val="1242DEB3"/>
    <w:rsid w:val="124716F5"/>
    <w:rsid w:val="124AAE26"/>
    <w:rsid w:val="124CF64D"/>
    <w:rsid w:val="124E26B5"/>
    <w:rsid w:val="124FDD74"/>
    <w:rsid w:val="12507BD4"/>
    <w:rsid w:val="1258D72A"/>
    <w:rsid w:val="125E663D"/>
    <w:rsid w:val="12622968"/>
    <w:rsid w:val="1262B272"/>
    <w:rsid w:val="1279BD11"/>
    <w:rsid w:val="12994CDB"/>
    <w:rsid w:val="129C8498"/>
    <w:rsid w:val="12A30A9C"/>
    <w:rsid w:val="12B494AC"/>
    <w:rsid w:val="12B7F30D"/>
    <w:rsid w:val="12B8C0BC"/>
    <w:rsid w:val="12B90288"/>
    <w:rsid w:val="12B90869"/>
    <w:rsid w:val="12C71CC4"/>
    <w:rsid w:val="12C87673"/>
    <w:rsid w:val="12C9B3E5"/>
    <w:rsid w:val="12D39E6E"/>
    <w:rsid w:val="12DAAD69"/>
    <w:rsid w:val="12E134A9"/>
    <w:rsid w:val="12EA8FFA"/>
    <w:rsid w:val="12F9E6E6"/>
    <w:rsid w:val="13012E65"/>
    <w:rsid w:val="13077579"/>
    <w:rsid w:val="130FDDAE"/>
    <w:rsid w:val="13136297"/>
    <w:rsid w:val="1316C6A3"/>
    <w:rsid w:val="131DAE3B"/>
    <w:rsid w:val="1320200C"/>
    <w:rsid w:val="132CB65D"/>
    <w:rsid w:val="132D79B8"/>
    <w:rsid w:val="1331E21F"/>
    <w:rsid w:val="133C0586"/>
    <w:rsid w:val="134794D0"/>
    <w:rsid w:val="1348E5C2"/>
    <w:rsid w:val="135F601B"/>
    <w:rsid w:val="1362749A"/>
    <w:rsid w:val="136A6CD8"/>
    <w:rsid w:val="137C8A73"/>
    <w:rsid w:val="138D364C"/>
    <w:rsid w:val="138FCC05"/>
    <w:rsid w:val="1392E598"/>
    <w:rsid w:val="13945BD0"/>
    <w:rsid w:val="139BF435"/>
    <w:rsid w:val="13B75621"/>
    <w:rsid w:val="13BA91EC"/>
    <w:rsid w:val="13C570B6"/>
    <w:rsid w:val="13D74BFA"/>
    <w:rsid w:val="13D78897"/>
    <w:rsid w:val="13D929F0"/>
    <w:rsid w:val="13E0967E"/>
    <w:rsid w:val="13E0A752"/>
    <w:rsid w:val="13E1E3FD"/>
    <w:rsid w:val="13E593B7"/>
    <w:rsid w:val="13ED5A0D"/>
    <w:rsid w:val="13EF51EC"/>
    <w:rsid w:val="13F90890"/>
    <w:rsid w:val="13FB5048"/>
    <w:rsid w:val="13FC6C41"/>
    <w:rsid w:val="1401FB96"/>
    <w:rsid w:val="140CA7EE"/>
    <w:rsid w:val="1413FE13"/>
    <w:rsid w:val="14177782"/>
    <w:rsid w:val="141ABA2C"/>
    <w:rsid w:val="141F2C55"/>
    <w:rsid w:val="1422B261"/>
    <w:rsid w:val="1424F606"/>
    <w:rsid w:val="142FE2A1"/>
    <w:rsid w:val="1431CE2F"/>
    <w:rsid w:val="143BDB19"/>
    <w:rsid w:val="143BEEF0"/>
    <w:rsid w:val="143F78E2"/>
    <w:rsid w:val="1447E8A5"/>
    <w:rsid w:val="144DB467"/>
    <w:rsid w:val="1460D055"/>
    <w:rsid w:val="14619873"/>
    <w:rsid w:val="1463B0B1"/>
    <w:rsid w:val="14725F61"/>
    <w:rsid w:val="147F8F63"/>
    <w:rsid w:val="1486605B"/>
    <w:rsid w:val="148B3767"/>
    <w:rsid w:val="14919CFD"/>
    <w:rsid w:val="1493F2FA"/>
    <w:rsid w:val="149C1169"/>
    <w:rsid w:val="14AF5DDB"/>
    <w:rsid w:val="14AFC412"/>
    <w:rsid w:val="14B2A817"/>
    <w:rsid w:val="14C34200"/>
    <w:rsid w:val="14C726F3"/>
    <w:rsid w:val="14C9CD82"/>
    <w:rsid w:val="14CA9827"/>
    <w:rsid w:val="14CD1164"/>
    <w:rsid w:val="14CF3C15"/>
    <w:rsid w:val="14D6A28D"/>
    <w:rsid w:val="14DC89A1"/>
    <w:rsid w:val="14ECD23F"/>
    <w:rsid w:val="14F3211D"/>
    <w:rsid w:val="14F64BA5"/>
    <w:rsid w:val="14F6D198"/>
    <w:rsid w:val="14FBDC28"/>
    <w:rsid w:val="1508F7F0"/>
    <w:rsid w:val="150CDDD9"/>
    <w:rsid w:val="150E5B0E"/>
    <w:rsid w:val="1513D4A2"/>
    <w:rsid w:val="151FACCC"/>
    <w:rsid w:val="153C6432"/>
    <w:rsid w:val="15430139"/>
    <w:rsid w:val="159AC35B"/>
    <w:rsid w:val="15AA94A5"/>
    <w:rsid w:val="15BA6948"/>
    <w:rsid w:val="15BF1BAF"/>
    <w:rsid w:val="15C62AA0"/>
    <w:rsid w:val="15CA9784"/>
    <w:rsid w:val="15E4F93E"/>
    <w:rsid w:val="15EE7763"/>
    <w:rsid w:val="15F8703D"/>
    <w:rsid w:val="15FF28B5"/>
    <w:rsid w:val="1600A76B"/>
    <w:rsid w:val="16104B02"/>
    <w:rsid w:val="16131203"/>
    <w:rsid w:val="16155016"/>
    <w:rsid w:val="161EA8DE"/>
    <w:rsid w:val="1624E432"/>
    <w:rsid w:val="16322B9F"/>
    <w:rsid w:val="16386D5F"/>
    <w:rsid w:val="1641C43B"/>
    <w:rsid w:val="164F3EEB"/>
    <w:rsid w:val="1653E350"/>
    <w:rsid w:val="16589549"/>
    <w:rsid w:val="165BA921"/>
    <w:rsid w:val="1660EE46"/>
    <w:rsid w:val="1661FF33"/>
    <w:rsid w:val="16689A8C"/>
    <w:rsid w:val="166FB0B0"/>
    <w:rsid w:val="167794CE"/>
    <w:rsid w:val="16782E1A"/>
    <w:rsid w:val="1679ECF9"/>
    <w:rsid w:val="16886D88"/>
    <w:rsid w:val="168DF52B"/>
    <w:rsid w:val="16978042"/>
    <w:rsid w:val="169BD168"/>
    <w:rsid w:val="169E9B09"/>
    <w:rsid w:val="16A71817"/>
    <w:rsid w:val="16A7B428"/>
    <w:rsid w:val="16AB022B"/>
    <w:rsid w:val="16B51D82"/>
    <w:rsid w:val="16B6D699"/>
    <w:rsid w:val="16CFC2A3"/>
    <w:rsid w:val="16D8F6DF"/>
    <w:rsid w:val="16DCFD66"/>
    <w:rsid w:val="16EAD169"/>
    <w:rsid w:val="16EF0A46"/>
    <w:rsid w:val="16FF0B99"/>
    <w:rsid w:val="17088A77"/>
    <w:rsid w:val="17094F50"/>
    <w:rsid w:val="170ACC3A"/>
    <w:rsid w:val="170FF305"/>
    <w:rsid w:val="17127033"/>
    <w:rsid w:val="1715C10A"/>
    <w:rsid w:val="1723EFE9"/>
    <w:rsid w:val="1743A585"/>
    <w:rsid w:val="1747A740"/>
    <w:rsid w:val="17484BEE"/>
    <w:rsid w:val="1748CC73"/>
    <w:rsid w:val="174F97F8"/>
    <w:rsid w:val="175E2E81"/>
    <w:rsid w:val="175EA6E2"/>
    <w:rsid w:val="176761B6"/>
    <w:rsid w:val="176BD522"/>
    <w:rsid w:val="17702779"/>
    <w:rsid w:val="177A9572"/>
    <w:rsid w:val="177B632C"/>
    <w:rsid w:val="177D5F98"/>
    <w:rsid w:val="178B1FDC"/>
    <w:rsid w:val="178B6F39"/>
    <w:rsid w:val="17A006F6"/>
    <w:rsid w:val="17A37B81"/>
    <w:rsid w:val="17B09CEE"/>
    <w:rsid w:val="17D372B5"/>
    <w:rsid w:val="17D68D5F"/>
    <w:rsid w:val="17DB39E2"/>
    <w:rsid w:val="17ED89F5"/>
    <w:rsid w:val="17EEF406"/>
    <w:rsid w:val="17F2F905"/>
    <w:rsid w:val="17F8C508"/>
    <w:rsid w:val="17FBFED9"/>
    <w:rsid w:val="1806308F"/>
    <w:rsid w:val="180DAAFF"/>
    <w:rsid w:val="180ECD54"/>
    <w:rsid w:val="18120254"/>
    <w:rsid w:val="1812E455"/>
    <w:rsid w:val="1813C48C"/>
    <w:rsid w:val="181544C5"/>
    <w:rsid w:val="18276EC5"/>
    <w:rsid w:val="182F03B4"/>
    <w:rsid w:val="18353EF9"/>
    <w:rsid w:val="183BE01F"/>
    <w:rsid w:val="18443DAD"/>
    <w:rsid w:val="184C015A"/>
    <w:rsid w:val="185129D5"/>
    <w:rsid w:val="1851950F"/>
    <w:rsid w:val="185698AB"/>
    <w:rsid w:val="1856BF69"/>
    <w:rsid w:val="18573889"/>
    <w:rsid w:val="1859B9D2"/>
    <w:rsid w:val="185C9FE0"/>
    <w:rsid w:val="1867DB72"/>
    <w:rsid w:val="186B2056"/>
    <w:rsid w:val="18799C7D"/>
    <w:rsid w:val="187BA04D"/>
    <w:rsid w:val="188A7549"/>
    <w:rsid w:val="188BCA6E"/>
    <w:rsid w:val="1890D87E"/>
    <w:rsid w:val="18942813"/>
    <w:rsid w:val="189598E5"/>
    <w:rsid w:val="189AF018"/>
    <w:rsid w:val="18A0127D"/>
    <w:rsid w:val="18A226DF"/>
    <w:rsid w:val="18AD7711"/>
    <w:rsid w:val="18C8E7B5"/>
    <w:rsid w:val="18E24E60"/>
    <w:rsid w:val="18FDB4B1"/>
    <w:rsid w:val="18FE9677"/>
    <w:rsid w:val="19069051"/>
    <w:rsid w:val="19149C76"/>
    <w:rsid w:val="192910DC"/>
    <w:rsid w:val="192966CC"/>
    <w:rsid w:val="192F489F"/>
    <w:rsid w:val="19304428"/>
    <w:rsid w:val="1930CFF2"/>
    <w:rsid w:val="19338B62"/>
    <w:rsid w:val="194560AD"/>
    <w:rsid w:val="19497127"/>
    <w:rsid w:val="194CC406"/>
    <w:rsid w:val="194D388F"/>
    <w:rsid w:val="19507358"/>
    <w:rsid w:val="1965EA70"/>
    <w:rsid w:val="19927821"/>
    <w:rsid w:val="19964AB2"/>
    <w:rsid w:val="199735AC"/>
    <w:rsid w:val="19A09287"/>
    <w:rsid w:val="19A33E29"/>
    <w:rsid w:val="19ACD104"/>
    <w:rsid w:val="19B81A20"/>
    <w:rsid w:val="19D1F114"/>
    <w:rsid w:val="19D71902"/>
    <w:rsid w:val="19D7750D"/>
    <w:rsid w:val="19E8C201"/>
    <w:rsid w:val="19F4EF5E"/>
    <w:rsid w:val="19F4F48D"/>
    <w:rsid w:val="19F626B6"/>
    <w:rsid w:val="19F72BF2"/>
    <w:rsid w:val="19FB1DB6"/>
    <w:rsid w:val="19FD06A6"/>
    <w:rsid w:val="1A02A9B9"/>
    <w:rsid w:val="1A04969F"/>
    <w:rsid w:val="1A0D795E"/>
    <w:rsid w:val="1A1C0B38"/>
    <w:rsid w:val="1A2BDF7B"/>
    <w:rsid w:val="1A337E22"/>
    <w:rsid w:val="1A3B3942"/>
    <w:rsid w:val="1A417404"/>
    <w:rsid w:val="1A504047"/>
    <w:rsid w:val="1A57B6A3"/>
    <w:rsid w:val="1A5C5892"/>
    <w:rsid w:val="1A670247"/>
    <w:rsid w:val="1A6776F8"/>
    <w:rsid w:val="1A6A1ECC"/>
    <w:rsid w:val="1A6BB11D"/>
    <w:rsid w:val="1A7344D1"/>
    <w:rsid w:val="1A7C1A69"/>
    <w:rsid w:val="1A85276D"/>
    <w:rsid w:val="1A948552"/>
    <w:rsid w:val="1A951334"/>
    <w:rsid w:val="1A9C78E3"/>
    <w:rsid w:val="1AA1434D"/>
    <w:rsid w:val="1AA1F8B4"/>
    <w:rsid w:val="1AA6F8DF"/>
    <w:rsid w:val="1AA7D095"/>
    <w:rsid w:val="1AB6DA9E"/>
    <w:rsid w:val="1AB84BCA"/>
    <w:rsid w:val="1AB9236C"/>
    <w:rsid w:val="1AD065FA"/>
    <w:rsid w:val="1AD1EB79"/>
    <w:rsid w:val="1AD338DD"/>
    <w:rsid w:val="1AD5A567"/>
    <w:rsid w:val="1AD5F0B7"/>
    <w:rsid w:val="1ADE2076"/>
    <w:rsid w:val="1AE4878D"/>
    <w:rsid w:val="1AF7625B"/>
    <w:rsid w:val="1AFD0DBC"/>
    <w:rsid w:val="1B09C706"/>
    <w:rsid w:val="1B1D2564"/>
    <w:rsid w:val="1B243365"/>
    <w:rsid w:val="1B286BFD"/>
    <w:rsid w:val="1B2BFA44"/>
    <w:rsid w:val="1B31B4D0"/>
    <w:rsid w:val="1B356B18"/>
    <w:rsid w:val="1B3665A2"/>
    <w:rsid w:val="1B41786A"/>
    <w:rsid w:val="1B42A4C4"/>
    <w:rsid w:val="1B450507"/>
    <w:rsid w:val="1B5A10B5"/>
    <w:rsid w:val="1B5D714E"/>
    <w:rsid w:val="1B6CE877"/>
    <w:rsid w:val="1B737BCE"/>
    <w:rsid w:val="1B74656B"/>
    <w:rsid w:val="1B7741E7"/>
    <w:rsid w:val="1B81AA1A"/>
    <w:rsid w:val="1B848B45"/>
    <w:rsid w:val="1B8AB90F"/>
    <w:rsid w:val="1B9F2D2B"/>
    <w:rsid w:val="1BA02B65"/>
    <w:rsid w:val="1BA22226"/>
    <w:rsid w:val="1BA9A321"/>
    <w:rsid w:val="1BAFBECA"/>
    <w:rsid w:val="1BBC4157"/>
    <w:rsid w:val="1BC785AD"/>
    <w:rsid w:val="1BCC0449"/>
    <w:rsid w:val="1BCFA935"/>
    <w:rsid w:val="1BDAC6B4"/>
    <w:rsid w:val="1BDB17CE"/>
    <w:rsid w:val="1BDF9F05"/>
    <w:rsid w:val="1BE2D464"/>
    <w:rsid w:val="1BE36719"/>
    <w:rsid w:val="1BE4E055"/>
    <w:rsid w:val="1BE668F3"/>
    <w:rsid w:val="1BF6B9D4"/>
    <w:rsid w:val="1C0D5514"/>
    <w:rsid w:val="1C104571"/>
    <w:rsid w:val="1C2A88F2"/>
    <w:rsid w:val="1C3B0197"/>
    <w:rsid w:val="1C448D6D"/>
    <w:rsid w:val="1C497051"/>
    <w:rsid w:val="1C4FC474"/>
    <w:rsid w:val="1C50448F"/>
    <w:rsid w:val="1C54F9A1"/>
    <w:rsid w:val="1C58A460"/>
    <w:rsid w:val="1C5D4AFC"/>
    <w:rsid w:val="1C5F519B"/>
    <w:rsid w:val="1C63F56F"/>
    <w:rsid w:val="1C69370F"/>
    <w:rsid w:val="1C6980F4"/>
    <w:rsid w:val="1C6BFC62"/>
    <w:rsid w:val="1C8D8A9D"/>
    <w:rsid w:val="1C8F09B1"/>
    <w:rsid w:val="1C917240"/>
    <w:rsid w:val="1C9D4B8A"/>
    <w:rsid w:val="1CB3F583"/>
    <w:rsid w:val="1CB4179B"/>
    <w:rsid w:val="1CB75EBC"/>
    <w:rsid w:val="1CB9042E"/>
    <w:rsid w:val="1CBEF4BF"/>
    <w:rsid w:val="1CCCFB6F"/>
    <w:rsid w:val="1CD62B4C"/>
    <w:rsid w:val="1CDB7136"/>
    <w:rsid w:val="1CE31AA0"/>
    <w:rsid w:val="1CF87F0E"/>
    <w:rsid w:val="1D035F13"/>
    <w:rsid w:val="1D04A9E9"/>
    <w:rsid w:val="1D0C8E8A"/>
    <w:rsid w:val="1D1D49E0"/>
    <w:rsid w:val="1D2BD179"/>
    <w:rsid w:val="1D3128E7"/>
    <w:rsid w:val="1D3E2CF7"/>
    <w:rsid w:val="1D4081C0"/>
    <w:rsid w:val="1D41442F"/>
    <w:rsid w:val="1D423FF7"/>
    <w:rsid w:val="1D439DD2"/>
    <w:rsid w:val="1D647416"/>
    <w:rsid w:val="1D6D9E24"/>
    <w:rsid w:val="1D744B7C"/>
    <w:rsid w:val="1D75C27F"/>
    <w:rsid w:val="1D7B2D30"/>
    <w:rsid w:val="1D7E6E1D"/>
    <w:rsid w:val="1D859EAC"/>
    <w:rsid w:val="1D993F44"/>
    <w:rsid w:val="1D9FDC46"/>
    <w:rsid w:val="1DA1D430"/>
    <w:rsid w:val="1DB36FBB"/>
    <w:rsid w:val="1DB3CAC5"/>
    <w:rsid w:val="1DB9CE31"/>
    <w:rsid w:val="1DC068B3"/>
    <w:rsid w:val="1DC84741"/>
    <w:rsid w:val="1DCD7A31"/>
    <w:rsid w:val="1DD11991"/>
    <w:rsid w:val="1DD604C3"/>
    <w:rsid w:val="1DDADA75"/>
    <w:rsid w:val="1DDADC43"/>
    <w:rsid w:val="1DEEA73A"/>
    <w:rsid w:val="1DFD6B34"/>
    <w:rsid w:val="1DFEFCFE"/>
    <w:rsid w:val="1E130802"/>
    <w:rsid w:val="1E2110B9"/>
    <w:rsid w:val="1E23D1C4"/>
    <w:rsid w:val="1E240AA3"/>
    <w:rsid w:val="1E28372C"/>
    <w:rsid w:val="1E297D78"/>
    <w:rsid w:val="1E2A4017"/>
    <w:rsid w:val="1E346051"/>
    <w:rsid w:val="1E502754"/>
    <w:rsid w:val="1E5D2C95"/>
    <w:rsid w:val="1E5F8DE7"/>
    <w:rsid w:val="1E633FE0"/>
    <w:rsid w:val="1E6A438A"/>
    <w:rsid w:val="1E76098F"/>
    <w:rsid w:val="1E76F6F5"/>
    <w:rsid w:val="1E773D21"/>
    <w:rsid w:val="1E830388"/>
    <w:rsid w:val="1E843052"/>
    <w:rsid w:val="1E8A9D8C"/>
    <w:rsid w:val="1E92ED28"/>
    <w:rsid w:val="1E98E194"/>
    <w:rsid w:val="1E9DA052"/>
    <w:rsid w:val="1EA56237"/>
    <w:rsid w:val="1EAC2067"/>
    <w:rsid w:val="1EBC6C39"/>
    <w:rsid w:val="1EBD4440"/>
    <w:rsid w:val="1EBD8339"/>
    <w:rsid w:val="1EC88BA9"/>
    <w:rsid w:val="1EC9CC77"/>
    <w:rsid w:val="1ECA7930"/>
    <w:rsid w:val="1ECF5487"/>
    <w:rsid w:val="1EDACA0E"/>
    <w:rsid w:val="1EDB9B85"/>
    <w:rsid w:val="1EE6E9D7"/>
    <w:rsid w:val="1EEC43E2"/>
    <w:rsid w:val="1EEEC08C"/>
    <w:rsid w:val="1EF84A30"/>
    <w:rsid w:val="1F01D4B8"/>
    <w:rsid w:val="1F0413BE"/>
    <w:rsid w:val="1F0E1D4B"/>
    <w:rsid w:val="1F2359F9"/>
    <w:rsid w:val="1F3EC7CE"/>
    <w:rsid w:val="1F490AD2"/>
    <w:rsid w:val="1F52E2ED"/>
    <w:rsid w:val="1F74141F"/>
    <w:rsid w:val="1F7EACAB"/>
    <w:rsid w:val="1F85134C"/>
    <w:rsid w:val="1F8F7DE2"/>
    <w:rsid w:val="1FA18E16"/>
    <w:rsid w:val="1FA684DF"/>
    <w:rsid w:val="1FABE3EA"/>
    <w:rsid w:val="1FC84A24"/>
    <w:rsid w:val="1FD3BC09"/>
    <w:rsid w:val="1FD4871B"/>
    <w:rsid w:val="1FDF6C7F"/>
    <w:rsid w:val="1FE5FBAE"/>
    <w:rsid w:val="1FF5B2CC"/>
    <w:rsid w:val="1FF5DE61"/>
    <w:rsid w:val="2007DF26"/>
    <w:rsid w:val="2009CC9E"/>
    <w:rsid w:val="200A9014"/>
    <w:rsid w:val="201080CC"/>
    <w:rsid w:val="20117652"/>
    <w:rsid w:val="2018E87D"/>
    <w:rsid w:val="201C78D4"/>
    <w:rsid w:val="201F8227"/>
    <w:rsid w:val="20203AAF"/>
    <w:rsid w:val="2022BFCD"/>
    <w:rsid w:val="2026C1B5"/>
    <w:rsid w:val="202A000F"/>
    <w:rsid w:val="2039FA18"/>
    <w:rsid w:val="2047621E"/>
    <w:rsid w:val="206012B6"/>
    <w:rsid w:val="2074B6BB"/>
    <w:rsid w:val="20785A10"/>
    <w:rsid w:val="207C2E47"/>
    <w:rsid w:val="20825298"/>
    <w:rsid w:val="2086D95B"/>
    <w:rsid w:val="208DDA89"/>
    <w:rsid w:val="2097F540"/>
    <w:rsid w:val="20997D14"/>
    <w:rsid w:val="20A2FC12"/>
    <w:rsid w:val="20B0FB59"/>
    <w:rsid w:val="20B9CF66"/>
    <w:rsid w:val="20BA4A9F"/>
    <w:rsid w:val="20E110B0"/>
    <w:rsid w:val="20E4DB33"/>
    <w:rsid w:val="20E9271C"/>
    <w:rsid w:val="20EA9C3F"/>
    <w:rsid w:val="20F8CDB3"/>
    <w:rsid w:val="2106DE08"/>
    <w:rsid w:val="21157164"/>
    <w:rsid w:val="2116B9BE"/>
    <w:rsid w:val="211C7F66"/>
    <w:rsid w:val="211EE021"/>
    <w:rsid w:val="213368C8"/>
    <w:rsid w:val="21343B21"/>
    <w:rsid w:val="2138A7DB"/>
    <w:rsid w:val="2142C9DC"/>
    <w:rsid w:val="21433A43"/>
    <w:rsid w:val="21626534"/>
    <w:rsid w:val="21691F23"/>
    <w:rsid w:val="216FD114"/>
    <w:rsid w:val="2183B1D2"/>
    <w:rsid w:val="2189C878"/>
    <w:rsid w:val="21A4B19D"/>
    <w:rsid w:val="21BB95FA"/>
    <w:rsid w:val="21CE6AD1"/>
    <w:rsid w:val="21D68ED0"/>
    <w:rsid w:val="21D6FED9"/>
    <w:rsid w:val="21DEAC32"/>
    <w:rsid w:val="21DFB832"/>
    <w:rsid w:val="21E6C3DD"/>
    <w:rsid w:val="21EF0049"/>
    <w:rsid w:val="21EF6065"/>
    <w:rsid w:val="21EFFC36"/>
    <w:rsid w:val="21F501FD"/>
    <w:rsid w:val="21F8613D"/>
    <w:rsid w:val="22001AAD"/>
    <w:rsid w:val="2202EF6F"/>
    <w:rsid w:val="22071755"/>
    <w:rsid w:val="220DC651"/>
    <w:rsid w:val="221DDADF"/>
    <w:rsid w:val="2238A2C0"/>
    <w:rsid w:val="223F87B7"/>
    <w:rsid w:val="22457F24"/>
    <w:rsid w:val="224BE56B"/>
    <w:rsid w:val="224C92D6"/>
    <w:rsid w:val="225317DB"/>
    <w:rsid w:val="225D83FC"/>
    <w:rsid w:val="22634076"/>
    <w:rsid w:val="2270BB6B"/>
    <w:rsid w:val="2287674F"/>
    <w:rsid w:val="2288B3BD"/>
    <w:rsid w:val="229153D1"/>
    <w:rsid w:val="2295BA43"/>
    <w:rsid w:val="229DC69B"/>
    <w:rsid w:val="22B29099"/>
    <w:rsid w:val="22B444AC"/>
    <w:rsid w:val="22B91152"/>
    <w:rsid w:val="22BC455C"/>
    <w:rsid w:val="22C4E807"/>
    <w:rsid w:val="22CB3B9E"/>
    <w:rsid w:val="22D9CFF8"/>
    <w:rsid w:val="22DC30CC"/>
    <w:rsid w:val="22E1B32F"/>
    <w:rsid w:val="22E57B17"/>
    <w:rsid w:val="22EDC908"/>
    <w:rsid w:val="22F3A580"/>
    <w:rsid w:val="22FA75CC"/>
    <w:rsid w:val="22FB4DF8"/>
    <w:rsid w:val="2307E736"/>
    <w:rsid w:val="23109A08"/>
    <w:rsid w:val="2310A779"/>
    <w:rsid w:val="23168B54"/>
    <w:rsid w:val="231A4520"/>
    <w:rsid w:val="23229F02"/>
    <w:rsid w:val="2329EC6B"/>
    <w:rsid w:val="234211EA"/>
    <w:rsid w:val="234ABA16"/>
    <w:rsid w:val="234CF0B4"/>
    <w:rsid w:val="234FE522"/>
    <w:rsid w:val="2361D407"/>
    <w:rsid w:val="23631DF6"/>
    <w:rsid w:val="23672825"/>
    <w:rsid w:val="236BF5D9"/>
    <w:rsid w:val="236C0212"/>
    <w:rsid w:val="2373A687"/>
    <w:rsid w:val="23786C05"/>
    <w:rsid w:val="237BB4AA"/>
    <w:rsid w:val="237F08D3"/>
    <w:rsid w:val="2382BA73"/>
    <w:rsid w:val="2387E7BD"/>
    <w:rsid w:val="238DAC6D"/>
    <w:rsid w:val="239424D2"/>
    <w:rsid w:val="23A2846E"/>
    <w:rsid w:val="23AAAE4F"/>
    <w:rsid w:val="23B43C1F"/>
    <w:rsid w:val="23B4C329"/>
    <w:rsid w:val="23B621FB"/>
    <w:rsid w:val="23B88BD6"/>
    <w:rsid w:val="23C1BF90"/>
    <w:rsid w:val="23CB5AED"/>
    <w:rsid w:val="23DA7955"/>
    <w:rsid w:val="23DF9F50"/>
    <w:rsid w:val="23E514AA"/>
    <w:rsid w:val="23E8F713"/>
    <w:rsid w:val="23EDAFA1"/>
    <w:rsid w:val="23EEEC24"/>
    <w:rsid w:val="23F53850"/>
    <w:rsid w:val="24059B0D"/>
    <w:rsid w:val="2408ED98"/>
    <w:rsid w:val="240B49C9"/>
    <w:rsid w:val="240CD664"/>
    <w:rsid w:val="2410B415"/>
    <w:rsid w:val="2415C072"/>
    <w:rsid w:val="24230589"/>
    <w:rsid w:val="24277439"/>
    <w:rsid w:val="242F6866"/>
    <w:rsid w:val="24311271"/>
    <w:rsid w:val="2432F92C"/>
    <w:rsid w:val="24333D1B"/>
    <w:rsid w:val="24351755"/>
    <w:rsid w:val="2449AD04"/>
    <w:rsid w:val="244C0242"/>
    <w:rsid w:val="245922E5"/>
    <w:rsid w:val="2469B0FE"/>
    <w:rsid w:val="246B59DB"/>
    <w:rsid w:val="246BD7D7"/>
    <w:rsid w:val="2470F64B"/>
    <w:rsid w:val="247138E2"/>
    <w:rsid w:val="2472048E"/>
    <w:rsid w:val="2474A4AD"/>
    <w:rsid w:val="247684A4"/>
    <w:rsid w:val="247A2C11"/>
    <w:rsid w:val="2486C550"/>
    <w:rsid w:val="2488EF0E"/>
    <w:rsid w:val="24986845"/>
    <w:rsid w:val="249A19A7"/>
    <w:rsid w:val="24A48BCE"/>
    <w:rsid w:val="24ABB1C0"/>
    <w:rsid w:val="24B006B6"/>
    <w:rsid w:val="24B5D3DD"/>
    <w:rsid w:val="24B6355F"/>
    <w:rsid w:val="24BBA995"/>
    <w:rsid w:val="24BDDA26"/>
    <w:rsid w:val="24C052CF"/>
    <w:rsid w:val="24C5EDE9"/>
    <w:rsid w:val="24CEF007"/>
    <w:rsid w:val="24D14443"/>
    <w:rsid w:val="24D566F0"/>
    <w:rsid w:val="24DB507D"/>
    <w:rsid w:val="24DCB781"/>
    <w:rsid w:val="24DCCB2C"/>
    <w:rsid w:val="24DE85AF"/>
    <w:rsid w:val="24DEC94A"/>
    <w:rsid w:val="24E145F9"/>
    <w:rsid w:val="24E2D292"/>
    <w:rsid w:val="24ED99D1"/>
    <w:rsid w:val="24F5DF9A"/>
    <w:rsid w:val="250CF2DA"/>
    <w:rsid w:val="251E8F6F"/>
    <w:rsid w:val="251EA583"/>
    <w:rsid w:val="25221406"/>
    <w:rsid w:val="25250BB3"/>
    <w:rsid w:val="2528DE4E"/>
    <w:rsid w:val="2531EDFC"/>
    <w:rsid w:val="253C4034"/>
    <w:rsid w:val="253DCDA7"/>
    <w:rsid w:val="253E048E"/>
    <w:rsid w:val="25410CCC"/>
    <w:rsid w:val="2544F852"/>
    <w:rsid w:val="2545EF89"/>
    <w:rsid w:val="254B64D6"/>
    <w:rsid w:val="254BAE32"/>
    <w:rsid w:val="2551923A"/>
    <w:rsid w:val="25533303"/>
    <w:rsid w:val="255FE0C9"/>
    <w:rsid w:val="257364FA"/>
    <w:rsid w:val="257B7506"/>
    <w:rsid w:val="2580D6B0"/>
    <w:rsid w:val="2588CF8D"/>
    <w:rsid w:val="2598814F"/>
    <w:rsid w:val="259E9654"/>
    <w:rsid w:val="25A7F151"/>
    <w:rsid w:val="25AC3A30"/>
    <w:rsid w:val="25B613E1"/>
    <w:rsid w:val="25B6CC5F"/>
    <w:rsid w:val="25B876A5"/>
    <w:rsid w:val="25D7320F"/>
    <w:rsid w:val="25E2821C"/>
    <w:rsid w:val="25EA52EC"/>
    <w:rsid w:val="25FD70C6"/>
    <w:rsid w:val="25FE657F"/>
    <w:rsid w:val="260C8113"/>
    <w:rsid w:val="26106007"/>
    <w:rsid w:val="2624EF16"/>
    <w:rsid w:val="262A4908"/>
    <w:rsid w:val="26373407"/>
    <w:rsid w:val="26389E69"/>
    <w:rsid w:val="263AC8CD"/>
    <w:rsid w:val="263AEED4"/>
    <w:rsid w:val="26423FF9"/>
    <w:rsid w:val="26530FED"/>
    <w:rsid w:val="265562C7"/>
    <w:rsid w:val="2666659D"/>
    <w:rsid w:val="26697E04"/>
    <w:rsid w:val="266E408F"/>
    <w:rsid w:val="26703ECB"/>
    <w:rsid w:val="267D5FA3"/>
    <w:rsid w:val="267E7AD2"/>
    <w:rsid w:val="2690AC6E"/>
    <w:rsid w:val="2698CA06"/>
    <w:rsid w:val="26A657CA"/>
    <w:rsid w:val="26C38BA5"/>
    <w:rsid w:val="26CD91DD"/>
    <w:rsid w:val="26D0938D"/>
    <w:rsid w:val="26D40DB3"/>
    <w:rsid w:val="26D46CED"/>
    <w:rsid w:val="26EE49BC"/>
    <w:rsid w:val="27011759"/>
    <w:rsid w:val="27032CF3"/>
    <w:rsid w:val="2704B426"/>
    <w:rsid w:val="270BFB79"/>
    <w:rsid w:val="270DC09C"/>
    <w:rsid w:val="271515F9"/>
    <w:rsid w:val="271E07D2"/>
    <w:rsid w:val="272C1779"/>
    <w:rsid w:val="274A0F45"/>
    <w:rsid w:val="274A4AC3"/>
    <w:rsid w:val="274B1C09"/>
    <w:rsid w:val="274FDC3B"/>
    <w:rsid w:val="2751548D"/>
    <w:rsid w:val="275B55C3"/>
    <w:rsid w:val="275FBADA"/>
    <w:rsid w:val="27646782"/>
    <w:rsid w:val="2769DAE7"/>
    <w:rsid w:val="2770D450"/>
    <w:rsid w:val="27755157"/>
    <w:rsid w:val="277AB175"/>
    <w:rsid w:val="27930BCC"/>
    <w:rsid w:val="279A66A8"/>
    <w:rsid w:val="27A1C121"/>
    <w:rsid w:val="27B51EAE"/>
    <w:rsid w:val="27B77FAD"/>
    <w:rsid w:val="27CC111C"/>
    <w:rsid w:val="27D0EBD0"/>
    <w:rsid w:val="27EE969E"/>
    <w:rsid w:val="27F45EC6"/>
    <w:rsid w:val="280E87BC"/>
    <w:rsid w:val="2818BACD"/>
    <w:rsid w:val="281B114E"/>
    <w:rsid w:val="28278F4F"/>
    <w:rsid w:val="283085E8"/>
    <w:rsid w:val="283577FB"/>
    <w:rsid w:val="2838FDF3"/>
    <w:rsid w:val="28417D79"/>
    <w:rsid w:val="2842F22A"/>
    <w:rsid w:val="284616B1"/>
    <w:rsid w:val="2848BEB0"/>
    <w:rsid w:val="285C64A0"/>
    <w:rsid w:val="285CFEAC"/>
    <w:rsid w:val="2867E089"/>
    <w:rsid w:val="28728C5E"/>
    <w:rsid w:val="2883105F"/>
    <w:rsid w:val="289413C2"/>
    <w:rsid w:val="28A3E14A"/>
    <w:rsid w:val="28AB1BA8"/>
    <w:rsid w:val="28AE0684"/>
    <w:rsid w:val="28B76B5D"/>
    <w:rsid w:val="28B9BFA9"/>
    <w:rsid w:val="28BC0D88"/>
    <w:rsid w:val="28BC6ECB"/>
    <w:rsid w:val="28BEE403"/>
    <w:rsid w:val="28C120C4"/>
    <w:rsid w:val="28C4C76D"/>
    <w:rsid w:val="28D9FCF8"/>
    <w:rsid w:val="28DC6C1B"/>
    <w:rsid w:val="28E147DE"/>
    <w:rsid w:val="28E205C3"/>
    <w:rsid w:val="28E78330"/>
    <w:rsid w:val="28F2E3A3"/>
    <w:rsid w:val="28FAE178"/>
    <w:rsid w:val="28FDCEEB"/>
    <w:rsid w:val="290BAA01"/>
    <w:rsid w:val="2912543B"/>
    <w:rsid w:val="291366B3"/>
    <w:rsid w:val="2915CEBB"/>
    <w:rsid w:val="293E362A"/>
    <w:rsid w:val="293FB078"/>
    <w:rsid w:val="293FBBDA"/>
    <w:rsid w:val="29506136"/>
    <w:rsid w:val="295B2635"/>
    <w:rsid w:val="295BBD1D"/>
    <w:rsid w:val="295E0ACC"/>
    <w:rsid w:val="297742B5"/>
    <w:rsid w:val="29790172"/>
    <w:rsid w:val="297D0D96"/>
    <w:rsid w:val="2982AF5A"/>
    <w:rsid w:val="298CA9C6"/>
    <w:rsid w:val="298F84B3"/>
    <w:rsid w:val="29928DF7"/>
    <w:rsid w:val="299D792D"/>
    <w:rsid w:val="299DA539"/>
    <w:rsid w:val="29A4AEB8"/>
    <w:rsid w:val="29BCE1F1"/>
    <w:rsid w:val="29C55151"/>
    <w:rsid w:val="29C597D9"/>
    <w:rsid w:val="29C676D9"/>
    <w:rsid w:val="29C86F70"/>
    <w:rsid w:val="29D94E52"/>
    <w:rsid w:val="29DE87F0"/>
    <w:rsid w:val="29E0AAD5"/>
    <w:rsid w:val="29E95AEC"/>
    <w:rsid w:val="29E95BCE"/>
    <w:rsid w:val="29EA5737"/>
    <w:rsid w:val="29ED00BA"/>
    <w:rsid w:val="29EDAE0B"/>
    <w:rsid w:val="2A041D79"/>
    <w:rsid w:val="2A09E68D"/>
    <w:rsid w:val="2A164D89"/>
    <w:rsid w:val="2A1DD5FB"/>
    <w:rsid w:val="2A26C9A2"/>
    <w:rsid w:val="2A26DCE4"/>
    <w:rsid w:val="2A2784D0"/>
    <w:rsid w:val="2A2FBFEE"/>
    <w:rsid w:val="2A36511A"/>
    <w:rsid w:val="2A3968B9"/>
    <w:rsid w:val="2A3C509C"/>
    <w:rsid w:val="2A410AB2"/>
    <w:rsid w:val="2A415392"/>
    <w:rsid w:val="2A48D1A1"/>
    <w:rsid w:val="2A4CC3EC"/>
    <w:rsid w:val="2A4D27AF"/>
    <w:rsid w:val="2A4D587E"/>
    <w:rsid w:val="2A62E46E"/>
    <w:rsid w:val="2A64DB6B"/>
    <w:rsid w:val="2A6D92CB"/>
    <w:rsid w:val="2A74F23D"/>
    <w:rsid w:val="2A74F801"/>
    <w:rsid w:val="2A809C6E"/>
    <w:rsid w:val="2A8A39C7"/>
    <w:rsid w:val="2A8D2830"/>
    <w:rsid w:val="2A8D3803"/>
    <w:rsid w:val="2A8F3B93"/>
    <w:rsid w:val="2A914328"/>
    <w:rsid w:val="2A929FAF"/>
    <w:rsid w:val="2A933FD5"/>
    <w:rsid w:val="2A93614D"/>
    <w:rsid w:val="2A980FD2"/>
    <w:rsid w:val="2A99239F"/>
    <w:rsid w:val="2A9962CF"/>
    <w:rsid w:val="2A9E8510"/>
    <w:rsid w:val="2AA6A4EC"/>
    <w:rsid w:val="2AAEFD6D"/>
    <w:rsid w:val="2AAFFBBD"/>
    <w:rsid w:val="2AB007FA"/>
    <w:rsid w:val="2AB51E53"/>
    <w:rsid w:val="2ABCE917"/>
    <w:rsid w:val="2ABF68E5"/>
    <w:rsid w:val="2ABF8E48"/>
    <w:rsid w:val="2AC29B50"/>
    <w:rsid w:val="2AC4762D"/>
    <w:rsid w:val="2ADE0A61"/>
    <w:rsid w:val="2AE37BF6"/>
    <w:rsid w:val="2AE49030"/>
    <w:rsid w:val="2AF4B994"/>
    <w:rsid w:val="2B031B5D"/>
    <w:rsid w:val="2B1E8D16"/>
    <w:rsid w:val="2B29F78D"/>
    <w:rsid w:val="2B435046"/>
    <w:rsid w:val="2B4A625A"/>
    <w:rsid w:val="2B4DDAB0"/>
    <w:rsid w:val="2B4FB097"/>
    <w:rsid w:val="2B5B5218"/>
    <w:rsid w:val="2B6468AB"/>
    <w:rsid w:val="2B6776D2"/>
    <w:rsid w:val="2B7F806C"/>
    <w:rsid w:val="2B84E36D"/>
    <w:rsid w:val="2B8BD2C5"/>
    <w:rsid w:val="2B8C5A47"/>
    <w:rsid w:val="2B910ACE"/>
    <w:rsid w:val="2B93A88E"/>
    <w:rsid w:val="2B94EF14"/>
    <w:rsid w:val="2B99813D"/>
    <w:rsid w:val="2B9E77D0"/>
    <w:rsid w:val="2B9F9B44"/>
    <w:rsid w:val="2BB20D23"/>
    <w:rsid w:val="2BB38C8C"/>
    <w:rsid w:val="2BB4F971"/>
    <w:rsid w:val="2BC88C60"/>
    <w:rsid w:val="2BCF3B77"/>
    <w:rsid w:val="2BD4F90D"/>
    <w:rsid w:val="2BF8BDAF"/>
    <w:rsid w:val="2C05C41E"/>
    <w:rsid w:val="2C0606BA"/>
    <w:rsid w:val="2C07E794"/>
    <w:rsid w:val="2C099040"/>
    <w:rsid w:val="2C0FA57C"/>
    <w:rsid w:val="2C100705"/>
    <w:rsid w:val="2C12081E"/>
    <w:rsid w:val="2C189F25"/>
    <w:rsid w:val="2C2189E9"/>
    <w:rsid w:val="2C2881E6"/>
    <w:rsid w:val="2C2A3794"/>
    <w:rsid w:val="2C30842F"/>
    <w:rsid w:val="2C324EA9"/>
    <w:rsid w:val="2C3DB374"/>
    <w:rsid w:val="2C469EA7"/>
    <w:rsid w:val="2C47CE87"/>
    <w:rsid w:val="2C646A83"/>
    <w:rsid w:val="2C6B5515"/>
    <w:rsid w:val="2C8651FE"/>
    <w:rsid w:val="2C89DAC5"/>
    <w:rsid w:val="2C8E5CA8"/>
    <w:rsid w:val="2C8FFB61"/>
    <w:rsid w:val="2CA23824"/>
    <w:rsid w:val="2CA63C45"/>
    <w:rsid w:val="2CA76E00"/>
    <w:rsid w:val="2CA8C86A"/>
    <w:rsid w:val="2CAB830D"/>
    <w:rsid w:val="2CADF717"/>
    <w:rsid w:val="2CB83E3D"/>
    <w:rsid w:val="2CC85D04"/>
    <w:rsid w:val="2CCE2E6A"/>
    <w:rsid w:val="2CD5CD19"/>
    <w:rsid w:val="2CE45B22"/>
    <w:rsid w:val="2CE7EBBB"/>
    <w:rsid w:val="2CF0D14C"/>
    <w:rsid w:val="2CF2FEAA"/>
    <w:rsid w:val="2CF3D87B"/>
    <w:rsid w:val="2CF8EA81"/>
    <w:rsid w:val="2D009BA2"/>
    <w:rsid w:val="2D014A5C"/>
    <w:rsid w:val="2D032384"/>
    <w:rsid w:val="2D04388F"/>
    <w:rsid w:val="2D0B9FB0"/>
    <w:rsid w:val="2D115E25"/>
    <w:rsid w:val="2D1C1479"/>
    <w:rsid w:val="2D2061A2"/>
    <w:rsid w:val="2D240735"/>
    <w:rsid w:val="2D262212"/>
    <w:rsid w:val="2D285E73"/>
    <w:rsid w:val="2D2B66BA"/>
    <w:rsid w:val="2D2F5ECB"/>
    <w:rsid w:val="2D34B5AE"/>
    <w:rsid w:val="2D3675F0"/>
    <w:rsid w:val="2D389FCB"/>
    <w:rsid w:val="2D3E9C9D"/>
    <w:rsid w:val="2D40B7CA"/>
    <w:rsid w:val="2D45B8F2"/>
    <w:rsid w:val="2D4EF985"/>
    <w:rsid w:val="2D602375"/>
    <w:rsid w:val="2D671560"/>
    <w:rsid w:val="2D6A8543"/>
    <w:rsid w:val="2D7F302A"/>
    <w:rsid w:val="2D84801F"/>
    <w:rsid w:val="2D87031B"/>
    <w:rsid w:val="2D878812"/>
    <w:rsid w:val="2D88ED75"/>
    <w:rsid w:val="2D8DC926"/>
    <w:rsid w:val="2D90F4D0"/>
    <w:rsid w:val="2D934CD3"/>
    <w:rsid w:val="2D96C411"/>
    <w:rsid w:val="2DA41BF3"/>
    <w:rsid w:val="2DA4D128"/>
    <w:rsid w:val="2DA75EAF"/>
    <w:rsid w:val="2DABFC96"/>
    <w:rsid w:val="2DAE630D"/>
    <w:rsid w:val="2DC11C20"/>
    <w:rsid w:val="2DCFB094"/>
    <w:rsid w:val="2DD3CA90"/>
    <w:rsid w:val="2DD692B5"/>
    <w:rsid w:val="2DDABA43"/>
    <w:rsid w:val="2DDBEAD5"/>
    <w:rsid w:val="2DE403F5"/>
    <w:rsid w:val="2DEC7E1F"/>
    <w:rsid w:val="2DF8BA9A"/>
    <w:rsid w:val="2DFB393D"/>
    <w:rsid w:val="2E0810FE"/>
    <w:rsid w:val="2E0BB6FB"/>
    <w:rsid w:val="2E168741"/>
    <w:rsid w:val="2E20F328"/>
    <w:rsid w:val="2E25747E"/>
    <w:rsid w:val="2E26EBCB"/>
    <w:rsid w:val="2E347FF9"/>
    <w:rsid w:val="2E34F01D"/>
    <w:rsid w:val="2E4BA710"/>
    <w:rsid w:val="2E4BEC86"/>
    <w:rsid w:val="2E4C6F6F"/>
    <w:rsid w:val="2E4D85EC"/>
    <w:rsid w:val="2E524757"/>
    <w:rsid w:val="2E64B9EE"/>
    <w:rsid w:val="2E72798D"/>
    <w:rsid w:val="2E7540D6"/>
    <w:rsid w:val="2E79E2D6"/>
    <w:rsid w:val="2E79FC82"/>
    <w:rsid w:val="2E7CA27F"/>
    <w:rsid w:val="2E851E34"/>
    <w:rsid w:val="2E861366"/>
    <w:rsid w:val="2E870660"/>
    <w:rsid w:val="2E872D18"/>
    <w:rsid w:val="2E95D428"/>
    <w:rsid w:val="2E9827BB"/>
    <w:rsid w:val="2EA67BB3"/>
    <w:rsid w:val="2EB355F8"/>
    <w:rsid w:val="2EBAEEC4"/>
    <w:rsid w:val="2EC44924"/>
    <w:rsid w:val="2EC4B5E8"/>
    <w:rsid w:val="2EC58666"/>
    <w:rsid w:val="2ECC46B4"/>
    <w:rsid w:val="2ED1F20D"/>
    <w:rsid w:val="2EDBED04"/>
    <w:rsid w:val="2EDD4C27"/>
    <w:rsid w:val="2EF3C2C3"/>
    <w:rsid w:val="2EFA0182"/>
    <w:rsid w:val="2EFB94CB"/>
    <w:rsid w:val="2F02964B"/>
    <w:rsid w:val="2F0C6AA2"/>
    <w:rsid w:val="2F0F5BC4"/>
    <w:rsid w:val="2F1E0101"/>
    <w:rsid w:val="2F208073"/>
    <w:rsid w:val="2F271227"/>
    <w:rsid w:val="2F2842EC"/>
    <w:rsid w:val="2F2A480D"/>
    <w:rsid w:val="2F33BE1C"/>
    <w:rsid w:val="2F3B7E9B"/>
    <w:rsid w:val="2F3C3874"/>
    <w:rsid w:val="2F41FA66"/>
    <w:rsid w:val="2F5DE0F2"/>
    <w:rsid w:val="2F5EAFAD"/>
    <w:rsid w:val="2F602294"/>
    <w:rsid w:val="2F660D64"/>
    <w:rsid w:val="2F6975F7"/>
    <w:rsid w:val="2F6C54A6"/>
    <w:rsid w:val="2F725314"/>
    <w:rsid w:val="2F78AC1D"/>
    <w:rsid w:val="2F81E985"/>
    <w:rsid w:val="2F8362FE"/>
    <w:rsid w:val="2F91DE67"/>
    <w:rsid w:val="2F93FCD4"/>
    <w:rsid w:val="2FA70A24"/>
    <w:rsid w:val="2FAE3985"/>
    <w:rsid w:val="2FB32E87"/>
    <w:rsid w:val="2FD5E82F"/>
    <w:rsid w:val="2FDDF7FF"/>
    <w:rsid w:val="2FE02351"/>
    <w:rsid w:val="2FE26DB0"/>
    <w:rsid w:val="2FECF939"/>
    <w:rsid w:val="2FFE9A51"/>
    <w:rsid w:val="30036672"/>
    <w:rsid w:val="300BE242"/>
    <w:rsid w:val="30188B50"/>
    <w:rsid w:val="301F111C"/>
    <w:rsid w:val="301F71F7"/>
    <w:rsid w:val="3024D2D5"/>
    <w:rsid w:val="30287C5E"/>
    <w:rsid w:val="302D3B23"/>
    <w:rsid w:val="302DF444"/>
    <w:rsid w:val="30377021"/>
    <w:rsid w:val="3037E141"/>
    <w:rsid w:val="30428931"/>
    <w:rsid w:val="3043ECFE"/>
    <w:rsid w:val="304D2510"/>
    <w:rsid w:val="304D60C0"/>
    <w:rsid w:val="304E93D3"/>
    <w:rsid w:val="304FA18D"/>
    <w:rsid w:val="3054EBFB"/>
    <w:rsid w:val="305F43E8"/>
    <w:rsid w:val="306BF51A"/>
    <w:rsid w:val="3072CDF3"/>
    <w:rsid w:val="307437F6"/>
    <w:rsid w:val="307A1212"/>
    <w:rsid w:val="307A2CB6"/>
    <w:rsid w:val="30A070FA"/>
    <w:rsid w:val="30A6066E"/>
    <w:rsid w:val="30B394B8"/>
    <w:rsid w:val="30B41945"/>
    <w:rsid w:val="30C565FE"/>
    <w:rsid w:val="30C68286"/>
    <w:rsid w:val="30CA8BB6"/>
    <w:rsid w:val="30F29274"/>
    <w:rsid w:val="30F9B889"/>
    <w:rsid w:val="30FA176E"/>
    <w:rsid w:val="3108CE9C"/>
    <w:rsid w:val="310A6C21"/>
    <w:rsid w:val="31115DA2"/>
    <w:rsid w:val="31131FEB"/>
    <w:rsid w:val="3113C710"/>
    <w:rsid w:val="311A6DAE"/>
    <w:rsid w:val="311CB609"/>
    <w:rsid w:val="312036E9"/>
    <w:rsid w:val="31227B96"/>
    <w:rsid w:val="312BFD26"/>
    <w:rsid w:val="31448FFD"/>
    <w:rsid w:val="314DB248"/>
    <w:rsid w:val="314E377A"/>
    <w:rsid w:val="3154493C"/>
    <w:rsid w:val="315C68FC"/>
    <w:rsid w:val="31657347"/>
    <w:rsid w:val="316747EB"/>
    <w:rsid w:val="3168474A"/>
    <w:rsid w:val="316A5D17"/>
    <w:rsid w:val="316C90DF"/>
    <w:rsid w:val="316F1374"/>
    <w:rsid w:val="316F8C59"/>
    <w:rsid w:val="317427C9"/>
    <w:rsid w:val="3192A8A3"/>
    <w:rsid w:val="3197D679"/>
    <w:rsid w:val="319E23ED"/>
    <w:rsid w:val="31A32E95"/>
    <w:rsid w:val="31A5ED6F"/>
    <w:rsid w:val="31AE288F"/>
    <w:rsid w:val="31BBBD34"/>
    <w:rsid w:val="31D22541"/>
    <w:rsid w:val="31D675DF"/>
    <w:rsid w:val="31DEB90A"/>
    <w:rsid w:val="31E32E4D"/>
    <w:rsid w:val="31E6DC7E"/>
    <w:rsid w:val="31EB7DC3"/>
    <w:rsid w:val="31F75955"/>
    <w:rsid w:val="31FB2A82"/>
    <w:rsid w:val="3221AFEC"/>
    <w:rsid w:val="3222DC68"/>
    <w:rsid w:val="32261F25"/>
    <w:rsid w:val="323FBFC7"/>
    <w:rsid w:val="3242D557"/>
    <w:rsid w:val="32434D14"/>
    <w:rsid w:val="32460238"/>
    <w:rsid w:val="32487D2A"/>
    <w:rsid w:val="32516AB7"/>
    <w:rsid w:val="326036D5"/>
    <w:rsid w:val="326441C3"/>
    <w:rsid w:val="32672A3F"/>
    <w:rsid w:val="3267F26F"/>
    <w:rsid w:val="32687263"/>
    <w:rsid w:val="326CC134"/>
    <w:rsid w:val="326F4236"/>
    <w:rsid w:val="326F48BD"/>
    <w:rsid w:val="3272645D"/>
    <w:rsid w:val="3276CA62"/>
    <w:rsid w:val="3285B99F"/>
    <w:rsid w:val="3286D43D"/>
    <w:rsid w:val="328EE168"/>
    <w:rsid w:val="32962C2D"/>
    <w:rsid w:val="32987979"/>
    <w:rsid w:val="329CF5D2"/>
    <w:rsid w:val="32A2BC84"/>
    <w:rsid w:val="32A4CEE5"/>
    <w:rsid w:val="32C52A15"/>
    <w:rsid w:val="32F29B78"/>
    <w:rsid w:val="32F3FC0A"/>
    <w:rsid w:val="3300FB37"/>
    <w:rsid w:val="3302E220"/>
    <w:rsid w:val="3306CB44"/>
    <w:rsid w:val="330C647A"/>
    <w:rsid w:val="330E98AB"/>
    <w:rsid w:val="33139751"/>
    <w:rsid w:val="3314B595"/>
    <w:rsid w:val="3316E0AF"/>
    <w:rsid w:val="332B20F0"/>
    <w:rsid w:val="332FE29A"/>
    <w:rsid w:val="33351463"/>
    <w:rsid w:val="333BC5BB"/>
    <w:rsid w:val="333FE872"/>
    <w:rsid w:val="3342ED69"/>
    <w:rsid w:val="3347D321"/>
    <w:rsid w:val="3357BDF3"/>
    <w:rsid w:val="335D6148"/>
    <w:rsid w:val="337BCA9F"/>
    <w:rsid w:val="337D7510"/>
    <w:rsid w:val="337F1899"/>
    <w:rsid w:val="3383B69F"/>
    <w:rsid w:val="3386A95E"/>
    <w:rsid w:val="33889812"/>
    <w:rsid w:val="338FD36D"/>
    <w:rsid w:val="339C0DC1"/>
    <w:rsid w:val="339F1F2E"/>
    <w:rsid w:val="33AAD099"/>
    <w:rsid w:val="33B14AAC"/>
    <w:rsid w:val="33B64BDD"/>
    <w:rsid w:val="33C6FC32"/>
    <w:rsid w:val="33D995DD"/>
    <w:rsid w:val="33E3BFFB"/>
    <w:rsid w:val="33E70FCB"/>
    <w:rsid w:val="33E9E828"/>
    <w:rsid w:val="33EE3533"/>
    <w:rsid w:val="33F805F6"/>
    <w:rsid w:val="34006278"/>
    <w:rsid w:val="34007E2D"/>
    <w:rsid w:val="3400994C"/>
    <w:rsid w:val="34014419"/>
    <w:rsid w:val="340A0D37"/>
    <w:rsid w:val="34129AC3"/>
    <w:rsid w:val="341B3FF8"/>
    <w:rsid w:val="341C7768"/>
    <w:rsid w:val="341D19DF"/>
    <w:rsid w:val="34266A0C"/>
    <w:rsid w:val="34271183"/>
    <w:rsid w:val="3429F7FC"/>
    <w:rsid w:val="342E5A33"/>
    <w:rsid w:val="3441B521"/>
    <w:rsid w:val="3444627D"/>
    <w:rsid w:val="344FB03E"/>
    <w:rsid w:val="344FE706"/>
    <w:rsid w:val="3462155E"/>
    <w:rsid w:val="346F1C07"/>
    <w:rsid w:val="3471B445"/>
    <w:rsid w:val="34720AB5"/>
    <w:rsid w:val="3473BECD"/>
    <w:rsid w:val="3486206D"/>
    <w:rsid w:val="348C8E60"/>
    <w:rsid w:val="348EAED8"/>
    <w:rsid w:val="34906C24"/>
    <w:rsid w:val="349382C5"/>
    <w:rsid w:val="34A44575"/>
    <w:rsid w:val="34A6E52C"/>
    <w:rsid w:val="34AC580C"/>
    <w:rsid w:val="34B0182C"/>
    <w:rsid w:val="34B1E837"/>
    <w:rsid w:val="34B95838"/>
    <w:rsid w:val="34CAA0D6"/>
    <w:rsid w:val="34CC8929"/>
    <w:rsid w:val="34DABFD0"/>
    <w:rsid w:val="34DE641F"/>
    <w:rsid w:val="34E55161"/>
    <w:rsid w:val="34EB9179"/>
    <w:rsid w:val="34EE25F8"/>
    <w:rsid w:val="34F1D9C8"/>
    <w:rsid w:val="34FA1D92"/>
    <w:rsid w:val="34FECB05"/>
    <w:rsid w:val="35012095"/>
    <w:rsid w:val="350313C0"/>
    <w:rsid w:val="35084594"/>
    <w:rsid w:val="350E736A"/>
    <w:rsid w:val="351030E0"/>
    <w:rsid w:val="3518503C"/>
    <w:rsid w:val="3519B63E"/>
    <w:rsid w:val="351CC491"/>
    <w:rsid w:val="35256E28"/>
    <w:rsid w:val="35271646"/>
    <w:rsid w:val="35315396"/>
    <w:rsid w:val="3536B994"/>
    <w:rsid w:val="35437DB9"/>
    <w:rsid w:val="355C672C"/>
    <w:rsid w:val="355FB5A5"/>
    <w:rsid w:val="3561D45B"/>
    <w:rsid w:val="3573AC70"/>
    <w:rsid w:val="357BDC2D"/>
    <w:rsid w:val="357E5C13"/>
    <w:rsid w:val="358186B0"/>
    <w:rsid w:val="35887955"/>
    <w:rsid w:val="358BCC33"/>
    <w:rsid w:val="35997880"/>
    <w:rsid w:val="35999981"/>
    <w:rsid w:val="35A5D7CC"/>
    <w:rsid w:val="35B1DDFD"/>
    <w:rsid w:val="35B30634"/>
    <w:rsid w:val="35B8EABB"/>
    <w:rsid w:val="35D18C2D"/>
    <w:rsid w:val="35D74A98"/>
    <w:rsid w:val="35E805EB"/>
    <w:rsid w:val="35F18CF6"/>
    <w:rsid w:val="35F73C80"/>
    <w:rsid w:val="35FA8E7A"/>
    <w:rsid w:val="36060D22"/>
    <w:rsid w:val="361356A9"/>
    <w:rsid w:val="361E5CFF"/>
    <w:rsid w:val="362D8919"/>
    <w:rsid w:val="362F5326"/>
    <w:rsid w:val="3631C522"/>
    <w:rsid w:val="36383789"/>
    <w:rsid w:val="36448126"/>
    <w:rsid w:val="3647BFF2"/>
    <w:rsid w:val="36514A55"/>
    <w:rsid w:val="3656476F"/>
    <w:rsid w:val="3657AFB8"/>
    <w:rsid w:val="366DDAF9"/>
    <w:rsid w:val="367351FA"/>
    <w:rsid w:val="3678B180"/>
    <w:rsid w:val="367E07B9"/>
    <w:rsid w:val="36821A92"/>
    <w:rsid w:val="369AB840"/>
    <w:rsid w:val="369B06AD"/>
    <w:rsid w:val="369B4C05"/>
    <w:rsid w:val="36A0D1FE"/>
    <w:rsid w:val="36A56B99"/>
    <w:rsid w:val="36B56B6A"/>
    <w:rsid w:val="36C3F9BB"/>
    <w:rsid w:val="36CEA9AB"/>
    <w:rsid w:val="36DF7043"/>
    <w:rsid w:val="36E03F90"/>
    <w:rsid w:val="36F00AAB"/>
    <w:rsid w:val="36F50949"/>
    <w:rsid w:val="36F90305"/>
    <w:rsid w:val="36F92D77"/>
    <w:rsid w:val="36FEC5D4"/>
    <w:rsid w:val="3703B047"/>
    <w:rsid w:val="370B18BF"/>
    <w:rsid w:val="371110F9"/>
    <w:rsid w:val="371B2893"/>
    <w:rsid w:val="371FAE54"/>
    <w:rsid w:val="3725F279"/>
    <w:rsid w:val="3730EB25"/>
    <w:rsid w:val="373844D7"/>
    <w:rsid w:val="373A2A56"/>
    <w:rsid w:val="373C1ECE"/>
    <w:rsid w:val="373FD53A"/>
    <w:rsid w:val="3743FBA5"/>
    <w:rsid w:val="375E0044"/>
    <w:rsid w:val="376CDA5F"/>
    <w:rsid w:val="3799AA7A"/>
    <w:rsid w:val="379A5B15"/>
    <w:rsid w:val="379B58EC"/>
    <w:rsid w:val="37A164D3"/>
    <w:rsid w:val="37ADE370"/>
    <w:rsid w:val="37B002EC"/>
    <w:rsid w:val="37B186D6"/>
    <w:rsid w:val="37B4224C"/>
    <w:rsid w:val="37B5A712"/>
    <w:rsid w:val="37BA1A86"/>
    <w:rsid w:val="37BB3231"/>
    <w:rsid w:val="37C2FF60"/>
    <w:rsid w:val="37C6B038"/>
    <w:rsid w:val="37D5F738"/>
    <w:rsid w:val="37DC764B"/>
    <w:rsid w:val="37ECB05D"/>
    <w:rsid w:val="38015C2C"/>
    <w:rsid w:val="3811260D"/>
    <w:rsid w:val="381A3905"/>
    <w:rsid w:val="3829AC75"/>
    <w:rsid w:val="3832709A"/>
    <w:rsid w:val="3832EFCF"/>
    <w:rsid w:val="3837F45C"/>
    <w:rsid w:val="38385ECB"/>
    <w:rsid w:val="383A3AC5"/>
    <w:rsid w:val="383AF41B"/>
    <w:rsid w:val="384818C9"/>
    <w:rsid w:val="38545D2D"/>
    <w:rsid w:val="38594167"/>
    <w:rsid w:val="385D16A5"/>
    <w:rsid w:val="3876078F"/>
    <w:rsid w:val="389817CA"/>
    <w:rsid w:val="38A2C9C0"/>
    <w:rsid w:val="38AA672A"/>
    <w:rsid w:val="38AFB15B"/>
    <w:rsid w:val="38B69169"/>
    <w:rsid w:val="38B86DCE"/>
    <w:rsid w:val="38B9E884"/>
    <w:rsid w:val="38C4CFA0"/>
    <w:rsid w:val="38CCB481"/>
    <w:rsid w:val="38DA3977"/>
    <w:rsid w:val="38DCAB99"/>
    <w:rsid w:val="38E04602"/>
    <w:rsid w:val="38E315D8"/>
    <w:rsid w:val="38EA8827"/>
    <w:rsid w:val="3900E011"/>
    <w:rsid w:val="390C5055"/>
    <w:rsid w:val="391A6CC8"/>
    <w:rsid w:val="3924025F"/>
    <w:rsid w:val="3924BD47"/>
    <w:rsid w:val="39251E1F"/>
    <w:rsid w:val="3925E584"/>
    <w:rsid w:val="3929F501"/>
    <w:rsid w:val="392C7D0D"/>
    <w:rsid w:val="3933359E"/>
    <w:rsid w:val="393B427A"/>
    <w:rsid w:val="3945A651"/>
    <w:rsid w:val="395EA881"/>
    <w:rsid w:val="395FADE6"/>
    <w:rsid w:val="39649E54"/>
    <w:rsid w:val="396F667F"/>
    <w:rsid w:val="39710482"/>
    <w:rsid w:val="39725CD7"/>
    <w:rsid w:val="3979D178"/>
    <w:rsid w:val="39940F04"/>
    <w:rsid w:val="399FB7B3"/>
    <w:rsid w:val="39A26F49"/>
    <w:rsid w:val="39A8CC29"/>
    <w:rsid w:val="39AB5914"/>
    <w:rsid w:val="39E70978"/>
    <w:rsid w:val="39EB71B3"/>
    <w:rsid w:val="39F44787"/>
    <w:rsid w:val="39FA74F4"/>
    <w:rsid w:val="3A007566"/>
    <w:rsid w:val="3A00E9C0"/>
    <w:rsid w:val="3A03BCC9"/>
    <w:rsid w:val="3A216BD7"/>
    <w:rsid w:val="3A2DB65C"/>
    <w:rsid w:val="3A40CC10"/>
    <w:rsid w:val="3A4A4565"/>
    <w:rsid w:val="3A4B54FE"/>
    <w:rsid w:val="3A5CF6E7"/>
    <w:rsid w:val="3A5F17C0"/>
    <w:rsid w:val="3A616EEA"/>
    <w:rsid w:val="3A6F16BE"/>
    <w:rsid w:val="3A713914"/>
    <w:rsid w:val="3A7A42F2"/>
    <w:rsid w:val="3A863196"/>
    <w:rsid w:val="3AA04EF7"/>
    <w:rsid w:val="3AACC554"/>
    <w:rsid w:val="3AB0FFA3"/>
    <w:rsid w:val="3AC6602F"/>
    <w:rsid w:val="3ACE0BE7"/>
    <w:rsid w:val="3ADD96C5"/>
    <w:rsid w:val="3ADF8452"/>
    <w:rsid w:val="3AE00D0A"/>
    <w:rsid w:val="3AF2B475"/>
    <w:rsid w:val="3AF69591"/>
    <w:rsid w:val="3AFEBCB1"/>
    <w:rsid w:val="3AFFF5DA"/>
    <w:rsid w:val="3B0ABFAC"/>
    <w:rsid w:val="3B10414A"/>
    <w:rsid w:val="3B12AF43"/>
    <w:rsid w:val="3B17797F"/>
    <w:rsid w:val="3B1B328B"/>
    <w:rsid w:val="3B260730"/>
    <w:rsid w:val="3B2D4285"/>
    <w:rsid w:val="3B43CC6F"/>
    <w:rsid w:val="3B43E65F"/>
    <w:rsid w:val="3B457EC8"/>
    <w:rsid w:val="3B4DAF85"/>
    <w:rsid w:val="3B5F1E52"/>
    <w:rsid w:val="3B65DF21"/>
    <w:rsid w:val="3B74F990"/>
    <w:rsid w:val="3B76F21F"/>
    <w:rsid w:val="3B8844B2"/>
    <w:rsid w:val="3B8DE10D"/>
    <w:rsid w:val="3B917F1D"/>
    <w:rsid w:val="3B93B4B5"/>
    <w:rsid w:val="3BB33D1E"/>
    <w:rsid w:val="3BB71FDD"/>
    <w:rsid w:val="3BBA0A8A"/>
    <w:rsid w:val="3BBCEE10"/>
    <w:rsid w:val="3BC5B803"/>
    <w:rsid w:val="3BC62ABF"/>
    <w:rsid w:val="3BCE9434"/>
    <w:rsid w:val="3BD20E10"/>
    <w:rsid w:val="3BF0857C"/>
    <w:rsid w:val="3BF14440"/>
    <w:rsid w:val="3BFCC8CF"/>
    <w:rsid w:val="3C05FDD6"/>
    <w:rsid w:val="3C0D2980"/>
    <w:rsid w:val="3C18C62E"/>
    <w:rsid w:val="3C19ABFF"/>
    <w:rsid w:val="3C23D545"/>
    <w:rsid w:val="3C3028B9"/>
    <w:rsid w:val="3C313B20"/>
    <w:rsid w:val="3C38AB44"/>
    <w:rsid w:val="3C3C1D9A"/>
    <w:rsid w:val="3C5537D7"/>
    <w:rsid w:val="3C57E422"/>
    <w:rsid w:val="3C65FD24"/>
    <w:rsid w:val="3C6676C9"/>
    <w:rsid w:val="3C669BD9"/>
    <w:rsid w:val="3C69A8BD"/>
    <w:rsid w:val="3C6E4FDA"/>
    <w:rsid w:val="3C7CBA78"/>
    <w:rsid w:val="3C7DAA47"/>
    <w:rsid w:val="3C7F7413"/>
    <w:rsid w:val="3C83740F"/>
    <w:rsid w:val="3C8E93AD"/>
    <w:rsid w:val="3C990DA2"/>
    <w:rsid w:val="3CA2CC0A"/>
    <w:rsid w:val="3CA8E56E"/>
    <w:rsid w:val="3CAE9A87"/>
    <w:rsid w:val="3CB7C575"/>
    <w:rsid w:val="3CB89916"/>
    <w:rsid w:val="3CBAC7E8"/>
    <w:rsid w:val="3CC5872E"/>
    <w:rsid w:val="3CCD573D"/>
    <w:rsid w:val="3CD876E5"/>
    <w:rsid w:val="3CDA6C31"/>
    <w:rsid w:val="3CDA8C6A"/>
    <w:rsid w:val="3CDCF9F6"/>
    <w:rsid w:val="3CE09641"/>
    <w:rsid w:val="3CE2D9A2"/>
    <w:rsid w:val="3CE4C1BB"/>
    <w:rsid w:val="3CE6608B"/>
    <w:rsid w:val="3CECCA7D"/>
    <w:rsid w:val="3CEDDE1F"/>
    <w:rsid w:val="3CF46BC9"/>
    <w:rsid w:val="3CF519E1"/>
    <w:rsid w:val="3CF6534E"/>
    <w:rsid w:val="3D0208A5"/>
    <w:rsid w:val="3D063CE5"/>
    <w:rsid w:val="3D0AE7DE"/>
    <w:rsid w:val="3D0B7AEA"/>
    <w:rsid w:val="3D133B37"/>
    <w:rsid w:val="3D1493E2"/>
    <w:rsid w:val="3D22C8C3"/>
    <w:rsid w:val="3D29E226"/>
    <w:rsid w:val="3D2C0091"/>
    <w:rsid w:val="3D3A4F0F"/>
    <w:rsid w:val="3D47E14B"/>
    <w:rsid w:val="3D4D1D00"/>
    <w:rsid w:val="3D4F83FF"/>
    <w:rsid w:val="3D526A6A"/>
    <w:rsid w:val="3D55F799"/>
    <w:rsid w:val="3D59DFF9"/>
    <w:rsid w:val="3D611549"/>
    <w:rsid w:val="3D61A75F"/>
    <w:rsid w:val="3D6E4FBB"/>
    <w:rsid w:val="3D8D4BAC"/>
    <w:rsid w:val="3D95C5ED"/>
    <w:rsid w:val="3D9750F9"/>
    <w:rsid w:val="3D98DB11"/>
    <w:rsid w:val="3D9C9D4A"/>
    <w:rsid w:val="3D9FC748"/>
    <w:rsid w:val="3DADE992"/>
    <w:rsid w:val="3DBCD523"/>
    <w:rsid w:val="3DC51D97"/>
    <w:rsid w:val="3DCB5E0B"/>
    <w:rsid w:val="3DD121A6"/>
    <w:rsid w:val="3DD739ED"/>
    <w:rsid w:val="3DDF5A48"/>
    <w:rsid w:val="3DEA5058"/>
    <w:rsid w:val="3DF258BF"/>
    <w:rsid w:val="3DFBEFE6"/>
    <w:rsid w:val="3E06D144"/>
    <w:rsid w:val="3E09B6B1"/>
    <w:rsid w:val="3E1026DE"/>
    <w:rsid w:val="3E1E1D58"/>
    <w:rsid w:val="3E250B31"/>
    <w:rsid w:val="3E252BF3"/>
    <w:rsid w:val="3E3984F4"/>
    <w:rsid w:val="3E3A2BD6"/>
    <w:rsid w:val="3E59BAEE"/>
    <w:rsid w:val="3E71EE7E"/>
    <w:rsid w:val="3E760EA2"/>
    <w:rsid w:val="3E7B1A32"/>
    <w:rsid w:val="3E7F937C"/>
    <w:rsid w:val="3E864C66"/>
    <w:rsid w:val="3E95499B"/>
    <w:rsid w:val="3EB15F41"/>
    <w:rsid w:val="3EB5FCB0"/>
    <w:rsid w:val="3EBA58EB"/>
    <w:rsid w:val="3EC1B155"/>
    <w:rsid w:val="3ECF751F"/>
    <w:rsid w:val="3ED73386"/>
    <w:rsid w:val="3EDE1E29"/>
    <w:rsid w:val="3EEA5FFF"/>
    <w:rsid w:val="3EEE32C4"/>
    <w:rsid w:val="3EF0D516"/>
    <w:rsid w:val="3EF20DF0"/>
    <w:rsid w:val="3EF616AD"/>
    <w:rsid w:val="3EFC8979"/>
    <w:rsid w:val="3F09300C"/>
    <w:rsid w:val="3F09EBE8"/>
    <w:rsid w:val="3F0A3DBC"/>
    <w:rsid w:val="3F0A53F9"/>
    <w:rsid w:val="3F0F5E2F"/>
    <w:rsid w:val="3F1060B9"/>
    <w:rsid w:val="3F185B90"/>
    <w:rsid w:val="3F23D216"/>
    <w:rsid w:val="3F2DE97A"/>
    <w:rsid w:val="3F2FEB1A"/>
    <w:rsid w:val="3F40193B"/>
    <w:rsid w:val="3F56746C"/>
    <w:rsid w:val="3F66DA56"/>
    <w:rsid w:val="3F68BC7F"/>
    <w:rsid w:val="3F740BA2"/>
    <w:rsid w:val="3F7584BD"/>
    <w:rsid w:val="3F759992"/>
    <w:rsid w:val="3F75AE75"/>
    <w:rsid w:val="3F782454"/>
    <w:rsid w:val="3F7BB2C9"/>
    <w:rsid w:val="3F7FBC72"/>
    <w:rsid w:val="3F86A023"/>
    <w:rsid w:val="3F9830D3"/>
    <w:rsid w:val="3FA923A0"/>
    <w:rsid w:val="3FB1E19C"/>
    <w:rsid w:val="3FCA5833"/>
    <w:rsid w:val="3FCCDC02"/>
    <w:rsid w:val="3FD6FD24"/>
    <w:rsid w:val="3FD9ED13"/>
    <w:rsid w:val="3FE0AD36"/>
    <w:rsid w:val="3FE39D73"/>
    <w:rsid w:val="3FFC0582"/>
    <w:rsid w:val="3FFCBDE2"/>
    <w:rsid w:val="40057455"/>
    <w:rsid w:val="400B9EF4"/>
    <w:rsid w:val="40130912"/>
    <w:rsid w:val="40174C89"/>
    <w:rsid w:val="402B221A"/>
    <w:rsid w:val="403DE0DD"/>
    <w:rsid w:val="4043F118"/>
    <w:rsid w:val="404535AF"/>
    <w:rsid w:val="4047D874"/>
    <w:rsid w:val="405774FF"/>
    <w:rsid w:val="405D1231"/>
    <w:rsid w:val="40641552"/>
    <w:rsid w:val="4068C63B"/>
    <w:rsid w:val="408F81B5"/>
    <w:rsid w:val="409DE686"/>
    <w:rsid w:val="40A3F3E0"/>
    <w:rsid w:val="40ADB786"/>
    <w:rsid w:val="40B75B01"/>
    <w:rsid w:val="40C4BAB0"/>
    <w:rsid w:val="40CE2568"/>
    <w:rsid w:val="40D4DCAD"/>
    <w:rsid w:val="40DA15A9"/>
    <w:rsid w:val="40DC0102"/>
    <w:rsid w:val="40E11EF1"/>
    <w:rsid w:val="40E3938C"/>
    <w:rsid w:val="40E747E2"/>
    <w:rsid w:val="40E748C3"/>
    <w:rsid w:val="40F15770"/>
    <w:rsid w:val="40FF7AD0"/>
    <w:rsid w:val="410C03F0"/>
    <w:rsid w:val="41140534"/>
    <w:rsid w:val="41162FE7"/>
    <w:rsid w:val="41223AD6"/>
    <w:rsid w:val="412D2FA5"/>
    <w:rsid w:val="41316AAB"/>
    <w:rsid w:val="4136E5DB"/>
    <w:rsid w:val="4142BD0A"/>
    <w:rsid w:val="41448888"/>
    <w:rsid w:val="4146C8AD"/>
    <w:rsid w:val="41495091"/>
    <w:rsid w:val="414CAC36"/>
    <w:rsid w:val="416F2BEA"/>
    <w:rsid w:val="4174B057"/>
    <w:rsid w:val="41824A1B"/>
    <w:rsid w:val="418A2011"/>
    <w:rsid w:val="419A4115"/>
    <w:rsid w:val="41A52360"/>
    <w:rsid w:val="41AAC0E2"/>
    <w:rsid w:val="41AF3A7F"/>
    <w:rsid w:val="41B30118"/>
    <w:rsid w:val="41C411F1"/>
    <w:rsid w:val="41C7FBC3"/>
    <w:rsid w:val="41D78458"/>
    <w:rsid w:val="41E043AB"/>
    <w:rsid w:val="41E986DF"/>
    <w:rsid w:val="4200712E"/>
    <w:rsid w:val="4201FC79"/>
    <w:rsid w:val="4209A2E8"/>
    <w:rsid w:val="420B82EE"/>
    <w:rsid w:val="4218988E"/>
    <w:rsid w:val="42225ABA"/>
    <w:rsid w:val="42376576"/>
    <w:rsid w:val="423EB76C"/>
    <w:rsid w:val="4249447B"/>
    <w:rsid w:val="4258B0C7"/>
    <w:rsid w:val="42634EC3"/>
    <w:rsid w:val="42644009"/>
    <w:rsid w:val="4266A24F"/>
    <w:rsid w:val="426B9365"/>
    <w:rsid w:val="42716D9A"/>
    <w:rsid w:val="42762049"/>
    <w:rsid w:val="4279973A"/>
    <w:rsid w:val="427DA778"/>
    <w:rsid w:val="427EF836"/>
    <w:rsid w:val="42B4E4F1"/>
    <w:rsid w:val="42BEBE2D"/>
    <w:rsid w:val="42C05278"/>
    <w:rsid w:val="42C117C1"/>
    <w:rsid w:val="42CAC8FA"/>
    <w:rsid w:val="42E320E1"/>
    <w:rsid w:val="42E5FAEC"/>
    <w:rsid w:val="42EE60A8"/>
    <w:rsid w:val="42F4C7D9"/>
    <w:rsid w:val="42F6EE85"/>
    <w:rsid w:val="42F7D01C"/>
    <w:rsid w:val="43001B55"/>
    <w:rsid w:val="430342F9"/>
    <w:rsid w:val="430A6D7D"/>
    <w:rsid w:val="430D8BB6"/>
    <w:rsid w:val="4311CB30"/>
    <w:rsid w:val="4328F23A"/>
    <w:rsid w:val="43345EFF"/>
    <w:rsid w:val="4341F615"/>
    <w:rsid w:val="434CD251"/>
    <w:rsid w:val="4358010C"/>
    <w:rsid w:val="43629FD5"/>
    <w:rsid w:val="43783D08"/>
    <w:rsid w:val="438ED8CA"/>
    <w:rsid w:val="438F2F1D"/>
    <w:rsid w:val="439B0BAF"/>
    <w:rsid w:val="43A1B7F8"/>
    <w:rsid w:val="43A6ACC3"/>
    <w:rsid w:val="43AEB700"/>
    <w:rsid w:val="43B415C6"/>
    <w:rsid w:val="43B51C1D"/>
    <w:rsid w:val="43B6D916"/>
    <w:rsid w:val="43C21344"/>
    <w:rsid w:val="43C22E26"/>
    <w:rsid w:val="43C2EFF7"/>
    <w:rsid w:val="43D85A9C"/>
    <w:rsid w:val="43E9C0A4"/>
    <w:rsid w:val="43EBEB46"/>
    <w:rsid w:val="43F2B742"/>
    <w:rsid w:val="43FCA083"/>
    <w:rsid w:val="440066FC"/>
    <w:rsid w:val="441A52EF"/>
    <w:rsid w:val="441E53F1"/>
    <w:rsid w:val="4422DA32"/>
    <w:rsid w:val="4427EDFB"/>
    <w:rsid w:val="4428B356"/>
    <w:rsid w:val="4433418E"/>
    <w:rsid w:val="4436D9BA"/>
    <w:rsid w:val="4444F905"/>
    <w:rsid w:val="444F4931"/>
    <w:rsid w:val="44616AFB"/>
    <w:rsid w:val="4462B49C"/>
    <w:rsid w:val="4468B2CA"/>
    <w:rsid w:val="4473B790"/>
    <w:rsid w:val="4474C128"/>
    <w:rsid w:val="44766331"/>
    <w:rsid w:val="447D2380"/>
    <w:rsid w:val="448210C0"/>
    <w:rsid w:val="4487147E"/>
    <w:rsid w:val="449C68A5"/>
    <w:rsid w:val="44A97790"/>
    <w:rsid w:val="44B377D4"/>
    <w:rsid w:val="44B7E442"/>
    <w:rsid w:val="44CBED8B"/>
    <w:rsid w:val="44D25185"/>
    <w:rsid w:val="44E4A25D"/>
    <w:rsid w:val="44E86094"/>
    <w:rsid w:val="44FBF3C6"/>
    <w:rsid w:val="44FC4022"/>
    <w:rsid w:val="44FC4C6A"/>
    <w:rsid w:val="45093417"/>
    <w:rsid w:val="450D43A3"/>
    <w:rsid w:val="450EE987"/>
    <w:rsid w:val="452E2B98"/>
    <w:rsid w:val="453747FC"/>
    <w:rsid w:val="45374B28"/>
    <w:rsid w:val="453DC9C0"/>
    <w:rsid w:val="453F93BB"/>
    <w:rsid w:val="45461BD3"/>
    <w:rsid w:val="4551C41B"/>
    <w:rsid w:val="45722F41"/>
    <w:rsid w:val="457695F0"/>
    <w:rsid w:val="457CA85E"/>
    <w:rsid w:val="45833B0B"/>
    <w:rsid w:val="458435DA"/>
    <w:rsid w:val="458541C0"/>
    <w:rsid w:val="45862EE2"/>
    <w:rsid w:val="458D9174"/>
    <w:rsid w:val="459038D0"/>
    <w:rsid w:val="4591FD1B"/>
    <w:rsid w:val="45A1AE07"/>
    <w:rsid w:val="45A7C43F"/>
    <w:rsid w:val="45ABBB7C"/>
    <w:rsid w:val="45B69372"/>
    <w:rsid w:val="45BD7FD7"/>
    <w:rsid w:val="45CC2954"/>
    <w:rsid w:val="45E33FD4"/>
    <w:rsid w:val="45F0A82C"/>
    <w:rsid w:val="45F55BE8"/>
    <w:rsid w:val="4602D7B2"/>
    <w:rsid w:val="46076A58"/>
    <w:rsid w:val="4610F6C3"/>
    <w:rsid w:val="461547A4"/>
    <w:rsid w:val="4621295D"/>
    <w:rsid w:val="463DFD34"/>
    <w:rsid w:val="463FF833"/>
    <w:rsid w:val="46415F45"/>
    <w:rsid w:val="4643E132"/>
    <w:rsid w:val="46488E44"/>
    <w:rsid w:val="46670542"/>
    <w:rsid w:val="466769D1"/>
    <w:rsid w:val="46769892"/>
    <w:rsid w:val="467BABF8"/>
    <w:rsid w:val="46930076"/>
    <w:rsid w:val="4699A4E5"/>
    <w:rsid w:val="46A4EE1A"/>
    <w:rsid w:val="46A7B922"/>
    <w:rsid w:val="46B1C2F2"/>
    <w:rsid w:val="46B2DC37"/>
    <w:rsid w:val="46B3F37C"/>
    <w:rsid w:val="46C2762A"/>
    <w:rsid w:val="46D06981"/>
    <w:rsid w:val="46D2CBA4"/>
    <w:rsid w:val="46D437D9"/>
    <w:rsid w:val="46D6CB03"/>
    <w:rsid w:val="46DAAC80"/>
    <w:rsid w:val="46E44403"/>
    <w:rsid w:val="46FAB69D"/>
    <w:rsid w:val="46FC35AA"/>
    <w:rsid w:val="4707B23C"/>
    <w:rsid w:val="4719B7D7"/>
    <w:rsid w:val="471B002A"/>
    <w:rsid w:val="47295D31"/>
    <w:rsid w:val="4739BCA4"/>
    <w:rsid w:val="473A941D"/>
    <w:rsid w:val="473C2EFD"/>
    <w:rsid w:val="473E6442"/>
    <w:rsid w:val="473F5791"/>
    <w:rsid w:val="47464BC3"/>
    <w:rsid w:val="4746C063"/>
    <w:rsid w:val="47482BCF"/>
    <w:rsid w:val="474BEE21"/>
    <w:rsid w:val="475330CB"/>
    <w:rsid w:val="47533E4F"/>
    <w:rsid w:val="4754C11D"/>
    <w:rsid w:val="475633F5"/>
    <w:rsid w:val="4761A772"/>
    <w:rsid w:val="476BC4EB"/>
    <w:rsid w:val="476C21E3"/>
    <w:rsid w:val="4771FFE5"/>
    <w:rsid w:val="477352A7"/>
    <w:rsid w:val="4774A6B5"/>
    <w:rsid w:val="47763F5F"/>
    <w:rsid w:val="478C237F"/>
    <w:rsid w:val="478D046A"/>
    <w:rsid w:val="47912C49"/>
    <w:rsid w:val="47937099"/>
    <w:rsid w:val="4796EB5F"/>
    <w:rsid w:val="4798A578"/>
    <w:rsid w:val="47997AF3"/>
    <w:rsid w:val="47A22AFB"/>
    <w:rsid w:val="47A7EF64"/>
    <w:rsid w:val="47C26DAD"/>
    <w:rsid w:val="47C62D74"/>
    <w:rsid w:val="47C81EF4"/>
    <w:rsid w:val="47C83DCE"/>
    <w:rsid w:val="47CCE2D8"/>
    <w:rsid w:val="47D197C1"/>
    <w:rsid w:val="47D446DB"/>
    <w:rsid w:val="47D75F75"/>
    <w:rsid w:val="47D79CAD"/>
    <w:rsid w:val="47DBD27F"/>
    <w:rsid w:val="47DE15FE"/>
    <w:rsid w:val="47E5E730"/>
    <w:rsid w:val="47E90F53"/>
    <w:rsid w:val="47F0C830"/>
    <w:rsid w:val="48074524"/>
    <w:rsid w:val="481024FD"/>
    <w:rsid w:val="4813A6A7"/>
    <w:rsid w:val="4818DB16"/>
    <w:rsid w:val="481BDD97"/>
    <w:rsid w:val="481C9D02"/>
    <w:rsid w:val="481CFD53"/>
    <w:rsid w:val="481DDC80"/>
    <w:rsid w:val="48282C27"/>
    <w:rsid w:val="482F71F8"/>
    <w:rsid w:val="483D4B1C"/>
    <w:rsid w:val="4840C7D7"/>
    <w:rsid w:val="4841220C"/>
    <w:rsid w:val="48422071"/>
    <w:rsid w:val="48469867"/>
    <w:rsid w:val="48486BB0"/>
    <w:rsid w:val="4849679E"/>
    <w:rsid w:val="484AFA97"/>
    <w:rsid w:val="484EC594"/>
    <w:rsid w:val="484FDDD6"/>
    <w:rsid w:val="48503DD5"/>
    <w:rsid w:val="4850D9F5"/>
    <w:rsid w:val="4857CDF6"/>
    <w:rsid w:val="485F0485"/>
    <w:rsid w:val="48661676"/>
    <w:rsid w:val="486C0442"/>
    <w:rsid w:val="4876C1A2"/>
    <w:rsid w:val="487BD240"/>
    <w:rsid w:val="487C3733"/>
    <w:rsid w:val="487CD41D"/>
    <w:rsid w:val="4887AD79"/>
    <w:rsid w:val="48893CF5"/>
    <w:rsid w:val="489F4DAD"/>
    <w:rsid w:val="48A0238B"/>
    <w:rsid w:val="48B83048"/>
    <w:rsid w:val="48BCF0E0"/>
    <w:rsid w:val="48BF16F0"/>
    <w:rsid w:val="48C0E592"/>
    <w:rsid w:val="48CBB226"/>
    <w:rsid w:val="48DE2683"/>
    <w:rsid w:val="48DF08C7"/>
    <w:rsid w:val="48DFE6B5"/>
    <w:rsid w:val="4900BE3C"/>
    <w:rsid w:val="4903909E"/>
    <w:rsid w:val="4906EF10"/>
    <w:rsid w:val="490735C0"/>
    <w:rsid w:val="4914F40B"/>
    <w:rsid w:val="491624DC"/>
    <w:rsid w:val="49164395"/>
    <w:rsid w:val="49201F82"/>
    <w:rsid w:val="49246D53"/>
    <w:rsid w:val="49295BF6"/>
    <w:rsid w:val="492BCF5C"/>
    <w:rsid w:val="492D5E06"/>
    <w:rsid w:val="492EA514"/>
    <w:rsid w:val="4944A07D"/>
    <w:rsid w:val="4951F3AD"/>
    <w:rsid w:val="4955A8AC"/>
    <w:rsid w:val="4956839E"/>
    <w:rsid w:val="49576355"/>
    <w:rsid w:val="495C82C1"/>
    <w:rsid w:val="4962511E"/>
    <w:rsid w:val="496608A5"/>
    <w:rsid w:val="49661642"/>
    <w:rsid w:val="496CAFE7"/>
    <w:rsid w:val="4972414C"/>
    <w:rsid w:val="49732783"/>
    <w:rsid w:val="49757A2F"/>
    <w:rsid w:val="4976233F"/>
    <w:rsid w:val="498AFDF6"/>
    <w:rsid w:val="4990027D"/>
    <w:rsid w:val="49938820"/>
    <w:rsid w:val="4993D7AC"/>
    <w:rsid w:val="4993FC7A"/>
    <w:rsid w:val="49A4D092"/>
    <w:rsid w:val="49ADCB8A"/>
    <w:rsid w:val="49B2523E"/>
    <w:rsid w:val="49B33EF8"/>
    <w:rsid w:val="49B61D37"/>
    <w:rsid w:val="49B9F699"/>
    <w:rsid w:val="49C4A7C2"/>
    <w:rsid w:val="49C64AE5"/>
    <w:rsid w:val="49C75FBF"/>
    <w:rsid w:val="49C89B55"/>
    <w:rsid w:val="49CF1A92"/>
    <w:rsid w:val="49D06BF9"/>
    <w:rsid w:val="49D93E90"/>
    <w:rsid w:val="49DCE911"/>
    <w:rsid w:val="49DD257D"/>
    <w:rsid w:val="49DF07A8"/>
    <w:rsid w:val="49EF2226"/>
    <w:rsid w:val="49FE1A16"/>
    <w:rsid w:val="4A0C5182"/>
    <w:rsid w:val="4A0DB1D8"/>
    <w:rsid w:val="4A1B03A4"/>
    <w:rsid w:val="4A1FD625"/>
    <w:rsid w:val="4A22CB43"/>
    <w:rsid w:val="4A2BDD9E"/>
    <w:rsid w:val="4A2BDF46"/>
    <w:rsid w:val="4A323730"/>
    <w:rsid w:val="4A3A5922"/>
    <w:rsid w:val="4A4388E7"/>
    <w:rsid w:val="4A473FCC"/>
    <w:rsid w:val="4A7B1559"/>
    <w:rsid w:val="4A7FED97"/>
    <w:rsid w:val="4A85262D"/>
    <w:rsid w:val="4A97632A"/>
    <w:rsid w:val="4A976DC6"/>
    <w:rsid w:val="4A9B3B72"/>
    <w:rsid w:val="4A9E1192"/>
    <w:rsid w:val="4A9EFFD5"/>
    <w:rsid w:val="4AA7C407"/>
    <w:rsid w:val="4AAE41AD"/>
    <w:rsid w:val="4ABEFB58"/>
    <w:rsid w:val="4AD3B9BF"/>
    <w:rsid w:val="4AEBA28A"/>
    <w:rsid w:val="4AF10C5B"/>
    <w:rsid w:val="4B127722"/>
    <w:rsid w:val="4B20DDBA"/>
    <w:rsid w:val="4B226388"/>
    <w:rsid w:val="4B26B487"/>
    <w:rsid w:val="4B278BB0"/>
    <w:rsid w:val="4B2FDF80"/>
    <w:rsid w:val="4B32D78D"/>
    <w:rsid w:val="4B46E540"/>
    <w:rsid w:val="4B519C59"/>
    <w:rsid w:val="4B540233"/>
    <w:rsid w:val="4B5CC3B9"/>
    <w:rsid w:val="4B5D9B15"/>
    <w:rsid w:val="4B602A2B"/>
    <w:rsid w:val="4B63977E"/>
    <w:rsid w:val="4B675C40"/>
    <w:rsid w:val="4B6C09D8"/>
    <w:rsid w:val="4B80B603"/>
    <w:rsid w:val="4B83EC45"/>
    <w:rsid w:val="4B845B57"/>
    <w:rsid w:val="4B8A3F92"/>
    <w:rsid w:val="4B8AD1D6"/>
    <w:rsid w:val="4B8FF6F4"/>
    <w:rsid w:val="4B9850C1"/>
    <w:rsid w:val="4B989966"/>
    <w:rsid w:val="4BA43F66"/>
    <w:rsid w:val="4BB76853"/>
    <w:rsid w:val="4BB9298E"/>
    <w:rsid w:val="4BB9AD4E"/>
    <w:rsid w:val="4BBAE18D"/>
    <w:rsid w:val="4BBE3B65"/>
    <w:rsid w:val="4BC4E672"/>
    <w:rsid w:val="4BCDCE31"/>
    <w:rsid w:val="4BD4CA4E"/>
    <w:rsid w:val="4BD74774"/>
    <w:rsid w:val="4BDD6BAB"/>
    <w:rsid w:val="4BF1D5DD"/>
    <w:rsid w:val="4BFF7E32"/>
    <w:rsid w:val="4C02BB69"/>
    <w:rsid w:val="4C14A9CC"/>
    <w:rsid w:val="4C1641DE"/>
    <w:rsid w:val="4C189DD4"/>
    <w:rsid w:val="4C2C6C11"/>
    <w:rsid w:val="4C3D7192"/>
    <w:rsid w:val="4C4F12AC"/>
    <w:rsid w:val="4C5E32B8"/>
    <w:rsid w:val="4C6A9251"/>
    <w:rsid w:val="4C712FB0"/>
    <w:rsid w:val="4C7198DA"/>
    <w:rsid w:val="4C8E997F"/>
    <w:rsid w:val="4C9A2A54"/>
    <w:rsid w:val="4C9A7FDA"/>
    <w:rsid w:val="4C9C2CD9"/>
    <w:rsid w:val="4CA27F90"/>
    <w:rsid w:val="4CAB841E"/>
    <w:rsid w:val="4CAE6243"/>
    <w:rsid w:val="4CB38313"/>
    <w:rsid w:val="4CBE5DFB"/>
    <w:rsid w:val="4CC1D528"/>
    <w:rsid w:val="4CC1F9C6"/>
    <w:rsid w:val="4CDAA6B3"/>
    <w:rsid w:val="4CE2A865"/>
    <w:rsid w:val="4CF1886A"/>
    <w:rsid w:val="4CF6AD3E"/>
    <w:rsid w:val="4CF7F743"/>
    <w:rsid w:val="4D0A5F98"/>
    <w:rsid w:val="4D14D0D5"/>
    <w:rsid w:val="4D1F4F8D"/>
    <w:rsid w:val="4D26A05A"/>
    <w:rsid w:val="4D374A7C"/>
    <w:rsid w:val="4D668C08"/>
    <w:rsid w:val="4D6ECF1D"/>
    <w:rsid w:val="4D70D0BF"/>
    <w:rsid w:val="4D7A657D"/>
    <w:rsid w:val="4D7F7F7D"/>
    <w:rsid w:val="4D81D919"/>
    <w:rsid w:val="4D8230D2"/>
    <w:rsid w:val="4D8C231E"/>
    <w:rsid w:val="4D8DC588"/>
    <w:rsid w:val="4DA05308"/>
    <w:rsid w:val="4DB9EC8A"/>
    <w:rsid w:val="4DCF1C3E"/>
    <w:rsid w:val="4DD48F58"/>
    <w:rsid w:val="4DD7E88E"/>
    <w:rsid w:val="4DD9946A"/>
    <w:rsid w:val="4DDA2CF3"/>
    <w:rsid w:val="4DDA5668"/>
    <w:rsid w:val="4DDF5562"/>
    <w:rsid w:val="4DE1F350"/>
    <w:rsid w:val="4E0C1814"/>
    <w:rsid w:val="4E14FD25"/>
    <w:rsid w:val="4E1B11E8"/>
    <w:rsid w:val="4E22DADF"/>
    <w:rsid w:val="4E2DEF85"/>
    <w:rsid w:val="4E360978"/>
    <w:rsid w:val="4E3CD4D3"/>
    <w:rsid w:val="4E40E47B"/>
    <w:rsid w:val="4E6A3834"/>
    <w:rsid w:val="4E8525F9"/>
    <w:rsid w:val="4E98B068"/>
    <w:rsid w:val="4E9A20FB"/>
    <w:rsid w:val="4EB0642F"/>
    <w:rsid w:val="4EB7EB44"/>
    <w:rsid w:val="4EC066F6"/>
    <w:rsid w:val="4EC3588F"/>
    <w:rsid w:val="4EC3E467"/>
    <w:rsid w:val="4ED7043E"/>
    <w:rsid w:val="4EDD8E9F"/>
    <w:rsid w:val="4EDF3C10"/>
    <w:rsid w:val="4EE16332"/>
    <w:rsid w:val="4EE5B481"/>
    <w:rsid w:val="4EE9B9E6"/>
    <w:rsid w:val="4EF9C77E"/>
    <w:rsid w:val="4F0B7E08"/>
    <w:rsid w:val="4F12A9DC"/>
    <w:rsid w:val="4F1DC2FB"/>
    <w:rsid w:val="4F237542"/>
    <w:rsid w:val="4F2588C1"/>
    <w:rsid w:val="4F2DB5DE"/>
    <w:rsid w:val="4F3BD247"/>
    <w:rsid w:val="4F3C733C"/>
    <w:rsid w:val="4F42DB7F"/>
    <w:rsid w:val="4F459F2B"/>
    <w:rsid w:val="4F47C2F1"/>
    <w:rsid w:val="4F4B74BA"/>
    <w:rsid w:val="4F4D9F9F"/>
    <w:rsid w:val="4F5868B6"/>
    <w:rsid w:val="4F6002D6"/>
    <w:rsid w:val="4F63A1C5"/>
    <w:rsid w:val="4F68C04B"/>
    <w:rsid w:val="4F7F9388"/>
    <w:rsid w:val="4F81D4AC"/>
    <w:rsid w:val="4F8331AE"/>
    <w:rsid w:val="4F84FA1B"/>
    <w:rsid w:val="4F8A6BE8"/>
    <w:rsid w:val="4F8FE3F3"/>
    <w:rsid w:val="4F91E496"/>
    <w:rsid w:val="4F93FB9B"/>
    <w:rsid w:val="4F968032"/>
    <w:rsid w:val="4F9F75BC"/>
    <w:rsid w:val="4FA13BA9"/>
    <w:rsid w:val="4FABB2F5"/>
    <w:rsid w:val="4FC31ABC"/>
    <w:rsid w:val="4FC87FAC"/>
    <w:rsid w:val="4FCB117D"/>
    <w:rsid w:val="4FCC7123"/>
    <w:rsid w:val="4FCE44CF"/>
    <w:rsid w:val="4FD231EF"/>
    <w:rsid w:val="4FD2E936"/>
    <w:rsid w:val="4FE237BA"/>
    <w:rsid w:val="4FE653B9"/>
    <w:rsid w:val="4FF0817B"/>
    <w:rsid w:val="50004400"/>
    <w:rsid w:val="5003A2A7"/>
    <w:rsid w:val="5007C840"/>
    <w:rsid w:val="501DA5C3"/>
    <w:rsid w:val="5024E32B"/>
    <w:rsid w:val="50389916"/>
    <w:rsid w:val="5039160F"/>
    <w:rsid w:val="503F4400"/>
    <w:rsid w:val="50447BE0"/>
    <w:rsid w:val="50453C70"/>
    <w:rsid w:val="505DFEFC"/>
    <w:rsid w:val="50640B36"/>
    <w:rsid w:val="506AFC9D"/>
    <w:rsid w:val="506DFE4C"/>
    <w:rsid w:val="507B09E9"/>
    <w:rsid w:val="507B9306"/>
    <w:rsid w:val="507DDFD5"/>
    <w:rsid w:val="5092B792"/>
    <w:rsid w:val="509B1566"/>
    <w:rsid w:val="509B8E93"/>
    <w:rsid w:val="509BE4A9"/>
    <w:rsid w:val="50A57BBC"/>
    <w:rsid w:val="50A9C7C8"/>
    <w:rsid w:val="50A9EC1C"/>
    <w:rsid w:val="50ACD8CB"/>
    <w:rsid w:val="50AE7D1A"/>
    <w:rsid w:val="50AE9A48"/>
    <w:rsid w:val="50C68711"/>
    <w:rsid w:val="50CEC22E"/>
    <w:rsid w:val="50D3F459"/>
    <w:rsid w:val="50D64CD3"/>
    <w:rsid w:val="50D6BD9D"/>
    <w:rsid w:val="50DF4519"/>
    <w:rsid w:val="50E242EC"/>
    <w:rsid w:val="50EBE2BE"/>
    <w:rsid w:val="50EC3A6E"/>
    <w:rsid w:val="50F3A7A6"/>
    <w:rsid w:val="50F51C30"/>
    <w:rsid w:val="50F7A13F"/>
    <w:rsid w:val="50FF980C"/>
    <w:rsid w:val="510CB387"/>
    <w:rsid w:val="510FAB79"/>
    <w:rsid w:val="511715A0"/>
    <w:rsid w:val="511A268D"/>
    <w:rsid w:val="511D37DD"/>
    <w:rsid w:val="512BF8D6"/>
    <w:rsid w:val="512D7A08"/>
    <w:rsid w:val="513B3AE5"/>
    <w:rsid w:val="513FA93B"/>
    <w:rsid w:val="51402A94"/>
    <w:rsid w:val="5144E6C2"/>
    <w:rsid w:val="514BD83A"/>
    <w:rsid w:val="515E1C3F"/>
    <w:rsid w:val="5162D000"/>
    <w:rsid w:val="516CEEBF"/>
    <w:rsid w:val="516CF614"/>
    <w:rsid w:val="5179994A"/>
    <w:rsid w:val="517AA10A"/>
    <w:rsid w:val="5184C4B3"/>
    <w:rsid w:val="5186CC4C"/>
    <w:rsid w:val="5189018E"/>
    <w:rsid w:val="51AFD4D9"/>
    <w:rsid w:val="51BC62B0"/>
    <w:rsid w:val="51CF08EA"/>
    <w:rsid w:val="51D5DB4B"/>
    <w:rsid w:val="51D8D38E"/>
    <w:rsid w:val="52008240"/>
    <w:rsid w:val="520AFBA7"/>
    <w:rsid w:val="521540D2"/>
    <w:rsid w:val="5218A656"/>
    <w:rsid w:val="521F44EA"/>
    <w:rsid w:val="522662B6"/>
    <w:rsid w:val="5244FA53"/>
    <w:rsid w:val="524D1816"/>
    <w:rsid w:val="524D6E03"/>
    <w:rsid w:val="5259D469"/>
    <w:rsid w:val="525A6AFA"/>
    <w:rsid w:val="525BB432"/>
    <w:rsid w:val="525E4E53"/>
    <w:rsid w:val="525F3EC0"/>
    <w:rsid w:val="5261EEF5"/>
    <w:rsid w:val="5262C700"/>
    <w:rsid w:val="526377AA"/>
    <w:rsid w:val="5266C2B3"/>
    <w:rsid w:val="527E9714"/>
    <w:rsid w:val="5280D7AC"/>
    <w:rsid w:val="52868ED3"/>
    <w:rsid w:val="528DC6EC"/>
    <w:rsid w:val="529DDF9F"/>
    <w:rsid w:val="529DEEAD"/>
    <w:rsid w:val="52A9ABA9"/>
    <w:rsid w:val="52AB2F7F"/>
    <w:rsid w:val="52AB6E74"/>
    <w:rsid w:val="52ADCEDA"/>
    <w:rsid w:val="52B419DB"/>
    <w:rsid w:val="52C96766"/>
    <w:rsid w:val="52D14D4B"/>
    <w:rsid w:val="52D41814"/>
    <w:rsid w:val="52DCB4A1"/>
    <w:rsid w:val="52E308F8"/>
    <w:rsid w:val="52E5A24F"/>
    <w:rsid w:val="52E8DEEE"/>
    <w:rsid w:val="52E97248"/>
    <w:rsid w:val="52F14711"/>
    <w:rsid w:val="52F4B775"/>
    <w:rsid w:val="52F8A420"/>
    <w:rsid w:val="530269EC"/>
    <w:rsid w:val="530BA5F6"/>
    <w:rsid w:val="53150FD9"/>
    <w:rsid w:val="53153671"/>
    <w:rsid w:val="5316F519"/>
    <w:rsid w:val="5320ED5C"/>
    <w:rsid w:val="5321D213"/>
    <w:rsid w:val="5325F0CC"/>
    <w:rsid w:val="532CC42A"/>
    <w:rsid w:val="532D6CDA"/>
    <w:rsid w:val="532F2FFC"/>
    <w:rsid w:val="5337E1DE"/>
    <w:rsid w:val="533E9F21"/>
    <w:rsid w:val="5344092F"/>
    <w:rsid w:val="5346479E"/>
    <w:rsid w:val="5347DCCF"/>
    <w:rsid w:val="534E9585"/>
    <w:rsid w:val="535B0548"/>
    <w:rsid w:val="535EE144"/>
    <w:rsid w:val="53636F3F"/>
    <w:rsid w:val="536F3626"/>
    <w:rsid w:val="53722B39"/>
    <w:rsid w:val="537FCFB8"/>
    <w:rsid w:val="5387988E"/>
    <w:rsid w:val="5388EAC8"/>
    <w:rsid w:val="539C7D58"/>
    <w:rsid w:val="539CC7E1"/>
    <w:rsid w:val="53A29D5F"/>
    <w:rsid w:val="53ACDA09"/>
    <w:rsid w:val="53B2AD33"/>
    <w:rsid w:val="53B51A38"/>
    <w:rsid w:val="53B6CF4A"/>
    <w:rsid w:val="53BA3C8B"/>
    <w:rsid w:val="53CF9F0D"/>
    <w:rsid w:val="53E245FE"/>
    <w:rsid w:val="53EF1FCE"/>
    <w:rsid w:val="53F47CF4"/>
    <w:rsid w:val="53F6CD8F"/>
    <w:rsid w:val="53F97DA2"/>
    <w:rsid w:val="53FA704E"/>
    <w:rsid w:val="540124E6"/>
    <w:rsid w:val="5407D6B4"/>
    <w:rsid w:val="540DCC36"/>
    <w:rsid w:val="54283E67"/>
    <w:rsid w:val="542A555C"/>
    <w:rsid w:val="54302910"/>
    <w:rsid w:val="54338D4C"/>
    <w:rsid w:val="5435FC40"/>
    <w:rsid w:val="543CB8D7"/>
    <w:rsid w:val="544F31FC"/>
    <w:rsid w:val="5453031F"/>
    <w:rsid w:val="54537622"/>
    <w:rsid w:val="545AB1AA"/>
    <w:rsid w:val="5465C70B"/>
    <w:rsid w:val="54664ED0"/>
    <w:rsid w:val="546DE50F"/>
    <w:rsid w:val="54775BF4"/>
    <w:rsid w:val="5478852A"/>
    <w:rsid w:val="547B5461"/>
    <w:rsid w:val="54823410"/>
    <w:rsid w:val="5485D553"/>
    <w:rsid w:val="548D3232"/>
    <w:rsid w:val="5495498C"/>
    <w:rsid w:val="54998B3E"/>
    <w:rsid w:val="549AA715"/>
    <w:rsid w:val="54A21C6B"/>
    <w:rsid w:val="54A31C40"/>
    <w:rsid w:val="54A477E8"/>
    <w:rsid w:val="54A75B1C"/>
    <w:rsid w:val="54B7E059"/>
    <w:rsid w:val="54BCBF21"/>
    <w:rsid w:val="54C3D9DF"/>
    <w:rsid w:val="54C577BE"/>
    <w:rsid w:val="54C63DF0"/>
    <w:rsid w:val="54D5B300"/>
    <w:rsid w:val="54E3B7DD"/>
    <w:rsid w:val="54E6079F"/>
    <w:rsid w:val="54E96DDC"/>
    <w:rsid w:val="54EF581D"/>
    <w:rsid w:val="54FA44F1"/>
    <w:rsid w:val="55004087"/>
    <w:rsid w:val="5500ED5F"/>
    <w:rsid w:val="550AD0B4"/>
    <w:rsid w:val="55191BE2"/>
    <w:rsid w:val="5526860E"/>
    <w:rsid w:val="5526C2C9"/>
    <w:rsid w:val="554294E1"/>
    <w:rsid w:val="55459DD7"/>
    <w:rsid w:val="55461247"/>
    <w:rsid w:val="5555CC2F"/>
    <w:rsid w:val="55643526"/>
    <w:rsid w:val="5567BA78"/>
    <w:rsid w:val="5569B1BC"/>
    <w:rsid w:val="556FE97A"/>
    <w:rsid w:val="55789488"/>
    <w:rsid w:val="5585D860"/>
    <w:rsid w:val="558C19E9"/>
    <w:rsid w:val="558D298B"/>
    <w:rsid w:val="558D68D9"/>
    <w:rsid w:val="5593D68C"/>
    <w:rsid w:val="559D0F79"/>
    <w:rsid w:val="559EC07E"/>
    <w:rsid w:val="55A69302"/>
    <w:rsid w:val="55A89161"/>
    <w:rsid w:val="55AC88FD"/>
    <w:rsid w:val="55ADBCFD"/>
    <w:rsid w:val="55B8DD03"/>
    <w:rsid w:val="55C31B81"/>
    <w:rsid w:val="55C5E47F"/>
    <w:rsid w:val="55D89A6C"/>
    <w:rsid w:val="55D91759"/>
    <w:rsid w:val="55E0C1E9"/>
    <w:rsid w:val="55E18885"/>
    <w:rsid w:val="55E25EC9"/>
    <w:rsid w:val="55E98724"/>
    <w:rsid w:val="55EC0456"/>
    <w:rsid w:val="55F9527C"/>
    <w:rsid w:val="55FCBD83"/>
    <w:rsid w:val="55FD9331"/>
    <w:rsid w:val="56193883"/>
    <w:rsid w:val="562238DF"/>
    <w:rsid w:val="5628747A"/>
    <w:rsid w:val="5632991C"/>
    <w:rsid w:val="5635F8BD"/>
    <w:rsid w:val="56367398"/>
    <w:rsid w:val="563D8015"/>
    <w:rsid w:val="5647E688"/>
    <w:rsid w:val="565A0723"/>
    <w:rsid w:val="565FE128"/>
    <w:rsid w:val="56660A45"/>
    <w:rsid w:val="5666D0CE"/>
    <w:rsid w:val="5669027D"/>
    <w:rsid w:val="566C680F"/>
    <w:rsid w:val="567149FE"/>
    <w:rsid w:val="56730A31"/>
    <w:rsid w:val="567D0BF9"/>
    <w:rsid w:val="567E6A11"/>
    <w:rsid w:val="5696473E"/>
    <w:rsid w:val="569F21B6"/>
    <w:rsid w:val="56ADAE32"/>
    <w:rsid w:val="56B6ED6F"/>
    <w:rsid w:val="56B96563"/>
    <w:rsid w:val="56BBDBCA"/>
    <w:rsid w:val="56C5DECE"/>
    <w:rsid w:val="56C69FF8"/>
    <w:rsid w:val="56D33925"/>
    <w:rsid w:val="56D8ABC5"/>
    <w:rsid w:val="56E619AD"/>
    <w:rsid w:val="56EA1224"/>
    <w:rsid w:val="56EE540E"/>
    <w:rsid w:val="56EE924B"/>
    <w:rsid w:val="56F52D6C"/>
    <w:rsid w:val="56F691C6"/>
    <w:rsid w:val="5703DB1F"/>
    <w:rsid w:val="570BC09C"/>
    <w:rsid w:val="5712F559"/>
    <w:rsid w:val="57193AB3"/>
    <w:rsid w:val="5719E6C0"/>
    <w:rsid w:val="571E11F4"/>
    <w:rsid w:val="573FDD2B"/>
    <w:rsid w:val="5749D8B6"/>
    <w:rsid w:val="574D7295"/>
    <w:rsid w:val="5760D7C8"/>
    <w:rsid w:val="576190C2"/>
    <w:rsid w:val="5766CA37"/>
    <w:rsid w:val="576885B7"/>
    <w:rsid w:val="576AFC2E"/>
    <w:rsid w:val="576E2D8A"/>
    <w:rsid w:val="5779D427"/>
    <w:rsid w:val="577BEE0A"/>
    <w:rsid w:val="577CD554"/>
    <w:rsid w:val="577EBF91"/>
    <w:rsid w:val="578D3B0C"/>
    <w:rsid w:val="5797C628"/>
    <w:rsid w:val="57A39BE5"/>
    <w:rsid w:val="57A83931"/>
    <w:rsid w:val="57A9968C"/>
    <w:rsid w:val="57C13388"/>
    <w:rsid w:val="57C55487"/>
    <w:rsid w:val="57C9F80C"/>
    <w:rsid w:val="57D40C0A"/>
    <w:rsid w:val="57D66100"/>
    <w:rsid w:val="57D7F100"/>
    <w:rsid w:val="57E9E28E"/>
    <w:rsid w:val="57FC9C55"/>
    <w:rsid w:val="57FE426D"/>
    <w:rsid w:val="5819255A"/>
    <w:rsid w:val="581CBCCF"/>
    <w:rsid w:val="581E90E3"/>
    <w:rsid w:val="58202E6C"/>
    <w:rsid w:val="582703E6"/>
    <w:rsid w:val="58273894"/>
    <w:rsid w:val="58284FDF"/>
    <w:rsid w:val="582FBB3B"/>
    <w:rsid w:val="58311A69"/>
    <w:rsid w:val="583446B3"/>
    <w:rsid w:val="5845A7D4"/>
    <w:rsid w:val="5847F7F5"/>
    <w:rsid w:val="5859CF2A"/>
    <w:rsid w:val="5859D80C"/>
    <w:rsid w:val="585B84A9"/>
    <w:rsid w:val="5869A35D"/>
    <w:rsid w:val="586E2016"/>
    <w:rsid w:val="5871D8B0"/>
    <w:rsid w:val="58884F6C"/>
    <w:rsid w:val="5892AA88"/>
    <w:rsid w:val="5897C249"/>
    <w:rsid w:val="58A986A9"/>
    <w:rsid w:val="58B60A56"/>
    <w:rsid w:val="58B8E581"/>
    <w:rsid w:val="58B941F7"/>
    <w:rsid w:val="58C02871"/>
    <w:rsid w:val="58CA2E88"/>
    <w:rsid w:val="58D4460C"/>
    <w:rsid w:val="58D5812B"/>
    <w:rsid w:val="58D72EDB"/>
    <w:rsid w:val="58D82EB1"/>
    <w:rsid w:val="58E311F0"/>
    <w:rsid w:val="58E4388E"/>
    <w:rsid w:val="58EAA5D0"/>
    <w:rsid w:val="590C9163"/>
    <w:rsid w:val="590DD77D"/>
    <w:rsid w:val="590DDC64"/>
    <w:rsid w:val="590EB6A7"/>
    <w:rsid w:val="5914FA80"/>
    <w:rsid w:val="592255A1"/>
    <w:rsid w:val="5935EE8C"/>
    <w:rsid w:val="593B9BC0"/>
    <w:rsid w:val="5944EE3F"/>
    <w:rsid w:val="5949CD6C"/>
    <w:rsid w:val="5956EEE1"/>
    <w:rsid w:val="595A28B7"/>
    <w:rsid w:val="59658F26"/>
    <w:rsid w:val="5978255E"/>
    <w:rsid w:val="59870450"/>
    <w:rsid w:val="598AC87B"/>
    <w:rsid w:val="5995493E"/>
    <w:rsid w:val="59A53741"/>
    <w:rsid w:val="59AD71F0"/>
    <w:rsid w:val="59AE6FE4"/>
    <w:rsid w:val="59B762E6"/>
    <w:rsid w:val="59BEAB55"/>
    <w:rsid w:val="59D481A0"/>
    <w:rsid w:val="59D59274"/>
    <w:rsid w:val="59D6CBEB"/>
    <w:rsid w:val="59E659EC"/>
    <w:rsid w:val="59E84899"/>
    <w:rsid w:val="59EB7512"/>
    <w:rsid w:val="5A06AFA1"/>
    <w:rsid w:val="5A07102E"/>
    <w:rsid w:val="5A0D163F"/>
    <w:rsid w:val="5A111B9F"/>
    <w:rsid w:val="5A1461A3"/>
    <w:rsid w:val="5A1795F7"/>
    <w:rsid w:val="5A18D33C"/>
    <w:rsid w:val="5A1C0156"/>
    <w:rsid w:val="5A1C1420"/>
    <w:rsid w:val="5A1C79E5"/>
    <w:rsid w:val="5A25184B"/>
    <w:rsid w:val="5A280ED4"/>
    <w:rsid w:val="5A2F0B8F"/>
    <w:rsid w:val="5A31EFFE"/>
    <w:rsid w:val="5A3BBCD4"/>
    <w:rsid w:val="5A3EAED9"/>
    <w:rsid w:val="5A462E0D"/>
    <w:rsid w:val="5A4F3809"/>
    <w:rsid w:val="5A53A5C8"/>
    <w:rsid w:val="5A575A18"/>
    <w:rsid w:val="5A5FC514"/>
    <w:rsid w:val="5A796324"/>
    <w:rsid w:val="5A7EAD7B"/>
    <w:rsid w:val="5A840014"/>
    <w:rsid w:val="5A8D32B3"/>
    <w:rsid w:val="5A956912"/>
    <w:rsid w:val="5A9931E7"/>
    <w:rsid w:val="5A9B3705"/>
    <w:rsid w:val="5A9D6EDD"/>
    <w:rsid w:val="5AA86457"/>
    <w:rsid w:val="5AACD942"/>
    <w:rsid w:val="5AC51450"/>
    <w:rsid w:val="5AC7F7CA"/>
    <w:rsid w:val="5ACB7659"/>
    <w:rsid w:val="5ACCB25C"/>
    <w:rsid w:val="5AD49435"/>
    <w:rsid w:val="5AD84D37"/>
    <w:rsid w:val="5AE29701"/>
    <w:rsid w:val="5AE9BFCB"/>
    <w:rsid w:val="5AEFF7ED"/>
    <w:rsid w:val="5AF080B4"/>
    <w:rsid w:val="5AFE0F0C"/>
    <w:rsid w:val="5AFEADCB"/>
    <w:rsid w:val="5B0DD28F"/>
    <w:rsid w:val="5B21C0B9"/>
    <w:rsid w:val="5B2A1645"/>
    <w:rsid w:val="5B331CF2"/>
    <w:rsid w:val="5B462118"/>
    <w:rsid w:val="5B48E145"/>
    <w:rsid w:val="5B533A8E"/>
    <w:rsid w:val="5B53D061"/>
    <w:rsid w:val="5B551B38"/>
    <w:rsid w:val="5B5ADF17"/>
    <w:rsid w:val="5B5F3ED7"/>
    <w:rsid w:val="5B67DFDD"/>
    <w:rsid w:val="5B6F04EF"/>
    <w:rsid w:val="5B726F9C"/>
    <w:rsid w:val="5B72E7C6"/>
    <w:rsid w:val="5B7F8DD9"/>
    <w:rsid w:val="5B8C5986"/>
    <w:rsid w:val="5B8E5107"/>
    <w:rsid w:val="5B8F33FB"/>
    <w:rsid w:val="5B96B947"/>
    <w:rsid w:val="5B9D2162"/>
    <w:rsid w:val="5B9F21E9"/>
    <w:rsid w:val="5BAF2109"/>
    <w:rsid w:val="5BB03204"/>
    <w:rsid w:val="5BB30A24"/>
    <w:rsid w:val="5BB98B6B"/>
    <w:rsid w:val="5BC70EE3"/>
    <w:rsid w:val="5BD3FC6B"/>
    <w:rsid w:val="5BDA32FD"/>
    <w:rsid w:val="5BDBAAA1"/>
    <w:rsid w:val="5BEFEE16"/>
    <w:rsid w:val="5BF6727C"/>
    <w:rsid w:val="5BF935A6"/>
    <w:rsid w:val="5BFA5F8C"/>
    <w:rsid w:val="5C02CFC9"/>
    <w:rsid w:val="5C05EBAE"/>
    <w:rsid w:val="5C0BCDD6"/>
    <w:rsid w:val="5C158EAB"/>
    <w:rsid w:val="5C15CA76"/>
    <w:rsid w:val="5C1A0419"/>
    <w:rsid w:val="5C21AA0B"/>
    <w:rsid w:val="5C245641"/>
    <w:rsid w:val="5C28655C"/>
    <w:rsid w:val="5C2E0D0A"/>
    <w:rsid w:val="5C39FCF4"/>
    <w:rsid w:val="5C46B882"/>
    <w:rsid w:val="5C4D40E2"/>
    <w:rsid w:val="5C505A76"/>
    <w:rsid w:val="5C54DA53"/>
    <w:rsid w:val="5C5CE247"/>
    <w:rsid w:val="5C62EE43"/>
    <w:rsid w:val="5C75FEC2"/>
    <w:rsid w:val="5C7D7D35"/>
    <w:rsid w:val="5C89EF10"/>
    <w:rsid w:val="5C8D88F6"/>
    <w:rsid w:val="5C93249E"/>
    <w:rsid w:val="5C935005"/>
    <w:rsid w:val="5C95B9E7"/>
    <w:rsid w:val="5C9B55EC"/>
    <w:rsid w:val="5C9CF10C"/>
    <w:rsid w:val="5CA14607"/>
    <w:rsid w:val="5CA81181"/>
    <w:rsid w:val="5CA962F4"/>
    <w:rsid w:val="5CB42C95"/>
    <w:rsid w:val="5CC2EAFA"/>
    <w:rsid w:val="5CC308B9"/>
    <w:rsid w:val="5CD68854"/>
    <w:rsid w:val="5CDE14F1"/>
    <w:rsid w:val="5CE6682B"/>
    <w:rsid w:val="5CE99CCF"/>
    <w:rsid w:val="5CF68488"/>
    <w:rsid w:val="5CFC1292"/>
    <w:rsid w:val="5CFFBA17"/>
    <w:rsid w:val="5D0E1582"/>
    <w:rsid w:val="5D12C2B2"/>
    <w:rsid w:val="5D14DE1C"/>
    <w:rsid w:val="5D18ECFB"/>
    <w:rsid w:val="5D1A07D3"/>
    <w:rsid w:val="5D1B2641"/>
    <w:rsid w:val="5D1DB446"/>
    <w:rsid w:val="5D270FC5"/>
    <w:rsid w:val="5D2AB8AC"/>
    <w:rsid w:val="5D371F8E"/>
    <w:rsid w:val="5D451FD1"/>
    <w:rsid w:val="5D495604"/>
    <w:rsid w:val="5D5065E9"/>
    <w:rsid w:val="5D5B8572"/>
    <w:rsid w:val="5D627A0D"/>
    <w:rsid w:val="5D6599DA"/>
    <w:rsid w:val="5D6639F9"/>
    <w:rsid w:val="5D67008C"/>
    <w:rsid w:val="5D680B38"/>
    <w:rsid w:val="5D73A9ED"/>
    <w:rsid w:val="5D75B0A1"/>
    <w:rsid w:val="5D7C2B55"/>
    <w:rsid w:val="5D8776C8"/>
    <w:rsid w:val="5D87C9EC"/>
    <w:rsid w:val="5D8FA3E0"/>
    <w:rsid w:val="5D92AECE"/>
    <w:rsid w:val="5D9367D2"/>
    <w:rsid w:val="5D956700"/>
    <w:rsid w:val="5DA51063"/>
    <w:rsid w:val="5DB2B3EF"/>
    <w:rsid w:val="5DBBA032"/>
    <w:rsid w:val="5DBEA0FE"/>
    <w:rsid w:val="5DCB64A3"/>
    <w:rsid w:val="5DCCCE17"/>
    <w:rsid w:val="5DD51358"/>
    <w:rsid w:val="5DDBE391"/>
    <w:rsid w:val="5DDED5BF"/>
    <w:rsid w:val="5DE4953D"/>
    <w:rsid w:val="5DE64A76"/>
    <w:rsid w:val="5DF610CE"/>
    <w:rsid w:val="5DF96506"/>
    <w:rsid w:val="5DFD863E"/>
    <w:rsid w:val="5E04A371"/>
    <w:rsid w:val="5E07E5B9"/>
    <w:rsid w:val="5E1CCE52"/>
    <w:rsid w:val="5E2C2475"/>
    <w:rsid w:val="5E2C407D"/>
    <w:rsid w:val="5E2DB4A5"/>
    <w:rsid w:val="5E327A60"/>
    <w:rsid w:val="5E3CACDC"/>
    <w:rsid w:val="5E423CE5"/>
    <w:rsid w:val="5E4D5647"/>
    <w:rsid w:val="5E4ECC05"/>
    <w:rsid w:val="5E53A288"/>
    <w:rsid w:val="5E5F17EF"/>
    <w:rsid w:val="5E66B6BE"/>
    <w:rsid w:val="5E6BF75B"/>
    <w:rsid w:val="5E7DBCDA"/>
    <w:rsid w:val="5E7F4379"/>
    <w:rsid w:val="5E88FD29"/>
    <w:rsid w:val="5E8DE094"/>
    <w:rsid w:val="5E8F30C6"/>
    <w:rsid w:val="5E93E8DC"/>
    <w:rsid w:val="5E9CACE6"/>
    <w:rsid w:val="5EAB82B5"/>
    <w:rsid w:val="5EAC2EAA"/>
    <w:rsid w:val="5EAD800B"/>
    <w:rsid w:val="5EAF83FF"/>
    <w:rsid w:val="5EB60361"/>
    <w:rsid w:val="5ED1F270"/>
    <w:rsid w:val="5ED2A067"/>
    <w:rsid w:val="5ED37F73"/>
    <w:rsid w:val="5ED4C392"/>
    <w:rsid w:val="5EDA1A94"/>
    <w:rsid w:val="5EDFB01F"/>
    <w:rsid w:val="5EE1A6FF"/>
    <w:rsid w:val="5EE7EA2D"/>
    <w:rsid w:val="5F0B558B"/>
    <w:rsid w:val="5F0CADEC"/>
    <w:rsid w:val="5F18CF9F"/>
    <w:rsid w:val="5F1FEBA2"/>
    <w:rsid w:val="5F3316A3"/>
    <w:rsid w:val="5F34DBC7"/>
    <w:rsid w:val="5F37854A"/>
    <w:rsid w:val="5F5D9C44"/>
    <w:rsid w:val="5F673D22"/>
    <w:rsid w:val="5F68626B"/>
    <w:rsid w:val="5F7791F5"/>
    <w:rsid w:val="5F85826D"/>
    <w:rsid w:val="5F9C2EC9"/>
    <w:rsid w:val="5FA10414"/>
    <w:rsid w:val="5FA30C5E"/>
    <w:rsid w:val="5FA5D66C"/>
    <w:rsid w:val="5FA6D955"/>
    <w:rsid w:val="5FA723DA"/>
    <w:rsid w:val="5FA79BC5"/>
    <w:rsid w:val="5FB6040F"/>
    <w:rsid w:val="5FBE8B22"/>
    <w:rsid w:val="5FBEFA48"/>
    <w:rsid w:val="5FD889D9"/>
    <w:rsid w:val="5FDB96B3"/>
    <w:rsid w:val="5FE24AFE"/>
    <w:rsid w:val="5FE36CDA"/>
    <w:rsid w:val="5FE812DA"/>
    <w:rsid w:val="5FEBDA67"/>
    <w:rsid w:val="5FF76EE3"/>
    <w:rsid w:val="5FF8548B"/>
    <w:rsid w:val="5FFE6AA7"/>
    <w:rsid w:val="600C9290"/>
    <w:rsid w:val="600D2AB0"/>
    <w:rsid w:val="600FD1F3"/>
    <w:rsid w:val="60217385"/>
    <w:rsid w:val="60228C27"/>
    <w:rsid w:val="602A83EB"/>
    <w:rsid w:val="602FF387"/>
    <w:rsid w:val="6047A693"/>
    <w:rsid w:val="6049506C"/>
    <w:rsid w:val="6050E8B0"/>
    <w:rsid w:val="6053F480"/>
    <w:rsid w:val="605AD4DD"/>
    <w:rsid w:val="605F1DCF"/>
    <w:rsid w:val="606A4CCB"/>
    <w:rsid w:val="60701870"/>
    <w:rsid w:val="607968D6"/>
    <w:rsid w:val="607E0347"/>
    <w:rsid w:val="607FF37B"/>
    <w:rsid w:val="6095E972"/>
    <w:rsid w:val="60A20EEB"/>
    <w:rsid w:val="60A313B6"/>
    <w:rsid w:val="60A4B60F"/>
    <w:rsid w:val="60B18EEA"/>
    <w:rsid w:val="60B29185"/>
    <w:rsid w:val="60BCE081"/>
    <w:rsid w:val="60BEB5AD"/>
    <w:rsid w:val="60E8FA02"/>
    <w:rsid w:val="60ED086F"/>
    <w:rsid w:val="60FDD187"/>
    <w:rsid w:val="61028B42"/>
    <w:rsid w:val="61047806"/>
    <w:rsid w:val="6123CF25"/>
    <w:rsid w:val="612C8C1C"/>
    <w:rsid w:val="6131C813"/>
    <w:rsid w:val="61478EBB"/>
    <w:rsid w:val="6147F607"/>
    <w:rsid w:val="614A3583"/>
    <w:rsid w:val="614C9A90"/>
    <w:rsid w:val="614FA25B"/>
    <w:rsid w:val="615013A3"/>
    <w:rsid w:val="61515243"/>
    <w:rsid w:val="61524B7B"/>
    <w:rsid w:val="6153CFED"/>
    <w:rsid w:val="615598B1"/>
    <w:rsid w:val="616C5166"/>
    <w:rsid w:val="6173AF21"/>
    <w:rsid w:val="6186F995"/>
    <w:rsid w:val="61904EF0"/>
    <w:rsid w:val="6198A617"/>
    <w:rsid w:val="619D78F7"/>
    <w:rsid w:val="61A6844E"/>
    <w:rsid w:val="61AA32CA"/>
    <w:rsid w:val="61ABF87F"/>
    <w:rsid w:val="61AD12BD"/>
    <w:rsid w:val="61AF2DD8"/>
    <w:rsid w:val="61B01965"/>
    <w:rsid w:val="61B6CC68"/>
    <w:rsid w:val="61B7B80D"/>
    <w:rsid w:val="61BF02DC"/>
    <w:rsid w:val="61C05819"/>
    <w:rsid w:val="61C0CB22"/>
    <w:rsid w:val="61C59ECE"/>
    <w:rsid w:val="61CCAF7D"/>
    <w:rsid w:val="61D24441"/>
    <w:rsid w:val="61D448F9"/>
    <w:rsid w:val="61D4D8E0"/>
    <w:rsid w:val="61E1E721"/>
    <w:rsid w:val="61EADEF5"/>
    <w:rsid w:val="61F5435F"/>
    <w:rsid w:val="61FCEF2D"/>
    <w:rsid w:val="61FEDE54"/>
    <w:rsid w:val="620679D4"/>
    <w:rsid w:val="62098AE7"/>
    <w:rsid w:val="620F9250"/>
    <w:rsid w:val="6216B942"/>
    <w:rsid w:val="622F2852"/>
    <w:rsid w:val="62363F46"/>
    <w:rsid w:val="623A9D34"/>
    <w:rsid w:val="6258171B"/>
    <w:rsid w:val="625B7512"/>
    <w:rsid w:val="6277268E"/>
    <w:rsid w:val="627AE1F2"/>
    <w:rsid w:val="627BBE91"/>
    <w:rsid w:val="6283F003"/>
    <w:rsid w:val="6284F643"/>
    <w:rsid w:val="6292DD0A"/>
    <w:rsid w:val="6294A57E"/>
    <w:rsid w:val="62A60D9C"/>
    <w:rsid w:val="62AF6082"/>
    <w:rsid w:val="62BB7DB3"/>
    <w:rsid w:val="62BDD304"/>
    <w:rsid w:val="62E55ED2"/>
    <w:rsid w:val="62F4F66A"/>
    <w:rsid w:val="62FEF1E0"/>
    <w:rsid w:val="63030D1F"/>
    <w:rsid w:val="630FE364"/>
    <w:rsid w:val="632AE4B6"/>
    <w:rsid w:val="6332911C"/>
    <w:rsid w:val="6338C7EF"/>
    <w:rsid w:val="63390FA7"/>
    <w:rsid w:val="63539CAB"/>
    <w:rsid w:val="635F8502"/>
    <w:rsid w:val="6371D414"/>
    <w:rsid w:val="63790EE7"/>
    <w:rsid w:val="6383C3B9"/>
    <w:rsid w:val="638A1B34"/>
    <w:rsid w:val="63955009"/>
    <w:rsid w:val="63A29E48"/>
    <w:rsid w:val="63A6241B"/>
    <w:rsid w:val="63A9B066"/>
    <w:rsid w:val="63AC9EC2"/>
    <w:rsid w:val="63B0CB01"/>
    <w:rsid w:val="63B69594"/>
    <w:rsid w:val="63D740FD"/>
    <w:rsid w:val="63D81029"/>
    <w:rsid w:val="63DB1C06"/>
    <w:rsid w:val="63DC9029"/>
    <w:rsid w:val="63DE9130"/>
    <w:rsid w:val="63FE6695"/>
    <w:rsid w:val="63FF1B11"/>
    <w:rsid w:val="64065A10"/>
    <w:rsid w:val="6409DB1F"/>
    <w:rsid w:val="6412C9B3"/>
    <w:rsid w:val="641B9FC4"/>
    <w:rsid w:val="6425403D"/>
    <w:rsid w:val="642A7129"/>
    <w:rsid w:val="642BC0F0"/>
    <w:rsid w:val="642EE08F"/>
    <w:rsid w:val="64504D01"/>
    <w:rsid w:val="645064D4"/>
    <w:rsid w:val="64537D2B"/>
    <w:rsid w:val="645B6FE7"/>
    <w:rsid w:val="646A0874"/>
    <w:rsid w:val="646CAD90"/>
    <w:rsid w:val="646D0C1A"/>
    <w:rsid w:val="646E5830"/>
    <w:rsid w:val="647DB713"/>
    <w:rsid w:val="647E5C50"/>
    <w:rsid w:val="648078D8"/>
    <w:rsid w:val="64824911"/>
    <w:rsid w:val="6483DF3D"/>
    <w:rsid w:val="64883A55"/>
    <w:rsid w:val="64988CB7"/>
    <w:rsid w:val="64A4CAAD"/>
    <w:rsid w:val="64BEBCCE"/>
    <w:rsid w:val="64C12DDF"/>
    <w:rsid w:val="64CE5256"/>
    <w:rsid w:val="64D82357"/>
    <w:rsid w:val="64DCC304"/>
    <w:rsid w:val="64E6CEA6"/>
    <w:rsid w:val="64EDEC12"/>
    <w:rsid w:val="64F3E9E9"/>
    <w:rsid w:val="64FD0BBB"/>
    <w:rsid w:val="6501B8FC"/>
    <w:rsid w:val="6509DB48"/>
    <w:rsid w:val="651E5DBB"/>
    <w:rsid w:val="6521E8A5"/>
    <w:rsid w:val="65237892"/>
    <w:rsid w:val="65285B9E"/>
    <w:rsid w:val="653844CC"/>
    <w:rsid w:val="653A5501"/>
    <w:rsid w:val="65403372"/>
    <w:rsid w:val="654398F2"/>
    <w:rsid w:val="65520911"/>
    <w:rsid w:val="655B85E3"/>
    <w:rsid w:val="655C1CCB"/>
    <w:rsid w:val="655FA0E0"/>
    <w:rsid w:val="65606DB1"/>
    <w:rsid w:val="65652CA3"/>
    <w:rsid w:val="6571234B"/>
    <w:rsid w:val="65736B56"/>
    <w:rsid w:val="6578608A"/>
    <w:rsid w:val="657D8A0B"/>
    <w:rsid w:val="657F61B3"/>
    <w:rsid w:val="658AEE25"/>
    <w:rsid w:val="658B64ED"/>
    <w:rsid w:val="659AFF31"/>
    <w:rsid w:val="65A070B5"/>
    <w:rsid w:val="65A5FC8A"/>
    <w:rsid w:val="65A8D4F4"/>
    <w:rsid w:val="65AA04DB"/>
    <w:rsid w:val="65B499D0"/>
    <w:rsid w:val="65B4F0D2"/>
    <w:rsid w:val="65B69ACD"/>
    <w:rsid w:val="65B99E6E"/>
    <w:rsid w:val="65C151AA"/>
    <w:rsid w:val="65C94B5F"/>
    <w:rsid w:val="65E3665B"/>
    <w:rsid w:val="65F15A89"/>
    <w:rsid w:val="6604B203"/>
    <w:rsid w:val="660C0B43"/>
    <w:rsid w:val="660DEFD9"/>
    <w:rsid w:val="661CD3EE"/>
    <w:rsid w:val="662A2EAC"/>
    <w:rsid w:val="663CAA7D"/>
    <w:rsid w:val="663FC289"/>
    <w:rsid w:val="6644EB3D"/>
    <w:rsid w:val="6651748C"/>
    <w:rsid w:val="66577E01"/>
    <w:rsid w:val="667084D7"/>
    <w:rsid w:val="667E9D8B"/>
    <w:rsid w:val="6689AB95"/>
    <w:rsid w:val="668DEA0F"/>
    <w:rsid w:val="669F2CC5"/>
    <w:rsid w:val="669F626A"/>
    <w:rsid w:val="66A53631"/>
    <w:rsid w:val="66B28C23"/>
    <w:rsid w:val="66B5E4F7"/>
    <w:rsid w:val="66BE2637"/>
    <w:rsid w:val="66C176AD"/>
    <w:rsid w:val="66C6CAD5"/>
    <w:rsid w:val="66DB1A1B"/>
    <w:rsid w:val="66E6A353"/>
    <w:rsid w:val="66EC236F"/>
    <w:rsid w:val="66EC9F92"/>
    <w:rsid w:val="66F15E0A"/>
    <w:rsid w:val="66F1CF90"/>
    <w:rsid w:val="66F7A26A"/>
    <w:rsid w:val="66FD5B61"/>
    <w:rsid w:val="670CC18F"/>
    <w:rsid w:val="671D0184"/>
    <w:rsid w:val="6728FDC7"/>
    <w:rsid w:val="672907FA"/>
    <w:rsid w:val="672AC315"/>
    <w:rsid w:val="672AD590"/>
    <w:rsid w:val="672B5966"/>
    <w:rsid w:val="6750EBDB"/>
    <w:rsid w:val="6755F8C2"/>
    <w:rsid w:val="6756936F"/>
    <w:rsid w:val="675CCAE0"/>
    <w:rsid w:val="67633B5E"/>
    <w:rsid w:val="676B7A6D"/>
    <w:rsid w:val="67724B00"/>
    <w:rsid w:val="6778ED0F"/>
    <w:rsid w:val="677D9DD2"/>
    <w:rsid w:val="6782D938"/>
    <w:rsid w:val="67845238"/>
    <w:rsid w:val="679E6DF3"/>
    <w:rsid w:val="67A2551D"/>
    <w:rsid w:val="67A2D885"/>
    <w:rsid w:val="67A34110"/>
    <w:rsid w:val="67A354A3"/>
    <w:rsid w:val="67A98DCA"/>
    <w:rsid w:val="67ABEEA7"/>
    <w:rsid w:val="67AF10A4"/>
    <w:rsid w:val="67B189C5"/>
    <w:rsid w:val="67B95ED9"/>
    <w:rsid w:val="67BC0E5E"/>
    <w:rsid w:val="67CEE0CB"/>
    <w:rsid w:val="67D13009"/>
    <w:rsid w:val="67DC062E"/>
    <w:rsid w:val="67F7C2A0"/>
    <w:rsid w:val="6801BECA"/>
    <w:rsid w:val="6805E20E"/>
    <w:rsid w:val="680DCE6C"/>
    <w:rsid w:val="680F6C58"/>
    <w:rsid w:val="6825F791"/>
    <w:rsid w:val="6841777E"/>
    <w:rsid w:val="6846C8C5"/>
    <w:rsid w:val="68488335"/>
    <w:rsid w:val="684A1C39"/>
    <w:rsid w:val="684CF8A8"/>
    <w:rsid w:val="685441E2"/>
    <w:rsid w:val="686CF370"/>
    <w:rsid w:val="6877D434"/>
    <w:rsid w:val="6882CE2E"/>
    <w:rsid w:val="688463B1"/>
    <w:rsid w:val="68881534"/>
    <w:rsid w:val="68884E80"/>
    <w:rsid w:val="68964DC3"/>
    <w:rsid w:val="689738BB"/>
    <w:rsid w:val="689B678D"/>
    <w:rsid w:val="689F655B"/>
    <w:rsid w:val="689FA53E"/>
    <w:rsid w:val="68A06458"/>
    <w:rsid w:val="68AAB6DC"/>
    <w:rsid w:val="68AB3AD0"/>
    <w:rsid w:val="68AD19B7"/>
    <w:rsid w:val="68B55B6B"/>
    <w:rsid w:val="68B7CE0D"/>
    <w:rsid w:val="68C6E5A3"/>
    <w:rsid w:val="68CF5F8E"/>
    <w:rsid w:val="68D49CF3"/>
    <w:rsid w:val="68D6B95F"/>
    <w:rsid w:val="68D6FDB0"/>
    <w:rsid w:val="68DD48C0"/>
    <w:rsid w:val="68ECBC3C"/>
    <w:rsid w:val="68F19E9D"/>
    <w:rsid w:val="68FD7F25"/>
    <w:rsid w:val="690DA5D6"/>
    <w:rsid w:val="6910A935"/>
    <w:rsid w:val="69129FDE"/>
    <w:rsid w:val="692F1DDB"/>
    <w:rsid w:val="69376974"/>
    <w:rsid w:val="693A9601"/>
    <w:rsid w:val="693B988F"/>
    <w:rsid w:val="6947BD57"/>
    <w:rsid w:val="694BDA9C"/>
    <w:rsid w:val="69515091"/>
    <w:rsid w:val="695CB11A"/>
    <w:rsid w:val="697A2C0C"/>
    <w:rsid w:val="6983A1A7"/>
    <w:rsid w:val="69859152"/>
    <w:rsid w:val="69A70F07"/>
    <w:rsid w:val="69A89DAC"/>
    <w:rsid w:val="69AC3EA1"/>
    <w:rsid w:val="69B92CFB"/>
    <w:rsid w:val="69B9D988"/>
    <w:rsid w:val="69CCD88A"/>
    <w:rsid w:val="69CF1144"/>
    <w:rsid w:val="69D8F229"/>
    <w:rsid w:val="69DE23DE"/>
    <w:rsid w:val="6A0BB246"/>
    <w:rsid w:val="6A0EAF76"/>
    <w:rsid w:val="6A136E01"/>
    <w:rsid w:val="6A1434DD"/>
    <w:rsid w:val="6A1C7E2E"/>
    <w:rsid w:val="6A228106"/>
    <w:rsid w:val="6A28FECC"/>
    <w:rsid w:val="6A2FEF0C"/>
    <w:rsid w:val="6A3363EC"/>
    <w:rsid w:val="6A3CEBE8"/>
    <w:rsid w:val="6A3DD46B"/>
    <w:rsid w:val="6A4D22DE"/>
    <w:rsid w:val="6A58DF52"/>
    <w:rsid w:val="6A68FA76"/>
    <w:rsid w:val="6A79D860"/>
    <w:rsid w:val="6A89617B"/>
    <w:rsid w:val="6A89F6DF"/>
    <w:rsid w:val="6A95E62E"/>
    <w:rsid w:val="6AA12689"/>
    <w:rsid w:val="6AA3EFB1"/>
    <w:rsid w:val="6AB78456"/>
    <w:rsid w:val="6ABA1653"/>
    <w:rsid w:val="6AC97046"/>
    <w:rsid w:val="6ADC6FA8"/>
    <w:rsid w:val="6ADCB8B7"/>
    <w:rsid w:val="6AE2BAD3"/>
    <w:rsid w:val="6AE4F515"/>
    <w:rsid w:val="6AE929B8"/>
    <w:rsid w:val="6AEC7848"/>
    <w:rsid w:val="6AECDCBA"/>
    <w:rsid w:val="6AF8DD46"/>
    <w:rsid w:val="6B09C1CC"/>
    <w:rsid w:val="6B2ACC8C"/>
    <w:rsid w:val="6B2B379F"/>
    <w:rsid w:val="6B4BC339"/>
    <w:rsid w:val="6B7451EA"/>
    <w:rsid w:val="6B7E9F12"/>
    <w:rsid w:val="6B7F5B81"/>
    <w:rsid w:val="6B7FD4DA"/>
    <w:rsid w:val="6B886BAB"/>
    <w:rsid w:val="6B8E5034"/>
    <w:rsid w:val="6B99482A"/>
    <w:rsid w:val="6BA12D83"/>
    <w:rsid w:val="6BA944E5"/>
    <w:rsid w:val="6BAC134F"/>
    <w:rsid w:val="6BB4BDE8"/>
    <w:rsid w:val="6BB7982D"/>
    <w:rsid w:val="6BB84292"/>
    <w:rsid w:val="6BBD1AAD"/>
    <w:rsid w:val="6BC0459D"/>
    <w:rsid w:val="6BC2A80B"/>
    <w:rsid w:val="6BC4CF2D"/>
    <w:rsid w:val="6BC62BE5"/>
    <w:rsid w:val="6BD4E5EA"/>
    <w:rsid w:val="6BD714C6"/>
    <w:rsid w:val="6BDC5AEA"/>
    <w:rsid w:val="6BEA0956"/>
    <w:rsid w:val="6BEB3F22"/>
    <w:rsid w:val="6BED7778"/>
    <w:rsid w:val="6BEEE4A1"/>
    <w:rsid w:val="6BF1E181"/>
    <w:rsid w:val="6C05AF31"/>
    <w:rsid w:val="6C06F69F"/>
    <w:rsid w:val="6C15C6E5"/>
    <w:rsid w:val="6C18A387"/>
    <w:rsid w:val="6C19875E"/>
    <w:rsid w:val="6C1B2782"/>
    <w:rsid w:val="6C244A20"/>
    <w:rsid w:val="6C2A35A1"/>
    <w:rsid w:val="6C2C54C0"/>
    <w:rsid w:val="6C3A1E33"/>
    <w:rsid w:val="6C3B23C3"/>
    <w:rsid w:val="6C3BDBF0"/>
    <w:rsid w:val="6C41B585"/>
    <w:rsid w:val="6C471904"/>
    <w:rsid w:val="6C4B6B3B"/>
    <w:rsid w:val="6C68E01B"/>
    <w:rsid w:val="6C69B676"/>
    <w:rsid w:val="6C6A3FA3"/>
    <w:rsid w:val="6C6C5166"/>
    <w:rsid w:val="6C720B71"/>
    <w:rsid w:val="6C7BC912"/>
    <w:rsid w:val="6C7D565B"/>
    <w:rsid w:val="6C7F0F2E"/>
    <w:rsid w:val="6C848149"/>
    <w:rsid w:val="6C88EA00"/>
    <w:rsid w:val="6C8BE9E6"/>
    <w:rsid w:val="6C964043"/>
    <w:rsid w:val="6C9ED58D"/>
    <w:rsid w:val="6CA8E75C"/>
    <w:rsid w:val="6CB410C7"/>
    <w:rsid w:val="6CB656CC"/>
    <w:rsid w:val="6CC2A163"/>
    <w:rsid w:val="6CC43143"/>
    <w:rsid w:val="6CE220C7"/>
    <w:rsid w:val="6CE8D69A"/>
    <w:rsid w:val="6CF6B5F7"/>
    <w:rsid w:val="6D0420B8"/>
    <w:rsid w:val="6D0F037E"/>
    <w:rsid w:val="6D103647"/>
    <w:rsid w:val="6D13B1E4"/>
    <w:rsid w:val="6D21AF64"/>
    <w:rsid w:val="6D3CCD8B"/>
    <w:rsid w:val="6D50C026"/>
    <w:rsid w:val="6D518403"/>
    <w:rsid w:val="6D64B4A3"/>
    <w:rsid w:val="6D66E80D"/>
    <w:rsid w:val="6D6E6A3D"/>
    <w:rsid w:val="6D6FCC5D"/>
    <w:rsid w:val="6D77D074"/>
    <w:rsid w:val="6D7BED87"/>
    <w:rsid w:val="6D8351A4"/>
    <w:rsid w:val="6D847876"/>
    <w:rsid w:val="6D8F3DF9"/>
    <w:rsid w:val="6DA16D4E"/>
    <w:rsid w:val="6DA2BFA4"/>
    <w:rsid w:val="6DA86789"/>
    <w:rsid w:val="6DBA4788"/>
    <w:rsid w:val="6DBC9A48"/>
    <w:rsid w:val="6DC7269E"/>
    <w:rsid w:val="6DC971AB"/>
    <w:rsid w:val="6DCD6993"/>
    <w:rsid w:val="6DD7B1C6"/>
    <w:rsid w:val="6DE985AC"/>
    <w:rsid w:val="6DEC2F88"/>
    <w:rsid w:val="6DF2D7C9"/>
    <w:rsid w:val="6DF8BB17"/>
    <w:rsid w:val="6E040826"/>
    <w:rsid w:val="6E061CE4"/>
    <w:rsid w:val="6E1204B1"/>
    <w:rsid w:val="6E13B899"/>
    <w:rsid w:val="6E1BE2D4"/>
    <w:rsid w:val="6E219E25"/>
    <w:rsid w:val="6E2800D8"/>
    <w:rsid w:val="6E344916"/>
    <w:rsid w:val="6E349FDB"/>
    <w:rsid w:val="6E37029F"/>
    <w:rsid w:val="6E38B5F8"/>
    <w:rsid w:val="6E49920D"/>
    <w:rsid w:val="6E551540"/>
    <w:rsid w:val="6E61ED17"/>
    <w:rsid w:val="6E689590"/>
    <w:rsid w:val="6E701D07"/>
    <w:rsid w:val="6E72DB05"/>
    <w:rsid w:val="6E7536B3"/>
    <w:rsid w:val="6E77E32E"/>
    <w:rsid w:val="6E7BE4B4"/>
    <w:rsid w:val="6E8438C2"/>
    <w:rsid w:val="6E934EB1"/>
    <w:rsid w:val="6E9D471B"/>
    <w:rsid w:val="6EA0E598"/>
    <w:rsid w:val="6EA147A9"/>
    <w:rsid w:val="6EA24667"/>
    <w:rsid w:val="6EA2D24B"/>
    <w:rsid w:val="6EA95452"/>
    <w:rsid w:val="6EA9D3E0"/>
    <w:rsid w:val="6EB3ABEC"/>
    <w:rsid w:val="6EBC2A7F"/>
    <w:rsid w:val="6ECCE622"/>
    <w:rsid w:val="6ECE75F8"/>
    <w:rsid w:val="6EE15EBE"/>
    <w:rsid w:val="6EEE4377"/>
    <w:rsid w:val="6EF4D3FB"/>
    <w:rsid w:val="6EF9E7AA"/>
    <w:rsid w:val="6F045859"/>
    <w:rsid w:val="6F05CED6"/>
    <w:rsid w:val="6F06431E"/>
    <w:rsid w:val="6F0CE706"/>
    <w:rsid w:val="6F0DF6CF"/>
    <w:rsid w:val="6F0FE5E2"/>
    <w:rsid w:val="6F153DCF"/>
    <w:rsid w:val="6F25554A"/>
    <w:rsid w:val="6F27AEA8"/>
    <w:rsid w:val="6F2A8879"/>
    <w:rsid w:val="6F332EE9"/>
    <w:rsid w:val="6F3475BC"/>
    <w:rsid w:val="6F3B718E"/>
    <w:rsid w:val="6F438E59"/>
    <w:rsid w:val="6F54D607"/>
    <w:rsid w:val="6F569F45"/>
    <w:rsid w:val="6F586AEC"/>
    <w:rsid w:val="6F58EA51"/>
    <w:rsid w:val="6F638D06"/>
    <w:rsid w:val="6F6A755D"/>
    <w:rsid w:val="6F6B52F3"/>
    <w:rsid w:val="6F6B80EC"/>
    <w:rsid w:val="6F81831B"/>
    <w:rsid w:val="6F81DA09"/>
    <w:rsid w:val="6F83A353"/>
    <w:rsid w:val="6F87E1CA"/>
    <w:rsid w:val="6F8C0C23"/>
    <w:rsid w:val="6F938937"/>
    <w:rsid w:val="6F94C20D"/>
    <w:rsid w:val="6FA8B0E4"/>
    <w:rsid w:val="6FB7894D"/>
    <w:rsid w:val="6FCD7C72"/>
    <w:rsid w:val="6FD14C8C"/>
    <w:rsid w:val="6FD41674"/>
    <w:rsid w:val="6FDE8D56"/>
    <w:rsid w:val="6FE0A968"/>
    <w:rsid w:val="6FE157BD"/>
    <w:rsid w:val="6FE1EA8D"/>
    <w:rsid w:val="6FE5626E"/>
    <w:rsid w:val="6FEFEBE5"/>
    <w:rsid w:val="6FF63FCA"/>
    <w:rsid w:val="6FF766EC"/>
    <w:rsid w:val="700349E0"/>
    <w:rsid w:val="70074EFF"/>
    <w:rsid w:val="7031C84F"/>
    <w:rsid w:val="703A8F09"/>
    <w:rsid w:val="70421277"/>
    <w:rsid w:val="704274BD"/>
    <w:rsid w:val="70443999"/>
    <w:rsid w:val="70476533"/>
    <w:rsid w:val="7048C6EF"/>
    <w:rsid w:val="7057D01C"/>
    <w:rsid w:val="7063C056"/>
    <w:rsid w:val="7066C9DE"/>
    <w:rsid w:val="706877FD"/>
    <w:rsid w:val="70706097"/>
    <w:rsid w:val="7073140B"/>
    <w:rsid w:val="7078D1FE"/>
    <w:rsid w:val="7080480D"/>
    <w:rsid w:val="708BC5B9"/>
    <w:rsid w:val="708C5B94"/>
    <w:rsid w:val="708DDE9D"/>
    <w:rsid w:val="70A82A38"/>
    <w:rsid w:val="70AA2805"/>
    <w:rsid w:val="70B5B38E"/>
    <w:rsid w:val="70B639ED"/>
    <w:rsid w:val="70B71228"/>
    <w:rsid w:val="70BB858E"/>
    <w:rsid w:val="70D230BB"/>
    <w:rsid w:val="70D63B40"/>
    <w:rsid w:val="70D6CEC6"/>
    <w:rsid w:val="70DDF599"/>
    <w:rsid w:val="70E54FF2"/>
    <w:rsid w:val="70F0AF4F"/>
    <w:rsid w:val="70F2D7F2"/>
    <w:rsid w:val="70F5970D"/>
    <w:rsid w:val="70FBFC64"/>
    <w:rsid w:val="70FDCB31"/>
    <w:rsid w:val="71035584"/>
    <w:rsid w:val="710ACC35"/>
    <w:rsid w:val="71108E0E"/>
    <w:rsid w:val="71180DD0"/>
    <w:rsid w:val="711A39AF"/>
    <w:rsid w:val="7124ED31"/>
    <w:rsid w:val="71341AC2"/>
    <w:rsid w:val="71375452"/>
    <w:rsid w:val="71390A17"/>
    <w:rsid w:val="7146B5DA"/>
    <w:rsid w:val="714FBDC2"/>
    <w:rsid w:val="71522307"/>
    <w:rsid w:val="715371AA"/>
    <w:rsid w:val="715B4267"/>
    <w:rsid w:val="715CF08E"/>
    <w:rsid w:val="716617E2"/>
    <w:rsid w:val="716D6688"/>
    <w:rsid w:val="717AE6E1"/>
    <w:rsid w:val="717CFAFF"/>
    <w:rsid w:val="7182C249"/>
    <w:rsid w:val="718B216F"/>
    <w:rsid w:val="718DB85F"/>
    <w:rsid w:val="718E54BA"/>
    <w:rsid w:val="71B8DDF4"/>
    <w:rsid w:val="71BAE1E2"/>
    <w:rsid w:val="71C2FC55"/>
    <w:rsid w:val="71D3A198"/>
    <w:rsid w:val="71E8C96A"/>
    <w:rsid w:val="71F4E82F"/>
    <w:rsid w:val="71F759D8"/>
    <w:rsid w:val="7207FB0F"/>
    <w:rsid w:val="720E990B"/>
    <w:rsid w:val="7218FF80"/>
    <w:rsid w:val="722BF155"/>
    <w:rsid w:val="72412BE3"/>
    <w:rsid w:val="7246C761"/>
    <w:rsid w:val="724AB6D3"/>
    <w:rsid w:val="724C0608"/>
    <w:rsid w:val="725327FD"/>
    <w:rsid w:val="726DB6C0"/>
    <w:rsid w:val="726EABC1"/>
    <w:rsid w:val="72785CE0"/>
    <w:rsid w:val="727C5F78"/>
    <w:rsid w:val="727DE322"/>
    <w:rsid w:val="72A5C107"/>
    <w:rsid w:val="72BC9AF3"/>
    <w:rsid w:val="72BFAC28"/>
    <w:rsid w:val="72C8B829"/>
    <w:rsid w:val="72CC4470"/>
    <w:rsid w:val="72CF8E50"/>
    <w:rsid w:val="72D11266"/>
    <w:rsid w:val="72D5DF2D"/>
    <w:rsid w:val="72DEEB39"/>
    <w:rsid w:val="72E1FB4B"/>
    <w:rsid w:val="72E49B3F"/>
    <w:rsid w:val="72EB64BB"/>
    <w:rsid w:val="72F0B34D"/>
    <w:rsid w:val="72F249F3"/>
    <w:rsid w:val="72F727A1"/>
    <w:rsid w:val="730AA4D9"/>
    <w:rsid w:val="731DC83D"/>
    <w:rsid w:val="73215973"/>
    <w:rsid w:val="73251911"/>
    <w:rsid w:val="7329546F"/>
    <w:rsid w:val="733780DA"/>
    <w:rsid w:val="73398D67"/>
    <w:rsid w:val="733B6049"/>
    <w:rsid w:val="73486E80"/>
    <w:rsid w:val="7354FD5D"/>
    <w:rsid w:val="735FFF92"/>
    <w:rsid w:val="73602123"/>
    <w:rsid w:val="736BB838"/>
    <w:rsid w:val="737F7E30"/>
    <w:rsid w:val="7398D285"/>
    <w:rsid w:val="739944BD"/>
    <w:rsid w:val="739C15FF"/>
    <w:rsid w:val="739EEB17"/>
    <w:rsid w:val="73A38074"/>
    <w:rsid w:val="73AABD32"/>
    <w:rsid w:val="73B1A111"/>
    <w:rsid w:val="73B93970"/>
    <w:rsid w:val="73BD4E4A"/>
    <w:rsid w:val="73D2CCC0"/>
    <w:rsid w:val="73D4C145"/>
    <w:rsid w:val="73E162B8"/>
    <w:rsid w:val="73E277C2"/>
    <w:rsid w:val="73E311F8"/>
    <w:rsid w:val="73E9BDFB"/>
    <w:rsid w:val="73EA3C3F"/>
    <w:rsid w:val="73FF0649"/>
    <w:rsid w:val="740FEBBF"/>
    <w:rsid w:val="741045F3"/>
    <w:rsid w:val="742981E9"/>
    <w:rsid w:val="742F443B"/>
    <w:rsid w:val="7434005A"/>
    <w:rsid w:val="7437E1BA"/>
    <w:rsid w:val="74397C8B"/>
    <w:rsid w:val="744373B2"/>
    <w:rsid w:val="7446CE91"/>
    <w:rsid w:val="744C2A2B"/>
    <w:rsid w:val="745853B5"/>
    <w:rsid w:val="745CC7DB"/>
    <w:rsid w:val="7480B178"/>
    <w:rsid w:val="7486D7D6"/>
    <w:rsid w:val="748860CA"/>
    <w:rsid w:val="749573D1"/>
    <w:rsid w:val="74A74150"/>
    <w:rsid w:val="74B01ACF"/>
    <w:rsid w:val="74B05FB9"/>
    <w:rsid w:val="74B45BFA"/>
    <w:rsid w:val="74B6E050"/>
    <w:rsid w:val="74BACFC5"/>
    <w:rsid w:val="74BB84A9"/>
    <w:rsid w:val="74BD507E"/>
    <w:rsid w:val="74C25E1E"/>
    <w:rsid w:val="74C6722D"/>
    <w:rsid w:val="74C97EBB"/>
    <w:rsid w:val="74CDEAE7"/>
    <w:rsid w:val="74D19B9D"/>
    <w:rsid w:val="74E0BCFB"/>
    <w:rsid w:val="74EA54BD"/>
    <w:rsid w:val="74EDAF53"/>
    <w:rsid w:val="74EDCAF0"/>
    <w:rsid w:val="74F12E6D"/>
    <w:rsid w:val="74F54CC1"/>
    <w:rsid w:val="74F60D17"/>
    <w:rsid w:val="74FCCC46"/>
    <w:rsid w:val="74FF20EE"/>
    <w:rsid w:val="750C7E7A"/>
    <w:rsid w:val="752FDA19"/>
    <w:rsid w:val="753C2B47"/>
    <w:rsid w:val="7543CF40"/>
    <w:rsid w:val="7547382E"/>
    <w:rsid w:val="7553C5C2"/>
    <w:rsid w:val="755E7CF4"/>
    <w:rsid w:val="755F72B7"/>
    <w:rsid w:val="756B13AB"/>
    <w:rsid w:val="75728194"/>
    <w:rsid w:val="75780366"/>
    <w:rsid w:val="757DE2D1"/>
    <w:rsid w:val="75895039"/>
    <w:rsid w:val="75898D90"/>
    <w:rsid w:val="75899966"/>
    <w:rsid w:val="758CB704"/>
    <w:rsid w:val="759207D9"/>
    <w:rsid w:val="7595560A"/>
    <w:rsid w:val="7598BAD9"/>
    <w:rsid w:val="759F2BD1"/>
    <w:rsid w:val="75AAA36A"/>
    <w:rsid w:val="75AC5631"/>
    <w:rsid w:val="75ACDB2F"/>
    <w:rsid w:val="75B80A9A"/>
    <w:rsid w:val="75BA9853"/>
    <w:rsid w:val="75CEC147"/>
    <w:rsid w:val="75D9E62F"/>
    <w:rsid w:val="75DCA453"/>
    <w:rsid w:val="75E207FE"/>
    <w:rsid w:val="75F95306"/>
    <w:rsid w:val="762D33F2"/>
    <w:rsid w:val="7631EDB1"/>
    <w:rsid w:val="7633F275"/>
    <w:rsid w:val="763A8F57"/>
    <w:rsid w:val="763BBA90"/>
    <w:rsid w:val="764334BB"/>
    <w:rsid w:val="764C775E"/>
    <w:rsid w:val="764D4062"/>
    <w:rsid w:val="764FB388"/>
    <w:rsid w:val="765030C6"/>
    <w:rsid w:val="765143BD"/>
    <w:rsid w:val="765BC52C"/>
    <w:rsid w:val="765D3961"/>
    <w:rsid w:val="767DB188"/>
    <w:rsid w:val="768F4AD5"/>
    <w:rsid w:val="769CABA0"/>
    <w:rsid w:val="76A7825D"/>
    <w:rsid w:val="76B1692E"/>
    <w:rsid w:val="76C7EAB1"/>
    <w:rsid w:val="76DA677A"/>
    <w:rsid w:val="76DB1B3E"/>
    <w:rsid w:val="76DEAFF0"/>
    <w:rsid w:val="76E45F65"/>
    <w:rsid w:val="76E840CD"/>
    <w:rsid w:val="76E9E70C"/>
    <w:rsid w:val="76F57531"/>
    <w:rsid w:val="76FDDF0B"/>
    <w:rsid w:val="76FEE7C2"/>
    <w:rsid w:val="770401AB"/>
    <w:rsid w:val="770D7E6E"/>
    <w:rsid w:val="77117BB7"/>
    <w:rsid w:val="77122B65"/>
    <w:rsid w:val="77144326"/>
    <w:rsid w:val="771FF064"/>
    <w:rsid w:val="771FFB6F"/>
    <w:rsid w:val="77252E42"/>
    <w:rsid w:val="7731972E"/>
    <w:rsid w:val="77346D1B"/>
    <w:rsid w:val="77394AEA"/>
    <w:rsid w:val="773DB42F"/>
    <w:rsid w:val="7745DD70"/>
    <w:rsid w:val="774B70E1"/>
    <w:rsid w:val="77572CFB"/>
    <w:rsid w:val="77581B9D"/>
    <w:rsid w:val="7763495E"/>
    <w:rsid w:val="776FD1D7"/>
    <w:rsid w:val="77882E83"/>
    <w:rsid w:val="778D1994"/>
    <w:rsid w:val="778E7197"/>
    <w:rsid w:val="77966C04"/>
    <w:rsid w:val="7796C760"/>
    <w:rsid w:val="77A2F45F"/>
    <w:rsid w:val="77A3D718"/>
    <w:rsid w:val="77A89515"/>
    <w:rsid w:val="77B6B1F0"/>
    <w:rsid w:val="77BB70A6"/>
    <w:rsid w:val="77BE001E"/>
    <w:rsid w:val="77C82B69"/>
    <w:rsid w:val="77D13463"/>
    <w:rsid w:val="77D9703F"/>
    <w:rsid w:val="77F8974D"/>
    <w:rsid w:val="780767CD"/>
    <w:rsid w:val="7815F677"/>
    <w:rsid w:val="781C4199"/>
    <w:rsid w:val="781CEF54"/>
    <w:rsid w:val="781CFDC7"/>
    <w:rsid w:val="782EED71"/>
    <w:rsid w:val="7836EDE2"/>
    <w:rsid w:val="783EEF51"/>
    <w:rsid w:val="784AE37B"/>
    <w:rsid w:val="78556F84"/>
    <w:rsid w:val="78615EE3"/>
    <w:rsid w:val="786A0F50"/>
    <w:rsid w:val="786C57CE"/>
    <w:rsid w:val="78741A39"/>
    <w:rsid w:val="7882869D"/>
    <w:rsid w:val="7887E73B"/>
    <w:rsid w:val="788802B6"/>
    <w:rsid w:val="788FBE37"/>
    <w:rsid w:val="7890517D"/>
    <w:rsid w:val="78911E14"/>
    <w:rsid w:val="789C5C0D"/>
    <w:rsid w:val="78BD3920"/>
    <w:rsid w:val="78CA5F68"/>
    <w:rsid w:val="78D1BEF9"/>
    <w:rsid w:val="78D4B582"/>
    <w:rsid w:val="78D57B39"/>
    <w:rsid w:val="78D6949B"/>
    <w:rsid w:val="78DCB3BF"/>
    <w:rsid w:val="78E21A9B"/>
    <w:rsid w:val="78E2FE29"/>
    <w:rsid w:val="78E40D6F"/>
    <w:rsid w:val="78E579A7"/>
    <w:rsid w:val="78F149CE"/>
    <w:rsid w:val="79100905"/>
    <w:rsid w:val="7910532F"/>
    <w:rsid w:val="79126705"/>
    <w:rsid w:val="79178B0A"/>
    <w:rsid w:val="792EA5BC"/>
    <w:rsid w:val="793ABBAE"/>
    <w:rsid w:val="793B558B"/>
    <w:rsid w:val="793CD032"/>
    <w:rsid w:val="7946D31D"/>
    <w:rsid w:val="794906AB"/>
    <w:rsid w:val="79503100"/>
    <w:rsid w:val="79657B48"/>
    <w:rsid w:val="7970BAD8"/>
    <w:rsid w:val="7973D15D"/>
    <w:rsid w:val="7977C379"/>
    <w:rsid w:val="79796B3E"/>
    <w:rsid w:val="797D156A"/>
    <w:rsid w:val="797D7302"/>
    <w:rsid w:val="797F5C16"/>
    <w:rsid w:val="79878BAE"/>
    <w:rsid w:val="798C0E49"/>
    <w:rsid w:val="798C8716"/>
    <w:rsid w:val="7991E926"/>
    <w:rsid w:val="7997705B"/>
    <w:rsid w:val="799DA333"/>
    <w:rsid w:val="799F3484"/>
    <w:rsid w:val="79A11E1B"/>
    <w:rsid w:val="79C61A01"/>
    <w:rsid w:val="79CFCC60"/>
    <w:rsid w:val="79D3F1A5"/>
    <w:rsid w:val="79E07FBF"/>
    <w:rsid w:val="79E24370"/>
    <w:rsid w:val="79EB58E4"/>
    <w:rsid w:val="79FB560C"/>
    <w:rsid w:val="79FFB2B0"/>
    <w:rsid w:val="7A05C3A7"/>
    <w:rsid w:val="7A112FB6"/>
    <w:rsid w:val="7A14A686"/>
    <w:rsid w:val="7A1929BA"/>
    <w:rsid w:val="7A2534A9"/>
    <w:rsid w:val="7A29B905"/>
    <w:rsid w:val="7A318AED"/>
    <w:rsid w:val="7A35FFCE"/>
    <w:rsid w:val="7A370F63"/>
    <w:rsid w:val="7A3A47A7"/>
    <w:rsid w:val="7A3ED7F2"/>
    <w:rsid w:val="7A3F94BD"/>
    <w:rsid w:val="7A3FD900"/>
    <w:rsid w:val="7A59548E"/>
    <w:rsid w:val="7A5A6483"/>
    <w:rsid w:val="7A5CF843"/>
    <w:rsid w:val="7A68C2E1"/>
    <w:rsid w:val="7A72CE05"/>
    <w:rsid w:val="7A7DA5E0"/>
    <w:rsid w:val="7A8721DB"/>
    <w:rsid w:val="7A8FB8E9"/>
    <w:rsid w:val="7A985561"/>
    <w:rsid w:val="7A9E8F61"/>
    <w:rsid w:val="7AA94EFD"/>
    <w:rsid w:val="7AA95103"/>
    <w:rsid w:val="7AADCDE4"/>
    <w:rsid w:val="7ADE6213"/>
    <w:rsid w:val="7ADFDE6A"/>
    <w:rsid w:val="7AE27C5F"/>
    <w:rsid w:val="7AE396E9"/>
    <w:rsid w:val="7AE45032"/>
    <w:rsid w:val="7AEF1EBD"/>
    <w:rsid w:val="7AFC1E8A"/>
    <w:rsid w:val="7B082AE3"/>
    <w:rsid w:val="7B0E7CF0"/>
    <w:rsid w:val="7B1ACDB2"/>
    <w:rsid w:val="7B33FDEF"/>
    <w:rsid w:val="7B341E5D"/>
    <w:rsid w:val="7B357A2D"/>
    <w:rsid w:val="7B357CE3"/>
    <w:rsid w:val="7B3A99B6"/>
    <w:rsid w:val="7B3D5A56"/>
    <w:rsid w:val="7B5ACBEF"/>
    <w:rsid w:val="7B5E6679"/>
    <w:rsid w:val="7B7320EA"/>
    <w:rsid w:val="7B775B3E"/>
    <w:rsid w:val="7B829320"/>
    <w:rsid w:val="7B854277"/>
    <w:rsid w:val="7B887043"/>
    <w:rsid w:val="7B9A9E5C"/>
    <w:rsid w:val="7BA22FAB"/>
    <w:rsid w:val="7BA7DCAD"/>
    <w:rsid w:val="7BB83FE0"/>
    <w:rsid w:val="7BB9AB3E"/>
    <w:rsid w:val="7BBB6FCB"/>
    <w:rsid w:val="7BCCB1BC"/>
    <w:rsid w:val="7BCCC67F"/>
    <w:rsid w:val="7BCF177B"/>
    <w:rsid w:val="7BD78FFA"/>
    <w:rsid w:val="7BDBFB0C"/>
    <w:rsid w:val="7BDE0C20"/>
    <w:rsid w:val="7BE2D02B"/>
    <w:rsid w:val="7BEE02BC"/>
    <w:rsid w:val="7BF048E0"/>
    <w:rsid w:val="7BFBCB06"/>
    <w:rsid w:val="7C0A8EB4"/>
    <w:rsid w:val="7C0C2EBC"/>
    <w:rsid w:val="7C0D871A"/>
    <w:rsid w:val="7C199F68"/>
    <w:rsid w:val="7C2F654C"/>
    <w:rsid w:val="7C310DD4"/>
    <w:rsid w:val="7C342B68"/>
    <w:rsid w:val="7C4B5037"/>
    <w:rsid w:val="7C4D016A"/>
    <w:rsid w:val="7C4ED7C1"/>
    <w:rsid w:val="7C4F1493"/>
    <w:rsid w:val="7C586B5B"/>
    <w:rsid w:val="7C5A06A5"/>
    <w:rsid w:val="7C65EC99"/>
    <w:rsid w:val="7C660756"/>
    <w:rsid w:val="7C6B2AD5"/>
    <w:rsid w:val="7C7708C2"/>
    <w:rsid w:val="7C7BF848"/>
    <w:rsid w:val="7C85E595"/>
    <w:rsid w:val="7C90D9EB"/>
    <w:rsid w:val="7C97AA40"/>
    <w:rsid w:val="7CA759D7"/>
    <w:rsid w:val="7CB13609"/>
    <w:rsid w:val="7CB49F3C"/>
    <w:rsid w:val="7CBB85C7"/>
    <w:rsid w:val="7CD276D5"/>
    <w:rsid w:val="7CE64648"/>
    <w:rsid w:val="7CE8FFF3"/>
    <w:rsid w:val="7CEA5948"/>
    <w:rsid w:val="7CEDCA95"/>
    <w:rsid w:val="7CEEC846"/>
    <w:rsid w:val="7CFB722B"/>
    <w:rsid w:val="7CFC6505"/>
    <w:rsid w:val="7CFD5588"/>
    <w:rsid w:val="7D00F0F7"/>
    <w:rsid w:val="7D025F45"/>
    <w:rsid w:val="7D0B7865"/>
    <w:rsid w:val="7D116F54"/>
    <w:rsid w:val="7D12DE81"/>
    <w:rsid w:val="7D1A129F"/>
    <w:rsid w:val="7D1B47AA"/>
    <w:rsid w:val="7D1D79CE"/>
    <w:rsid w:val="7D1E6DB1"/>
    <w:rsid w:val="7D225D20"/>
    <w:rsid w:val="7D234009"/>
    <w:rsid w:val="7D23740F"/>
    <w:rsid w:val="7D2C4993"/>
    <w:rsid w:val="7D2CED74"/>
    <w:rsid w:val="7D3423CB"/>
    <w:rsid w:val="7D3788F3"/>
    <w:rsid w:val="7D38254C"/>
    <w:rsid w:val="7D3EB482"/>
    <w:rsid w:val="7D478C4B"/>
    <w:rsid w:val="7D56B87B"/>
    <w:rsid w:val="7D580374"/>
    <w:rsid w:val="7D6A44BF"/>
    <w:rsid w:val="7D863364"/>
    <w:rsid w:val="7D8CD306"/>
    <w:rsid w:val="7D8EF6B7"/>
    <w:rsid w:val="7D940FCA"/>
    <w:rsid w:val="7D9BBDCE"/>
    <w:rsid w:val="7D9F5A00"/>
    <w:rsid w:val="7DA036B2"/>
    <w:rsid w:val="7DA51B0C"/>
    <w:rsid w:val="7DAD0A58"/>
    <w:rsid w:val="7DB0AD4D"/>
    <w:rsid w:val="7DC88083"/>
    <w:rsid w:val="7DD855E4"/>
    <w:rsid w:val="7DF7FB94"/>
    <w:rsid w:val="7DF928B0"/>
    <w:rsid w:val="7DFC5B18"/>
    <w:rsid w:val="7DFFFA18"/>
    <w:rsid w:val="7E0B29A6"/>
    <w:rsid w:val="7E0C8A59"/>
    <w:rsid w:val="7E111293"/>
    <w:rsid w:val="7E12C3E3"/>
    <w:rsid w:val="7E18A9A5"/>
    <w:rsid w:val="7E25AFD9"/>
    <w:rsid w:val="7E2D7154"/>
    <w:rsid w:val="7E318853"/>
    <w:rsid w:val="7E3D50B0"/>
    <w:rsid w:val="7E4461D4"/>
    <w:rsid w:val="7E4A8C0F"/>
    <w:rsid w:val="7E5640B3"/>
    <w:rsid w:val="7E5E35E0"/>
    <w:rsid w:val="7E7B7ACD"/>
    <w:rsid w:val="7E8216A9"/>
    <w:rsid w:val="7E83C453"/>
    <w:rsid w:val="7E87E876"/>
    <w:rsid w:val="7E8A2608"/>
    <w:rsid w:val="7E9A3B02"/>
    <w:rsid w:val="7E9C1B27"/>
    <w:rsid w:val="7EA14545"/>
    <w:rsid w:val="7EB12DCB"/>
    <w:rsid w:val="7EB3D14C"/>
    <w:rsid w:val="7EDB593E"/>
    <w:rsid w:val="7EE2E90C"/>
    <w:rsid w:val="7EF080E2"/>
    <w:rsid w:val="7EFE7AC9"/>
    <w:rsid w:val="7F025501"/>
    <w:rsid w:val="7F02BFFF"/>
    <w:rsid w:val="7F06EA21"/>
    <w:rsid w:val="7F094A3C"/>
    <w:rsid w:val="7F0AC396"/>
    <w:rsid w:val="7F0BBA27"/>
    <w:rsid w:val="7F11D981"/>
    <w:rsid w:val="7F14222C"/>
    <w:rsid w:val="7F1624CD"/>
    <w:rsid w:val="7F166D54"/>
    <w:rsid w:val="7F1CA60E"/>
    <w:rsid w:val="7F30F49F"/>
    <w:rsid w:val="7F3197DA"/>
    <w:rsid w:val="7F37E606"/>
    <w:rsid w:val="7F5EFE7C"/>
    <w:rsid w:val="7F5F78FC"/>
    <w:rsid w:val="7F77C1AF"/>
    <w:rsid w:val="7F7BD165"/>
    <w:rsid w:val="7F8F87C7"/>
    <w:rsid w:val="7F944172"/>
    <w:rsid w:val="7F9CD905"/>
    <w:rsid w:val="7F9FF08A"/>
    <w:rsid w:val="7FA06BF8"/>
    <w:rsid w:val="7FA6EA57"/>
    <w:rsid w:val="7FB1CEE7"/>
    <w:rsid w:val="7FB3E3C8"/>
    <w:rsid w:val="7FBBD9F9"/>
    <w:rsid w:val="7FC4505C"/>
    <w:rsid w:val="7FC51A75"/>
    <w:rsid w:val="7FD8D804"/>
    <w:rsid w:val="7FDECBCB"/>
    <w:rsid w:val="7FE89174"/>
    <w:rsid w:val="7FF0A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3FCEF"/>
  <w15:chartTrackingRefBased/>
  <w15:docId w15:val="{369DB692-2439-4C0C-8116-F8961B2E584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C4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843747"/>
    <w:pPr>
      <w:numPr>
        <w:numId w:val="7"/>
      </w:numPr>
      <w:ind w:left="504" w:right="2160" w:hanging="504"/>
    </w:pPr>
    <w:rPr>
      <w:rFonts w:eastAsiaTheme="majorEastAsia" w:cstheme="majorBidi"/>
      <w:szCs w:val="32"/>
    </w:rPr>
  </w:style>
  <w:style w:type="paragraph" w:styleId="Heading2">
    <w:name w:val="heading 2"/>
    <w:basedOn w:val="Dummy"/>
    <w:next w:val="Standard"/>
    <w:link w:val="Heading2Char"/>
    <w:uiPriority w:val="4"/>
    <w:qFormat/>
    <w:rsid w:val="00A51C42"/>
    <w:pPr>
      <w:numPr>
        <w:ilvl w:val="1"/>
        <w:numId w:val="7"/>
      </w:numPr>
      <w:ind w:right="2160"/>
      <w:outlineLvl w:val="1"/>
    </w:pPr>
  </w:style>
  <w:style w:type="paragraph" w:styleId="Heading3">
    <w:name w:val="heading 3"/>
    <w:basedOn w:val="Dummy"/>
    <w:next w:val="Standard"/>
    <w:link w:val="Heading3Char"/>
    <w:uiPriority w:val="4"/>
    <w:qFormat/>
    <w:rsid w:val="00A51C42"/>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A51C42"/>
    <w:pPr>
      <w:numPr>
        <w:ilvl w:val="3"/>
        <w:numId w:val="7"/>
      </w:numPr>
      <w:ind w:right="2160"/>
      <w:outlineLvl w:val="3"/>
    </w:pPr>
    <w:rPr>
      <w:rFonts w:eastAsiaTheme="majorEastAsia" w:cstheme="majorBidi"/>
      <w:iCs/>
    </w:rPr>
  </w:style>
  <w:style w:type="paragraph" w:styleId="Heading5">
    <w:name w:val="heading 5"/>
    <w:basedOn w:val="Dummy"/>
    <w:next w:val="Standard"/>
    <w:link w:val="Heading5Char"/>
    <w:uiPriority w:val="4"/>
    <w:rsid w:val="00A51C42"/>
    <w:pPr>
      <w:numPr>
        <w:ilvl w:val="4"/>
        <w:numId w:val="7"/>
      </w:numPr>
      <w:ind w:right="2160"/>
      <w:outlineLvl w:val="4"/>
    </w:pPr>
    <w:rPr>
      <w:rFonts w:eastAsiaTheme="majorEastAsia" w:cstheme="majorBidi"/>
    </w:rPr>
  </w:style>
  <w:style w:type="paragraph" w:styleId="Heading6">
    <w:name w:val="heading 6"/>
    <w:basedOn w:val="Dummy"/>
    <w:next w:val="Standard"/>
    <w:link w:val="Heading6Char"/>
    <w:uiPriority w:val="4"/>
    <w:rsid w:val="00A51C42"/>
    <w:pPr>
      <w:numPr>
        <w:ilvl w:val="5"/>
        <w:numId w:val="7"/>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843747"/>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9660A9"/>
    <w:rPr>
      <w:rFonts w:ascii="Arial" w:hAnsi="Arial" w:cs="Arial"/>
      <w:b/>
      <w:sz w:val="26"/>
      <w:szCs w:val="26"/>
    </w:rPr>
  </w:style>
  <w:style w:type="character" w:customStyle="1" w:styleId="Heading3Char">
    <w:name w:val="Heading 3 Char"/>
    <w:basedOn w:val="DefaultParagraphFont"/>
    <w:link w:val="Heading3"/>
    <w:uiPriority w:val="4"/>
    <w:rsid w:val="009660A9"/>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9660A9"/>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9660A9"/>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
    <w:basedOn w:val="DefaultParagraphFont"/>
    <w:uiPriority w:val="99"/>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9660A9"/>
    <w:pPr>
      <w:spacing w:after="120" w:line="240" w:lineRule="auto"/>
      <w:ind w:firstLine="0"/>
      <w:contextualSpacing/>
    </w:pPr>
  </w:style>
  <w:style w:type="paragraph" w:customStyle="1" w:styleId="OP">
    <w:name w:val="OP"/>
    <w:basedOn w:val="Standard"/>
    <w:uiPriority w:val="8"/>
    <w:qFormat/>
    <w:rsid w:val="001E2A62"/>
    <w:pPr>
      <w:numPr>
        <w:numId w:val="43"/>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A51C42"/>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A51C42"/>
    <w:pPr>
      <w:numPr>
        <w:ilvl w:val="7"/>
        <w:numId w:val="7"/>
      </w:numPr>
      <w:spacing w:after="120" w:line="240" w:lineRule="auto"/>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9660A9"/>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9660A9"/>
    <w:pPr>
      <w:spacing w:after="0"/>
    </w:pPr>
    <w:rPr>
      <w:sz w:val="22"/>
    </w:rPr>
  </w:style>
  <w:style w:type="paragraph" w:customStyle="1" w:styleId="ListNum">
    <w:name w:val="List Num"/>
    <w:basedOn w:val="Standard"/>
    <w:uiPriority w:val="4"/>
    <w:rsid w:val="00A51C42"/>
    <w:pPr>
      <w:numPr>
        <w:ilvl w:val="6"/>
        <w:numId w:val="7"/>
      </w:numPr>
      <w:spacing w:after="120" w:line="240" w:lineRule="auto"/>
    </w:pPr>
  </w:style>
  <w:style w:type="paragraph" w:customStyle="1" w:styleId="sub1">
    <w:name w:val="sub1"/>
    <w:basedOn w:val="Normal"/>
    <w:uiPriority w:val="99"/>
    <w:rsid w:val="00CA5071"/>
    <w:rPr>
      <w:rFonts w:ascii="Palatino" w:eastAsia="Times New Roman" w:hAnsi="Palatino" w:cs="Times New Roman"/>
      <w:szCs w:val="20"/>
    </w:rPr>
  </w:style>
  <w:style w:type="paragraph" w:customStyle="1" w:styleId="standard0">
    <w:name w:val="standard"/>
    <w:basedOn w:val="Normal"/>
    <w:link w:val="standardChar"/>
    <w:rsid w:val="008669C1"/>
    <w:rPr>
      <w:rFonts w:ascii="Palatino" w:eastAsia="Times New Roman" w:hAnsi="Palatino" w:cs="Times New Roman"/>
      <w:szCs w:val="20"/>
    </w:rPr>
  </w:style>
  <w:style w:type="character" w:customStyle="1" w:styleId="standardChar">
    <w:name w:val="standard Char"/>
    <w:link w:val="standard0"/>
    <w:rsid w:val="008669C1"/>
    <w:rPr>
      <w:rFonts w:ascii="Palatino" w:eastAsia="Times New Roman" w:hAnsi="Palatino" w:cs="Times New Roman"/>
      <w:sz w:val="26"/>
      <w:szCs w:val="20"/>
    </w:rPr>
  </w:style>
  <w:style w:type="paragraph" w:customStyle="1" w:styleId="num1">
    <w:name w:val="num1"/>
    <w:basedOn w:val="Normal"/>
    <w:rsid w:val="008669C1"/>
    <w:pPr>
      <w:tabs>
        <w:tab w:val="left" w:pos="-720"/>
      </w:tabs>
      <w:suppressAutoHyphens/>
      <w:ind w:firstLine="360"/>
    </w:pPr>
    <w:rPr>
      <w:rFonts w:ascii="Palatino" w:eastAsia="Times New Roman" w:hAnsi="Palatino" w:cs="Times New Roman"/>
      <w:szCs w:val="20"/>
    </w:rPr>
  </w:style>
  <w:style w:type="character" w:styleId="CommentReference">
    <w:name w:val="annotation reference"/>
    <w:basedOn w:val="DefaultParagraphFont"/>
    <w:uiPriority w:val="99"/>
    <w:semiHidden/>
    <w:unhideWhenUsed/>
    <w:rsid w:val="0035263B"/>
    <w:rPr>
      <w:sz w:val="16"/>
      <w:szCs w:val="16"/>
    </w:rPr>
  </w:style>
  <w:style w:type="paragraph" w:styleId="CommentText">
    <w:name w:val="annotation text"/>
    <w:basedOn w:val="Normal"/>
    <w:link w:val="CommentTextChar"/>
    <w:uiPriority w:val="99"/>
    <w:unhideWhenUsed/>
    <w:rsid w:val="0035263B"/>
    <w:pPr>
      <w:spacing w:line="240" w:lineRule="auto"/>
    </w:pPr>
    <w:rPr>
      <w:sz w:val="20"/>
      <w:szCs w:val="20"/>
    </w:rPr>
  </w:style>
  <w:style w:type="character" w:customStyle="1" w:styleId="CommentTextChar">
    <w:name w:val="Comment Text Char"/>
    <w:basedOn w:val="DefaultParagraphFont"/>
    <w:link w:val="CommentText"/>
    <w:uiPriority w:val="99"/>
    <w:rsid w:val="0035263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5263B"/>
    <w:rPr>
      <w:b/>
      <w:bCs/>
    </w:rPr>
  </w:style>
  <w:style w:type="character" w:customStyle="1" w:styleId="CommentSubjectChar">
    <w:name w:val="Comment Subject Char"/>
    <w:basedOn w:val="CommentTextChar"/>
    <w:link w:val="CommentSubject"/>
    <w:uiPriority w:val="99"/>
    <w:semiHidden/>
    <w:rsid w:val="0035263B"/>
    <w:rPr>
      <w:rFonts w:ascii="Book Antiqua" w:hAnsi="Book Antiqua"/>
      <w:b/>
      <w:bCs/>
      <w:sz w:val="20"/>
      <w:szCs w:val="20"/>
    </w:rPr>
  </w:style>
  <w:style w:type="paragraph" w:styleId="ListParagraph">
    <w:name w:val="List Paragraph"/>
    <w:basedOn w:val="Normal"/>
    <w:uiPriority w:val="34"/>
    <w:qFormat/>
    <w:rsid w:val="003A7622"/>
    <w:pPr>
      <w:ind w:left="720"/>
      <w:contextualSpacing/>
    </w:pPr>
  </w:style>
  <w:style w:type="character" w:styleId="FollowedHyperlink">
    <w:name w:val="FollowedHyperlink"/>
    <w:basedOn w:val="DefaultParagraphFont"/>
    <w:uiPriority w:val="99"/>
    <w:semiHidden/>
    <w:unhideWhenUsed/>
    <w:rsid w:val="00BB4F77"/>
    <w:rPr>
      <w:color w:val="954F72" w:themeColor="followedHyperlink"/>
      <w:u w:val="single"/>
    </w:rPr>
  </w:style>
  <w:style w:type="character" w:styleId="UnresolvedMention">
    <w:name w:val="Unresolved Mention"/>
    <w:basedOn w:val="DefaultParagraphFont"/>
    <w:uiPriority w:val="99"/>
    <w:unhideWhenUsed/>
    <w:rsid w:val="00BB4F77"/>
    <w:rPr>
      <w:color w:val="605E5C"/>
      <w:shd w:val="clear" w:color="auto" w:fill="E1DFDD"/>
    </w:rPr>
  </w:style>
  <w:style w:type="paragraph" w:customStyle="1" w:styleId="paragraph">
    <w:name w:val="paragraph"/>
    <w:basedOn w:val="Normal"/>
    <w:rsid w:val="001D05B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1D05B9"/>
  </w:style>
  <w:style w:type="character" w:customStyle="1" w:styleId="eop">
    <w:name w:val="eop"/>
    <w:basedOn w:val="DefaultParagraphFont"/>
    <w:rsid w:val="001D05B9"/>
  </w:style>
  <w:style w:type="character" w:customStyle="1" w:styleId="superscript">
    <w:name w:val="superscript"/>
    <w:basedOn w:val="DefaultParagraphFont"/>
    <w:rsid w:val="001D05B9"/>
  </w:style>
  <w:style w:type="character" w:customStyle="1" w:styleId="spellingerror">
    <w:name w:val="spellingerror"/>
    <w:basedOn w:val="DefaultParagraphFont"/>
    <w:rsid w:val="00151823"/>
  </w:style>
  <w:style w:type="character" w:customStyle="1" w:styleId="findhit">
    <w:name w:val="findhit"/>
    <w:basedOn w:val="DefaultParagraphFont"/>
    <w:rsid w:val="00973FDC"/>
  </w:style>
  <w:style w:type="paragraph" w:styleId="Revision">
    <w:name w:val="Revision"/>
    <w:hidden/>
    <w:uiPriority w:val="99"/>
    <w:semiHidden/>
    <w:rsid w:val="003D7707"/>
    <w:pPr>
      <w:spacing w:after="0" w:line="240" w:lineRule="auto"/>
    </w:pPr>
    <w:rPr>
      <w:rFonts w:ascii="Book Antiqua" w:hAnsi="Book Antiqua"/>
      <w:sz w:val="26"/>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143663"/>
    <w:pPr>
      <w:spacing w:line="240" w:lineRule="auto"/>
      <w:ind w:firstLine="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084">
      <w:bodyDiv w:val="1"/>
      <w:marLeft w:val="0"/>
      <w:marRight w:val="0"/>
      <w:marTop w:val="0"/>
      <w:marBottom w:val="0"/>
      <w:divBdr>
        <w:top w:val="none" w:sz="0" w:space="0" w:color="auto"/>
        <w:left w:val="none" w:sz="0" w:space="0" w:color="auto"/>
        <w:bottom w:val="none" w:sz="0" w:space="0" w:color="auto"/>
        <w:right w:val="none" w:sz="0" w:space="0" w:color="auto"/>
      </w:divBdr>
      <w:divsChild>
        <w:div w:id="266625092">
          <w:marLeft w:val="0"/>
          <w:marRight w:val="0"/>
          <w:marTop w:val="0"/>
          <w:marBottom w:val="0"/>
          <w:divBdr>
            <w:top w:val="none" w:sz="0" w:space="0" w:color="auto"/>
            <w:left w:val="none" w:sz="0" w:space="0" w:color="auto"/>
            <w:bottom w:val="none" w:sz="0" w:space="0" w:color="auto"/>
            <w:right w:val="none" w:sz="0" w:space="0" w:color="auto"/>
          </w:divBdr>
        </w:div>
        <w:div w:id="864094041">
          <w:marLeft w:val="0"/>
          <w:marRight w:val="0"/>
          <w:marTop w:val="0"/>
          <w:marBottom w:val="0"/>
          <w:divBdr>
            <w:top w:val="none" w:sz="0" w:space="0" w:color="auto"/>
            <w:left w:val="none" w:sz="0" w:space="0" w:color="auto"/>
            <w:bottom w:val="none" w:sz="0" w:space="0" w:color="auto"/>
            <w:right w:val="none" w:sz="0" w:space="0" w:color="auto"/>
          </w:divBdr>
        </w:div>
        <w:div w:id="1061754093">
          <w:marLeft w:val="0"/>
          <w:marRight w:val="0"/>
          <w:marTop w:val="0"/>
          <w:marBottom w:val="0"/>
          <w:divBdr>
            <w:top w:val="none" w:sz="0" w:space="0" w:color="auto"/>
            <w:left w:val="none" w:sz="0" w:space="0" w:color="auto"/>
            <w:bottom w:val="none" w:sz="0" w:space="0" w:color="auto"/>
            <w:right w:val="none" w:sz="0" w:space="0" w:color="auto"/>
          </w:divBdr>
        </w:div>
        <w:div w:id="1127355364">
          <w:marLeft w:val="0"/>
          <w:marRight w:val="0"/>
          <w:marTop w:val="0"/>
          <w:marBottom w:val="0"/>
          <w:divBdr>
            <w:top w:val="none" w:sz="0" w:space="0" w:color="auto"/>
            <w:left w:val="none" w:sz="0" w:space="0" w:color="auto"/>
            <w:bottom w:val="none" w:sz="0" w:space="0" w:color="auto"/>
            <w:right w:val="none" w:sz="0" w:space="0" w:color="auto"/>
          </w:divBdr>
        </w:div>
        <w:div w:id="1407723499">
          <w:marLeft w:val="0"/>
          <w:marRight w:val="0"/>
          <w:marTop w:val="0"/>
          <w:marBottom w:val="0"/>
          <w:divBdr>
            <w:top w:val="none" w:sz="0" w:space="0" w:color="auto"/>
            <w:left w:val="none" w:sz="0" w:space="0" w:color="auto"/>
            <w:bottom w:val="none" w:sz="0" w:space="0" w:color="auto"/>
            <w:right w:val="none" w:sz="0" w:space="0" w:color="auto"/>
          </w:divBdr>
        </w:div>
        <w:div w:id="1793014006">
          <w:marLeft w:val="0"/>
          <w:marRight w:val="0"/>
          <w:marTop w:val="0"/>
          <w:marBottom w:val="0"/>
          <w:divBdr>
            <w:top w:val="none" w:sz="0" w:space="0" w:color="auto"/>
            <w:left w:val="none" w:sz="0" w:space="0" w:color="auto"/>
            <w:bottom w:val="none" w:sz="0" w:space="0" w:color="auto"/>
            <w:right w:val="none" w:sz="0" w:space="0" w:color="auto"/>
          </w:divBdr>
        </w:div>
        <w:div w:id="2085952670">
          <w:marLeft w:val="0"/>
          <w:marRight w:val="0"/>
          <w:marTop w:val="0"/>
          <w:marBottom w:val="0"/>
          <w:divBdr>
            <w:top w:val="none" w:sz="0" w:space="0" w:color="auto"/>
            <w:left w:val="none" w:sz="0" w:space="0" w:color="auto"/>
            <w:bottom w:val="none" w:sz="0" w:space="0" w:color="auto"/>
            <w:right w:val="none" w:sz="0" w:space="0" w:color="auto"/>
          </w:divBdr>
        </w:div>
      </w:divsChild>
    </w:div>
    <w:div w:id="90665477">
      <w:bodyDiv w:val="1"/>
      <w:marLeft w:val="0"/>
      <w:marRight w:val="0"/>
      <w:marTop w:val="0"/>
      <w:marBottom w:val="0"/>
      <w:divBdr>
        <w:top w:val="none" w:sz="0" w:space="0" w:color="auto"/>
        <w:left w:val="none" w:sz="0" w:space="0" w:color="auto"/>
        <w:bottom w:val="none" w:sz="0" w:space="0" w:color="auto"/>
        <w:right w:val="none" w:sz="0" w:space="0" w:color="auto"/>
      </w:divBdr>
    </w:div>
    <w:div w:id="168839358">
      <w:bodyDiv w:val="1"/>
      <w:marLeft w:val="0"/>
      <w:marRight w:val="0"/>
      <w:marTop w:val="0"/>
      <w:marBottom w:val="0"/>
      <w:divBdr>
        <w:top w:val="none" w:sz="0" w:space="0" w:color="auto"/>
        <w:left w:val="none" w:sz="0" w:space="0" w:color="auto"/>
        <w:bottom w:val="none" w:sz="0" w:space="0" w:color="auto"/>
        <w:right w:val="none" w:sz="0" w:space="0" w:color="auto"/>
      </w:divBdr>
    </w:div>
    <w:div w:id="465389760">
      <w:bodyDiv w:val="1"/>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
        <w:div w:id="154077508">
          <w:marLeft w:val="0"/>
          <w:marRight w:val="0"/>
          <w:marTop w:val="0"/>
          <w:marBottom w:val="0"/>
          <w:divBdr>
            <w:top w:val="none" w:sz="0" w:space="0" w:color="auto"/>
            <w:left w:val="none" w:sz="0" w:space="0" w:color="auto"/>
            <w:bottom w:val="none" w:sz="0" w:space="0" w:color="auto"/>
            <w:right w:val="none" w:sz="0" w:space="0" w:color="auto"/>
          </w:divBdr>
        </w:div>
        <w:div w:id="187570905">
          <w:marLeft w:val="0"/>
          <w:marRight w:val="0"/>
          <w:marTop w:val="0"/>
          <w:marBottom w:val="0"/>
          <w:divBdr>
            <w:top w:val="none" w:sz="0" w:space="0" w:color="auto"/>
            <w:left w:val="none" w:sz="0" w:space="0" w:color="auto"/>
            <w:bottom w:val="none" w:sz="0" w:space="0" w:color="auto"/>
            <w:right w:val="none" w:sz="0" w:space="0" w:color="auto"/>
          </w:divBdr>
        </w:div>
        <w:div w:id="289674046">
          <w:marLeft w:val="0"/>
          <w:marRight w:val="0"/>
          <w:marTop w:val="0"/>
          <w:marBottom w:val="0"/>
          <w:divBdr>
            <w:top w:val="none" w:sz="0" w:space="0" w:color="auto"/>
            <w:left w:val="none" w:sz="0" w:space="0" w:color="auto"/>
            <w:bottom w:val="none" w:sz="0" w:space="0" w:color="auto"/>
            <w:right w:val="none" w:sz="0" w:space="0" w:color="auto"/>
          </w:divBdr>
        </w:div>
        <w:div w:id="938830803">
          <w:marLeft w:val="0"/>
          <w:marRight w:val="0"/>
          <w:marTop w:val="0"/>
          <w:marBottom w:val="0"/>
          <w:divBdr>
            <w:top w:val="none" w:sz="0" w:space="0" w:color="auto"/>
            <w:left w:val="none" w:sz="0" w:space="0" w:color="auto"/>
            <w:bottom w:val="none" w:sz="0" w:space="0" w:color="auto"/>
            <w:right w:val="none" w:sz="0" w:space="0" w:color="auto"/>
          </w:divBdr>
        </w:div>
        <w:div w:id="1102258836">
          <w:marLeft w:val="0"/>
          <w:marRight w:val="0"/>
          <w:marTop w:val="0"/>
          <w:marBottom w:val="0"/>
          <w:divBdr>
            <w:top w:val="none" w:sz="0" w:space="0" w:color="auto"/>
            <w:left w:val="none" w:sz="0" w:space="0" w:color="auto"/>
            <w:bottom w:val="none" w:sz="0" w:space="0" w:color="auto"/>
            <w:right w:val="none" w:sz="0" w:space="0" w:color="auto"/>
          </w:divBdr>
        </w:div>
        <w:div w:id="1384407750">
          <w:marLeft w:val="0"/>
          <w:marRight w:val="0"/>
          <w:marTop w:val="0"/>
          <w:marBottom w:val="0"/>
          <w:divBdr>
            <w:top w:val="none" w:sz="0" w:space="0" w:color="auto"/>
            <w:left w:val="none" w:sz="0" w:space="0" w:color="auto"/>
            <w:bottom w:val="none" w:sz="0" w:space="0" w:color="auto"/>
            <w:right w:val="none" w:sz="0" w:space="0" w:color="auto"/>
          </w:divBdr>
        </w:div>
        <w:div w:id="1404176695">
          <w:marLeft w:val="0"/>
          <w:marRight w:val="0"/>
          <w:marTop w:val="0"/>
          <w:marBottom w:val="0"/>
          <w:divBdr>
            <w:top w:val="none" w:sz="0" w:space="0" w:color="auto"/>
            <w:left w:val="none" w:sz="0" w:space="0" w:color="auto"/>
            <w:bottom w:val="none" w:sz="0" w:space="0" w:color="auto"/>
            <w:right w:val="none" w:sz="0" w:space="0" w:color="auto"/>
          </w:divBdr>
        </w:div>
        <w:div w:id="1619068566">
          <w:marLeft w:val="0"/>
          <w:marRight w:val="0"/>
          <w:marTop w:val="0"/>
          <w:marBottom w:val="0"/>
          <w:divBdr>
            <w:top w:val="none" w:sz="0" w:space="0" w:color="auto"/>
            <w:left w:val="none" w:sz="0" w:space="0" w:color="auto"/>
            <w:bottom w:val="none" w:sz="0" w:space="0" w:color="auto"/>
            <w:right w:val="none" w:sz="0" w:space="0" w:color="auto"/>
          </w:divBdr>
        </w:div>
        <w:div w:id="1636183092">
          <w:marLeft w:val="0"/>
          <w:marRight w:val="0"/>
          <w:marTop w:val="0"/>
          <w:marBottom w:val="0"/>
          <w:divBdr>
            <w:top w:val="none" w:sz="0" w:space="0" w:color="auto"/>
            <w:left w:val="none" w:sz="0" w:space="0" w:color="auto"/>
            <w:bottom w:val="none" w:sz="0" w:space="0" w:color="auto"/>
            <w:right w:val="none" w:sz="0" w:space="0" w:color="auto"/>
          </w:divBdr>
        </w:div>
      </w:divsChild>
    </w:div>
    <w:div w:id="700740285">
      <w:bodyDiv w:val="1"/>
      <w:marLeft w:val="0"/>
      <w:marRight w:val="0"/>
      <w:marTop w:val="0"/>
      <w:marBottom w:val="0"/>
      <w:divBdr>
        <w:top w:val="none" w:sz="0" w:space="0" w:color="auto"/>
        <w:left w:val="none" w:sz="0" w:space="0" w:color="auto"/>
        <w:bottom w:val="none" w:sz="0" w:space="0" w:color="auto"/>
        <w:right w:val="none" w:sz="0" w:space="0" w:color="auto"/>
      </w:divBdr>
    </w:div>
    <w:div w:id="908922883">
      <w:bodyDiv w:val="1"/>
      <w:marLeft w:val="0"/>
      <w:marRight w:val="0"/>
      <w:marTop w:val="0"/>
      <w:marBottom w:val="0"/>
      <w:divBdr>
        <w:top w:val="none" w:sz="0" w:space="0" w:color="auto"/>
        <w:left w:val="none" w:sz="0" w:space="0" w:color="auto"/>
        <w:bottom w:val="none" w:sz="0" w:space="0" w:color="auto"/>
        <w:right w:val="none" w:sz="0" w:space="0" w:color="auto"/>
      </w:divBdr>
      <w:divsChild>
        <w:div w:id="361128442">
          <w:marLeft w:val="0"/>
          <w:marRight w:val="0"/>
          <w:marTop w:val="0"/>
          <w:marBottom w:val="0"/>
          <w:divBdr>
            <w:top w:val="none" w:sz="0" w:space="0" w:color="auto"/>
            <w:left w:val="none" w:sz="0" w:space="0" w:color="auto"/>
            <w:bottom w:val="none" w:sz="0" w:space="0" w:color="auto"/>
            <w:right w:val="none" w:sz="0" w:space="0" w:color="auto"/>
          </w:divBdr>
          <w:divsChild>
            <w:div w:id="1408307398">
              <w:marLeft w:val="0"/>
              <w:marRight w:val="0"/>
              <w:marTop w:val="0"/>
              <w:marBottom w:val="0"/>
              <w:divBdr>
                <w:top w:val="none" w:sz="0" w:space="0" w:color="auto"/>
                <w:left w:val="none" w:sz="0" w:space="0" w:color="auto"/>
                <w:bottom w:val="none" w:sz="0" w:space="0" w:color="auto"/>
                <w:right w:val="none" w:sz="0" w:space="0" w:color="auto"/>
              </w:divBdr>
            </w:div>
            <w:div w:id="1564288834">
              <w:marLeft w:val="0"/>
              <w:marRight w:val="0"/>
              <w:marTop w:val="0"/>
              <w:marBottom w:val="0"/>
              <w:divBdr>
                <w:top w:val="none" w:sz="0" w:space="0" w:color="auto"/>
                <w:left w:val="none" w:sz="0" w:space="0" w:color="auto"/>
                <w:bottom w:val="none" w:sz="0" w:space="0" w:color="auto"/>
                <w:right w:val="none" w:sz="0" w:space="0" w:color="auto"/>
              </w:divBdr>
            </w:div>
            <w:div w:id="2105488047">
              <w:marLeft w:val="0"/>
              <w:marRight w:val="0"/>
              <w:marTop w:val="0"/>
              <w:marBottom w:val="0"/>
              <w:divBdr>
                <w:top w:val="none" w:sz="0" w:space="0" w:color="auto"/>
                <w:left w:val="none" w:sz="0" w:space="0" w:color="auto"/>
                <w:bottom w:val="none" w:sz="0" w:space="0" w:color="auto"/>
                <w:right w:val="none" w:sz="0" w:space="0" w:color="auto"/>
              </w:divBdr>
            </w:div>
          </w:divsChild>
        </w:div>
        <w:div w:id="681206248">
          <w:marLeft w:val="0"/>
          <w:marRight w:val="0"/>
          <w:marTop w:val="0"/>
          <w:marBottom w:val="0"/>
          <w:divBdr>
            <w:top w:val="none" w:sz="0" w:space="0" w:color="auto"/>
            <w:left w:val="none" w:sz="0" w:space="0" w:color="auto"/>
            <w:bottom w:val="none" w:sz="0" w:space="0" w:color="auto"/>
            <w:right w:val="none" w:sz="0" w:space="0" w:color="auto"/>
          </w:divBdr>
          <w:divsChild>
            <w:div w:id="47920085">
              <w:marLeft w:val="0"/>
              <w:marRight w:val="0"/>
              <w:marTop w:val="0"/>
              <w:marBottom w:val="0"/>
              <w:divBdr>
                <w:top w:val="none" w:sz="0" w:space="0" w:color="auto"/>
                <w:left w:val="none" w:sz="0" w:space="0" w:color="auto"/>
                <w:bottom w:val="none" w:sz="0" w:space="0" w:color="auto"/>
                <w:right w:val="none" w:sz="0" w:space="0" w:color="auto"/>
              </w:divBdr>
            </w:div>
            <w:div w:id="517475105">
              <w:marLeft w:val="0"/>
              <w:marRight w:val="0"/>
              <w:marTop w:val="0"/>
              <w:marBottom w:val="0"/>
              <w:divBdr>
                <w:top w:val="none" w:sz="0" w:space="0" w:color="auto"/>
                <w:left w:val="none" w:sz="0" w:space="0" w:color="auto"/>
                <w:bottom w:val="none" w:sz="0" w:space="0" w:color="auto"/>
                <w:right w:val="none" w:sz="0" w:space="0" w:color="auto"/>
              </w:divBdr>
            </w:div>
            <w:div w:id="1671178767">
              <w:marLeft w:val="0"/>
              <w:marRight w:val="0"/>
              <w:marTop w:val="0"/>
              <w:marBottom w:val="0"/>
              <w:divBdr>
                <w:top w:val="none" w:sz="0" w:space="0" w:color="auto"/>
                <w:left w:val="none" w:sz="0" w:space="0" w:color="auto"/>
                <w:bottom w:val="none" w:sz="0" w:space="0" w:color="auto"/>
                <w:right w:val="none" w:sz="0" w:space="0" w:color="auto"/>
              </w:divBdr>
            </w:div>
            <w:div w:id="1890531300">
              <w:marLeft w:val="0"/>
              <w:marRight w:val="0"/>
              <w:marTop w:val="0"/>
              <w:marBottom w:val="0"/>
              <w:divBdr>
                <w:top w:val="none" w:sz="0" w:space="0" w:color="auto"/>
                <w:left w:val="none" w:sz="0" w:space="0" w:color="auto"/>
                <w:bottom w:val="none" w:sz="0" w:space="0" w:color="auto"/>
                <w:right w:val="none" w:sz="0" w:space="0" w:color="auto"/>
              </w:divBdr>
            </w:div>
          </w:divsChild>
        </w:div>
        <w:div w:id="1589729476">
          <w:marLeft w:val="0"/>
          <w:marRight w:val="0"/>
          <w:marTop w:val="0"/>
          <w:marBottom w:val="0"/>
          <w:divBdr>
            <w:top w:val="none" w:sz="0" w:space="0" w:color="auto"/>
            <w:left w:val="none" w:sz="0" w:space="0" w:color="auto"/>
            <w:bottom w:val="none" w:sz="0" w:space="0" w:color="auto"/>
            <w:right w:val="none" w:sz="0" w:space="0" w:color="auto"/>
          </w:divBdr>
          <w:divsChild>
            <w:div w:id="1046835559">
              <w:marLeft w:val="0"/>
              <w:marRight w:val="0"/>
              <w:marTop w:val="0"/>
              <w:marBottom w:val="0"/>
              <w:divBdr>
                <w:top w:val="none" w:sz="0" w:space="0" w:color="auto"/>
                <w:left w:val="none" w:sz="0" w:space="0" w:color="auto"/>
                <w:bottom w:val="none" w:sz="0" w:space="0" w:color="auto"/>
                <w:right w:val="none" w:sz="0" w:space="0" w:color="auto"/>
              </w:divBdr>
            </w:div>
            <w:div w:id="1259951384">
              <w:marLeft w:val="0"/>
              <w:marRight w:val="0"/>
              <w:marTop w:val="0"/>
              <w:marBottom w:val="0"/>
              <w:divBdr>
                <w:top w:val="none" w:sz="0" w:space="0" w:color="auto"/>
                <w:left w:val="none" w:sz="0" w:space="0" w:color="auto"/>
                <w:bottom w:val="none" w:sz="0" w:space="0" w:color="auto"/>
                <w:right w:val="none" w:sz="0" w:space="0" w:color="auto"/>
              </w:divBdr>
            </w:div>
            <w:div w:id="1489131965">
              <w:marLeft w:val="0"/>
              <w:marRight w:val="0"/>
              <w:marTop w:val="0"/>
              <w:marBottom w:val="0"/>
              <w:divBdr>
                <w:top w:val="none" w:sz="0" w:space="0" w:color="auto"/>
                <w:left w:val="none" w:sz="0" w:space="0" w:color="auto"/>
                <w:bottom w:val="none" w:sz="0" w:space="0" w:color="auto"/>
                <w:right w:val="none" w:sz="0" w:space="0" w:color="auto"/>
              </w:divBdr>
            </w:div>
            <w:div w:id="1583680167">
              <w:marLeft w:val="0"/>
              <w:marRight w:val="0"/>
              <w:marTop w:val="0"/>
              <w:marBottom w:val="0"/>
              <w:divBdr>
                <w:top w:val="none" w:sz="0" w:space="0" w:color="auto"/>
                <w:left w:val="none" w:sz="0" w:space="0" w:color="auto"/>
                <w:bottom w:val="none" w:sz="0" w:space="0" w:color="auto"/>
                <w:right w:val="none" w:sz="0" w:space="0" w:color="auto"/>
              </w:divBdr>
            </w:div>
            <w:div w:id="1852210748">
              <w:marLeft w:val="0"/>
              <w:marRight w:val="0"/>
              <w:marTop w:val="0"/>
              <w:marBottom w:val="0"/>
              <w:divBdr>
                <w:top w:val="none" w:sz="0" w:space="0" w:color="auto"/>
                <w:left w:val="none" w:sz="0" w:space="0" w:color="auto"/>
                <w:bottom w:val="none" w:sz="0" w:space="0" w:color="auto"/>
                <w:right w:val="none" w:sz="0" w:space="0" w:color="auto"/>
              </w:divBdr>
            </w:div>
          </w:divsChild>
        </w:div>
        <w:div w:id="1643000230">
          <w:marLeft w:val="0"/>
          <w:marRight w:val="0"/>
          <w:marTop w:val="0"/>
          <w:marBottom w:val="0"/>
          <w:divBdr>
            <w:top w:val="none" w:sz="0" w:space="0" w:color="auto"/>
            <w:left w:val="none" w:sz="0" w:space="0" w:color="auto"/>
            <w:bottom w:val="none" w:sz="0" w:space="0" w:color="auto"/>
            <w:right w:val="none" w:sz="0" w:space="0" w:color="auto"/>
          </w:divBdr>
          <w:divsChild>
            <w:div w:id="519438882">
              <w:marLeft w:val="0"/>
              <w:marRight w:val="0"/>
              <w:marTop w:val="0"/>
              <w:marBottom w:val="0"/>
              <w:divBdr>
                <w:top w:val="none" w:sz="0" w:space="0" w:color="auto"/>
                <w:left w:val="none" w:sz="0" w:space="0" w:color="auto"/>
                <w:bottom w:val="none" w:sz="0" w:space="0" w:color="auto"/>
                <w:right w:val="none" w:sz="0" w:space="0" w:color="auto"/>
              </w:divBdr>
            </w:div>
            <w:div w:id="612326141">
              <w:marLeft w:val="0"/>
              <w:marRight w:val="0"/>
              <w:marTop w:val="0"/>
              <w:marBottom w:val="0"/>
              <w:divBdr>
                <w:top w:val="none" w:sz="0" w:space="0" w:color="auto"/>
                <w:left w:val="none" w:sz="0" w:space="0" w:color="auto"/>
                <w:bottom w:val="none" w:sz="0" w:space="0" w:color="auto"/>
                <w:right w:val="none" w:sz="0" w:space="0" w:color="auto"/>
              </w:divBdr>
            </w:div>
            <w:div w:id="731125406">
              <w:marLeft w:val="0"/>
              <w:marRight w:val="0"/>
              <w:marTop w:val="0"/>
              <w:marBottom w:val="0"/>
              <w:divBdr>
                <w:top w:val="none" w:sz="0" w:space="0" w:color="auto"/>
                <w:left w:val="none" w:sz="0" w:space="0" w:color="auto"/>
                <w:bottom w:val="none" w:sz="0" w:space="0" w:color="auto"/>
                <w:right w:val="none" w:sz="0" w:space="0" w:color="auto"/>
              </w:divBdr>
            </w:div>
            <w:div w:id="975569723">
              <w:marLeft w:val="0"/>
              <w:marRight w:val="0"/>
              <w:marTop w:val="0"/>
              <w:marBottom w:val="0"/>
              <w:divBdr>
                <w:top w:val="none" w:sz="0" w:space="0" w:color="auto"/>
                <w:left w:val="none" w:sz="0" w:space="0" w:color="auto"/>
                <w:bottom w:val="none" w:sz="0" w:space="0" w:color="auto"/>
                <w:right w:val="none" w:sz="0" w:space="0" w:color="auto"/>
              </w:divBdr>
            </w:div>
            <w:div w:id="1181965518">
              <w:marLeft w:val="0"/>
              <w:marRight w:val="0"/>
              <w:marTop w:val="0"/>
              <w:marBottom w:val="0"/>
              <w:divBdr>
                <w:top w:val="none" w:sz="0" w:space="0" w:color="auto"/>
                <w:left w:val="none" w:sz="0" w:space="0" w:color="auto"/>
                <w:bottom w:val="none" w:sz="0" w:space="0" w:color="auto"/>
                <w:right w:val="none" w:sz="0" w:space="0" w:color="auto"/>
              </w:divBdr>
            </w:div>
          </w:divsChild>
        </w:div>
        <w:div w:id="2057774457">
          <w:marLeft w:val="0"/>
          <w:marRight w:val="0"/>
          <w:marTop w:val="0"/>
          <w:marBottom w:val="0"/>
          <w:divBdr>
            <w:top w:val="none" w:sz="0" w:space="0" w:color="auto"/>
            <w:left w:val="none" w:sz="0" w:space="0" w:color="auto"/>
            <w:bottom w:val="none" w:sz="0" w:space="0" w:color="auto"/>
            <w:right w:val="none" w:sz="0" w:space="0" w:color="auto"/>
          </w:divBdr>
          <w:divsChild>
            <w:div w:id="589001619">
              <w:marLeft w:val="0"/>
              <w:marRight w:val="0"/>
              <w:marTop w:val="0"/>
              <w:marBottom w:val="0"/>
              <w:divBdr>
                <w:top w:val="none" w:sz="0" w:space="0" w:color="auto"/>
                <w:left w:val="none" w:sz="0" w:space="0" w:color="auto"/>
                <w:bottom w:val="none" w:sz="0" w:space="0" w:color="auto"/>
                <w:right w:val="none" w:sz="0" w:space="0" w:color="auto"/>
              </w:divBdr>
            </w:div>
            <w:div w:id="1122265582">
              <w:marLeft w:val="0"/>
              <w:marRight w:val="0"/>
              <w:marTop w:val="0"/>
              <w:marBottom w:val="0"/>
              <w:divBdr>
                <w:top w:val="none" w:sz="0" w:space="0" w:color="auto"/>
                <w:left w:val="none" w:sz="0" w:space="0" w:color="auto"/>
                <w:bottom w:val="none" w:sz="0" w:space="0" w:color="auto"/>
                <w:right w:val="none" w:sz="0" w:space="0" w:color="auto"/>
              </w:divBdr>
            </w:div>
            <w:div w:id="1132213904">
              <w:marLeft w:val="0"/>
              <w:marRight w:val="0"/>
              <w:marTop w:val="0"/>
              <w:marBottom w:val="0"/>
              <w:divBdr>
                <w:top w:val="none" w:sz="0" w:space="0" w:color="auto"/>
                <w:left w:val="none" w:sz="0" w:space="0" w:color="auto"/>
                <w:bottom w:val="none" w:sz="0" w:space="0" w:color="auto"/>
                <w:right w:val="none" w:sz="0" w:space="0" w:color="auto"/>
              </w:divBdr>
            </w:div>
            <w:div w:id="1352292521">
              <w:marLeft w:val="0"/>
              <w:marRight w:val="0"/>
              <w:marTop w:val="0"/>
              <w:marBottom w:val="0"/>
              <w:divBdr>
                <w:top w:val="none" w:sz="0" w:space="0" w:color="auto"/>
                <w:left w:val="none" w:sz="0" w:space="0" w:color="auto"/>
                <w:bottom w:val="none" w:sz="0" w:space="0" w:color="auto"/>
                <w:right w:val="none" w:sz="0" w:space="0" w:color="auto"/>
              </w:divBdr>
            </w:div>
            <w:div w:id="20198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412">
      <w:bodyDiv w:val="1"/>
      <w:marLeft w:val="0"/>
      <w:marRight w:val="0"/>
      <w:marTop w:val="0"/>
      <w:marBottom w:val="0"/>
      <w:divBdr>
        <w:top w:val="none" w:sz="0" w:space="0" w:color="auto"/>
        <w:left w:val="none" w:sz="0" w:space="0" w:color="auto"/>
        <w:bottom w:val="none" w:sz="0" w:space="0" w:color="auto"/>
        <w:right w:val="none" w:sz="0" w:space="0" w:color="auto"/>
      </w:divBdr>
    </w:div>
    <w:div w:id="1067531661">
      <w:bodyDiv w:val="1"/>
      <w:marLeft w:val="0"/>
      <w:marRight w:val="0"/>
      <w:marTop w:val="0"/>
      <w:marBottom w:val="0"/>
      <w:divBdr>
        <w:top w:val="none" w:sz="0" w:space="0" w:color="auto"/>
        <w:left w:val="none" w:sz="0" w:space="0" w:color="auto"/>
        <w:bottom w:val="none" w:sz="0" w:space="0" w:color="auto"/>
        <w:right w:val="none" w:sz="0" w:space="0" w:color="auto"/>
      </w:divBdr>
    </w:div>
    <w:div w:id="1116952049">
      <w:bodyDiv w:val="1"/>
      <w:marLeft w:val="0"/>
      <w:marRight w:val="0"/>
      <w:marTop w:val="0"/>
      <w:marBottom w:val="0"/>
      <w:divBdr>
        <w:top w:val="none" w:sz="0" w:space="0" w:color="auto"/>
        <w:left w:val="none" w:sz="0" w:space="0" w:color="auto"/>
        <w:bottom w:val="none" w:sz="0" w:space="0" w:color="auto"/>
        <w:right w:val="none" w:sz="0" w:space="0" w:color="auto"/>
      </w:divBdr>
    </w:div>
    <w:div w:id="1186409966">
      <w:bodyDiv w:val="1"/>
      <w:marLeft w:val="0"/>
      <w:marRight w:val="0"/>
      <w:marTop w:val="0"/>
      <w:marBottom w:val="0"/>
      <w:divBdr>
        <w:top w:val="none" w:sz="0" w:space="0" w:color="auto"/>
        <w:left w:val="none" w:sz="0" w:space="0" w:color="auto"/>
        <w:bottom w:val="none" w:sz="0" w:space="0" w:color="auto"/>
        <w:right w:val="none" w:sz="0" w:space="0" w:color="auto"/>
      </w:divBdr>
      <w:divsChild>
        <w:div w:id="358513108">
          <w:marLeft w:val="0"/>
          <w:marRight w:val="0"/>
          <w:marTop w:val="0"/>
          <w:marBottom w:val="0"/>
          <w:divBdr>
            <w:top w:val="none" w:sz="0" w:space="0" w:color="auto"/>
            <w:left w:val="none" w:sz="0" w:space="0" w:color="auto"/>
            <w:bottom w:val="none" w:sz="0" w:space="0" w:color="auto"/>
            <w:right w:val="none" w:sz="0" w:space="0" w:color="auto"/>
          </w:divBdr>
        </w:div>
        <w:div w:id="505242759">
          <w:marLeft w:val="0"/>
          <w:marRight w:val="0"/>
          <w:marTop w:val="0"/>
          <w:marBottom w:val="0"/>
          <w:divBdr>
            <w:top w:val="none" w:sz="0" w:space="0" w:color="auto"/>
            <w:left w:val="none" w:sz="0" w:space="0" w:color="auto"/>
            <w:bottom w:val="none" w:sz="0" w:space="0" w:color="auto"/>
            <w:right w:val="none" w:sz="0" w:space="0" w:color="auto"/>
          </w:divBdr>
        </w:div>
        <w:div w:id="654796111">
          <w:marLeft w:val="0"/>
          <w:marRight w:val="0"/>
          <w:marTop w:val="0"/>
          <w:marBottom w:val="0"/>
          <w:divBdr>
            <w:top w:val="none" w:sz="0" w:space="0" w:color="auto"/>
            <w:left w:val="none" w:sz="0" w:space="0" w:color="auto"/>
            <w:bottom w:val="none" w:sz="0" w:space="0" w:color="auto"/>
            <w:right w:val="none" w:sz="0" w:space="0" w:color="auto"/>
          </w:divBdr>
        </w:div>
        <w:div w:id="938299516">
          <w:marLeft w:val="0"/>
          <w:marRight w:val="0"/>
          <w:marTop w:val="0"/>
          <w:marBottom w:val="0"/>
          <w:divBdr>
            <w:top w:val="none" w:sz="0" w:space="0" w:color="auto"/>
            <w:left w:val="none" w:sz="0" w:space="0" w:color="auto"/>
            <w:bottom w:val="none" w:sz="0" w:space="0" w:color="auto"/>
            <w:right w:val="none" w:sz="0" w:space="0" w:color="auto"/>
          </w:divBdr>
        </w:div>
        <w:div w:id="1638140739">
          <w:marLeft w:val="0"/>
          <w:marRight w:val="0"/>
          <w:marTop w:val="0"/>
          <w:marBottom w:val="0"/>
          <w:divBdr>
            <w:top w:val="none" w:sz="0" w:space="0" w:color="auto"/>
            <w:left w:val="none" w:sz="0" w:space="0" w:color="auto"/>
            <w:bottom w:val="none" w:sz="0" w:space="0" w:color="auto"/>
            <w:right w:val="none" w:sz="0" w:space="0" w:color="auto"/>
          </w:divBdr>
        </w:div>
      </w:divsChild>
    </w:div>
    <w:div w:id="1411777686">
      <w:bodyDiv w:val="1"/>
      <w:marLeft w:val="0"/>
      <w:marRight w:val="0"/>
      <w:marTop w:val="0"/>
      <w:marBottom w:val="0"/>
      <w:divBdr>
        <w:top w:val="none" w:sz="0" w:space="0" w:color="auto"/>
        <w:left w:val="none" w:sz="0" w:space="0" w:color="auto"/>
        <w:bottom w:val="none" w:sz="0" w:space="0" w:color="auto"/>
        <w:right w:val="none" w:sz="0" w:space="0" w:color="auto"/>
      </w:divBdr>
    </w:div>
    <w:div w:id="1485052037">
      <w:bodyDiv w:val="1"/>
      <w:marLeft w:val="0"/>
      <w:marRight w:val="0"/>
      <w:marTop w:val="0"/>
      <w:marBottom w:val="0"/>
      <w:divBdr>
        <w:top w:val="none" w:sz="0" w:space="0" w:color="auto"/>
        <w:left w:val="none" w:sz="0" w:space="0" w:color="auto"/>
        <w:bottom w:val="none" w:sz="0" w:space="0" w:color="auto"/>
        <w:right w:val="none" w:sz="0" w:space="0" w:color="auto"/>
      </w:divBdr>
    </w:div>
    <w:div w:id="1493253456">
      <w:bodyDiv w:val="1"/>
      <w:marLeft w:val="0"/>
      <w:marRight w:val="0"/>
      <w:marTop w:val="0"/>
      <w:marBottom w:val="0"/>
      <w:divBdr>
        <w:top w:val="none" w:sz="0" w:space="0" w:color="auto"/>
        <w:left w:val="none" w:sz="0" w:space="0" w:color="auto"/>
        <w:bottom w:val="none" w:sz="0" w:space="0" w:color="auto"/>
        <w:right w:val="none" w:sz="0" w:space="0" w:color="auto"/>
      </w:divBdr>
    </w:div>
    <w:div w:id="1606645210">
      <w:bodyDiv w:val="1"/>
      <w:marLeft w:val="0"/>
      <w:marRight w:val="0"/>
      <w:marTop w:val="0"/>
      <w:marBottom w:val="0"/>
      <w:divBdr>
        <w:top w:val="none" w:sz="0" w:space="0" w:color="auto"/>
        <w:left w:val="none" w:sz="0" w:space="0" w:color="auto"/>
        <w:bottom w:val="none" w:sz="0" w:space="0" w:color="auto"/>
        <w:right w:val="none" w:sz="0" w:space="0" w:color="auto"/>
      </w:divBdr>
    </w:div>
    <w:div w:id="1614941056">
      <w:bodyDiv w:val="1"/>
      <w:marLeft w:val="0"/>
      <w:marRight w:val="0"/>
      <w:marTop w:val="0"/>
      <w:marBottom w:val="0"/>
      <w:divBdr>
        <w:top w:val="none" w:sz="0" w:space="0" w:color="auto"/>
        <w:left w:val="none" w:sz="0" w:space="0" w:color="auto"/>
        <w:bottom w:val="none" w:sz="0" w:space="0" w:color="auto"/>
        <w:right w:val="none" w:sz="0" w:space="0" w:color="auto"/>
      </w:divBdr>
      <w:divsChild>
        <w:div w:id="1430615194">
          <w:marLeft w:val="0"/>
          <w:marRight w:val="0"/>
          <w:marTop w:val="0"/>
          <w:marBottom w:val="0"/>
          <w:divBdr>
            <w:top w:val="none" w:sz="0" w:space="0" w:color="auto"/>
            <w:left w:val="none" w:sz="0" w:space="0" w:color="auto"/>
            <w:bottom w:val="none" w:sz="0" w:space="0" w:color="auto"/>
            <w:right w:val="none" w:sz="0" w:space="0" w:color="auto"/>
          </w:divBdr>
        </w:div>
        <w:div w:id="1687754786">
          <w:marLeft w:val="0"/>
          <w:marRight w:val="0"/>
          <w:marTop w:val="0"/>
          <w:marBottom w:val="0"/>
          <w:divBdr>
            <w:top w:val="none" w:sz="0" w:space="0" w:color="auto"/>
            <w:left w:val="none" w:sz="0" w:space="0" w:color="auto"/>
            <w:bottom w:val="none" w:sz="0" w:space="0" w:color="auto"/>
            <w:right w:val="none" w:sz="0" w:space="0" w:color="auto"/>
          </w:divBdr>
        </w:div>
        <w:div w:id="1951813530">
          <w:marLeft w:val="0"/>
          <w:marRight w:val="0"/>
          <w:marTop w:val="0"/>
          <w:marBottom w:val="0"/>
          <w:divBdr>
            <w:top w:val="none" w:sz="0" w:space="0" w:color="auto"/>
            <w:left w:val="none" w:sz="0" w:space="0" w:color="auto"/>
            <w:bottom w:val="none" w:sz="0" w:space="0" w:color="auto"/>
            <w:right w:val="none" w:sz="0" w:space="0" w:color="auto"/>
          </w:divBdr>
        </w:div>
      </w:divsChild>
    </w:div>
    <w:div w:id="1698433418">
      <w:bodyDiv w:val="1"/>
      <w:marLeft w:val="0"/>
      <w:marRight w:val="0"/>
      <w:marTop w:val="0"/>
      <w:marBottom w:val="0"/>
      <w:divBdr>
        <w:top w:val="none" w:sz="0" w:space="0" w:color="auto"/>
        <w:left w:val="none" w:sz="0" w:space="0" w:color="auto"/>
        <w:bottom w:val="none" w:sz="0" w:space="0" w:color="auto"/>
        <w:right w:val="none" w:sz="0" w:space="0" w:color="auto"/>
      </w:divBdr>
    </w:div>
    <w:div w:id="1749766626">
      <w:bodyDiv w:val="1"/>
      <w:marLeft w:val="0"/>
      <w:marRight w:val="0"/>
      <w:marTop w:val="0"/>
      <w:marBottom w:val="0"/>
      <w:divBdr>
        <w:top w:val="none" w:sz="0" w:space="0" w:color="auto"/>
        <w:left w:val="none" w:sz="0" w:space="0" w:color="auto"/>
        <w:bottom w:val="none" w:sz="0" w:space="0" w:color="auto"/>
        <w:right w:val="none" w:sz="0" w:space="0" w:color="auto"/>
      </w:divBdr>
    </w:div>
    <w:div w:id="1762943412">
      <w:bodyDiv w:val="1"/>
      <w:marLeft w:val="0"/>
      <w:marRight w:val="0"/>
      <w:marTop w:val="0"/>
      <w:marBottom w:val="0"/>
      <w:divBdr>
        <w:top w:val="none" w:sz="0" w:space="0" w:color="auto"/>
        <w:left w:val="none" w:sz="0" w:space="0" w:color="auto"/>
        <w:bottom w:val="none" w:sz="0" w:space="0" w:color="auto"/>
        <w:right w:val="none" w:sz="0" w:space="0" w:color="auto"/>
      </w:divBdr>
    </w:div>
    <w:div w:id="1781219020">
      <w:bodyDiv w:val="1"/>
      <w:marLeft w:val="0"/>
      <w:marRight w:val="0"/>
      <w:marTop w:val="0"/>
      <w:marBottom w:val="0"/>
      <w:divBdr>
        <w:top w:val="none" w:sz="0" w:space="0" w:color="auto"/>
        <w:left w:val="none" w:sz="0" w:space="0" w:color="auto"/>
        <w:bottom w:val="none" w:sz="0" w:space="0" w:color="auto"/>
        <w:right w:val="none" w:sz="0" w:space="0" w:color="auto"/>
      </w:divBdr>
    </w:div>
    <w:div w:id="1789930278">
      <w:bodyDiv w:val="1"/>
      <w:marLeft w:val="0"/>
      <w:marRight w:val="0"/>
      <w:marTop w:val="0"/>
      <w:marBottom w:val="0"/>
      <w:divBdr>
        <w:top w:val="none" w:sz="0" w:space="0" w:color="auto"/>
        <w:left w:val="none" w:sz="0" w:space="0" w:color="auto"/>
        <w:bottom w:val="none" w:sz="0" w:space="0" w:color="auto"/>
        <w:right w:val="none" w:sz="0" w:space="0" w:color="auto"/>
      </w:divBdr>
    </w:div>
    <w:div w:id="1819110514">
      <w:bodyDiv w:val="1"/>
      <w:marLeft w:val="0"/>
      <w:marRight w:val="0"/>
      <w:marTop w:val="0"/>
      <w:marBottom w:val="0"/>
      <w:divBdr>
        <w:top w:val="none" w:sz="0" w:space="0" w:color="auto"/>
        <w:left w:val="none" w:sz="0" w:space="0" w:color="auto"/>
        <w:bottom w:val="none" w:sz="0" w:space="0" w:color="auto"/>
        <w:right w:val="none" w:sz="0" w:space="0" w:color="auto"/>
      </w:divBdr>
    </w:div>
    <w:div w:id="1827627360">
      <w:bodyDiv w:val="1"/>
      <w:marLeft w:val="0"/>
      <w:marRight w:val="0"/>
      <w:marTop w:val="0"/>
      <w:marBottom w:val="0"/>
      <w:divBdr>
        <w:top w:val="none" w:sz="0" w:space="0" w:color="auto"/>
        <w:left w:val="none" w:sz="0" w:space="0" w:color="auto"/>
        <w:bottom w:val="none" w:sz="0" w:space="0" w:color="auto"/>
        <w:right w:val="none" w:sz="0" w:space="0" w:color="auto"/>
      </w:divBdr>
      <w:divsChild>
        <w:div w:id="572205964">
          <w:marLeft w:val="0"/>
          <w:marRight w:val="0"/>
          <w:marTop w:val="0"/>
          <w:marBottom w:val="0"/>
          <w:divBdr>
            <w:top w:val="none" w:sz="0" w:space="0" w:color="auto"/>
            <w:left w:val="none" w:sz="0" w:space="0" w:color="auto"/>
            <w:bottom w:val="none" w:sz="0" w:space="0" w:color="auto"/>
            <w:right w:val="none" w:sz="0" w:space="0" w:color="auto"/>
          </w:divBdr>
          <w:divsChild>
            <w:div w:id="308245306">
              <w:marLeft w:val="0"/>
              <w:marRight w:val="0"/>
              <w:marTop w:val="0"/>
              <w:marBottom w:val="0"/>
              <w:divBdr>
                <w:top w:val="none" w:sz="0" w:space="0" w:color="auto"/>
                <w:left w:val="none" w:sz="0" w:space="0" w:color="auto"/>
                <w:bottom w:val="none" w:sz="0" w:space="0" w:color="auto"/>
                <w:right w:val="none" w:sz="0" w:space="0" w:color="auto"/>
              </w:divBdr>
            </w:div>
            <w:div w:id="351303722">
              <w:marLeft w:val="0"/>
              <w:marRight w:val="0"/>
              <w:marTop w:val="0"/>
              <w:marBottom w:val="0"/>
              <w:divBdr>
                <w:top w:val="none" w:sz="0" w:space="0" w:color="auto"/>
                <w:left w:val="none" w:sz="0" w:space="0" w:color="auto"/>
                <w:bottom w:val="none" w:sz="0" w:space="0" w:color="auto"/>
                <w:right w:val="none" w:sz="0" w:space="0" w:color="auto"/>
              </w:divBdr>
            </w:div>
            <w:div w:id="1309363725">
              <w:marLeft w:val="0"/>
              <w:marRight w:val="0"/>
              <w:marTop w:val="0"/>
              <w:marBottom w:val="0"/>
              <w:divBdr>
                <w:top w:val="none" w:sz="0" w:space="0" w:color="auto"/>
                <w:left w:val="none" w:sz="0" w:space="0" w:color="auto"/>
                <w:bottom w:val="none" w:sz="0" w:space="0" w:color="auto"/>
                <w:right w:val="none" w:sz="0" w:space="0" w:color="auto"/>
              </w:divBdr>
            </w:div>
            <w:div w:id="1458794466">
              <w:marLeft w:val="0"/>
              <w:marRight w:val="0"/>
              <w:marTop w:val="0"/>
              <w:marBottom w:val="0"/>
              <w:divBdr>
                <w:top w:val="none" w:sz="0" w:space="0" w:color="auto"/>
                <w:left w:val="none" w:sz="0" w:space="0" w:color="auto"/>
                <w:bottom w:val="none" w:sz="0" w:space="0" w:color="auto"/>
                <w:right w:val="none" w:sz="0" w:space="0" w:color="auto"/>
              </w:divBdr>
            </w:div>
          </w:divsChild>
        </w:div>
        <w:div w:id="749084820">
          <w:marLeft w:val="0"/>
          <w:marRight w:val="0"/>
          <w:marTop w:val="0"/>
          <w:marBottom w:val="0"/>
          <w:divBdr>
            <w:top w:val="none" w:sz="0" w:space="0" w:color="auto"/>
            <w:left w:val="none" w:sz="0" w:space="0" w:color="auto"/>
            <w:bottom w:val="none" w:sz="0" w:space="0" w:color="auto"/>
            <w:right w:val="none" w:sz="0" w:space="0" w:color="auto"/>
          </w:divBdr>
          <w:divsChild>
            <w:div w:id="691347035">
              <w:marLeft w:val="0"/>
              <w:marRight w:val="0"/>
              <w:marTop w:val="0"/>
              <w:marBottom w:val="0"/>
              <w:divBdr>
                <w:top w:val="none" w:sz="0" w:space="0" w:color="auto"/>
                <w:left w:val="none" w:sz="0" w:space="0" w:color="auto"/>
                <w:bottom w:val="none" w:sz="0" w:space="0" w:color="auto"/>
                <w:right w:val="none" w:sz="0" w:space="0" w:color="auto"/>
              </w:divBdr>
            </w:div>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551">
      <w:bodyDiv w:val="1"/>
      <w:marLeft w:val="0"/>
      <w:marRight w:val="0"/>
      <w:marTop w:val="0"/>
      <w:marBottom w:val="0"/>
      <w:divBdr>
        <w:top w:val="none" w:sz="0" w:space="0" w:color="auto"/>
        <w:left w:val="none" w:sz="0" w:space="0" w:color="auto"/>
        <w:bottom w:val="none" w:sz="0" w:space="0" w:color="auto"/>
        <w:right w:val="none" w:sz="0" w:space="0" w:color="auto"/>
      </w:divBdr>
      <w:divsChild>
        <w:div w:id="1354763964">
          <w:marLeft w:val="0"/>
          <w:marRight w:val="0"/>
          <w:marTop w:val="0"/>
          <w:marBottom w:val="0"/>
          <w:divBdr>
            <w:top w:val="none" w:sz="0" w:space="0" w:color="auto"/>
            <w:left w:val="none" w:sz="0" w:space="0" w:color="auto"/>
            <w:bottom w:val="none" w:sz="0" w:space="0" w:color="auto"/>
            <w:right w:val="none" w:sz="0" w:space="0" w:color="auto"/>
          </w:divBdr>
        </w:div>
        <w:div w:id="1378815676">
          <w:marLeft w:val="0"/>
          <w:marRight w:val="0"/>
          <w:marTop w:val="0"/>
          <w:marBottom w:val="0"/>
          <w:divBdr>
            <w:top w:val="none" w:sz="0" w:space="0" w:color="auto"/>
            <w:left w:val="none" w:sz="0" w:space="0" w:color="auto"/>
            <w:bottom w:val="none" w:sz="0" w:space="0" w:color="auto"/>
            <w:right w:val="none" w:sz="0" w:space="0" w:color="auto"/>
          </w:divBdr>
        </w:div>
        <w:div w:id="1389764210">
          <w:marLeft w:val="0"/>
          <w:marRight w:val="0"/>
          <w:marTop w:val="0"/>
          <w:marBottom w:val="0"/>
          <w:divBdr>
            <w:top w:val="none" w:sz="0" w:space="0" w:color="auto"/>
            <w:left w:val="none" w:sz="0" w:space="0" w:color="auto"/>
            <w:bottom w:val="none" w:sz="0" w:space="0" w:color="auto"/>
            <w:right w:val="none" w:sz="0" w:space="0" w:color="auto"/>
          </w:divBdr>
        </w:div>
        <w:div w:id="1634170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ubscribecpuc.cpuc.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ess_office@cpuc.c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ublic.advisor@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file:///C:/Users/pd1/Desktop/consumers.cpuc.ca.gov/pa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nnl.gov/grid-architecture" TargetMode="External"/><Relationship Id="rId13" Type="http://schemas.openxmlformats.org/officeDocument/2006/relationships/hyperlink" Target="https://www.cpuc.ca.gov/zev" TargetMode="External"/><Relationship Id="rId3" Type="http://schemas.openxmlformats.org/officeDocument/2006/relationships/hyperlink" Target="https://ltmdrpep.sce.com/drpep" TargetMode="External"/><Relationship Id="rId7" Type="http://schemas.openxmlformats.org/officeDocument/2006/relationships/hyperlink" Target="https://gridworks.org/wpcontent/uploads/2018/11/MoreThanSmartReportCoordinatingTransmission_DistributionGridOperations.pdf" TargetMode="External"/><Relationship Id="rId12" Type="http://schemas.openxmlformats.org/officeDocument/2006/relationships/hyperlink" Target="https://www.cpuc.ca.gov/zev" TargetMode="External"/><Relationship Id="rId2" Type="http://schemas.openxmlformats.org/officeDocument/2006/relationships/hyperlink" Target="https://www.sdge.com/more-information/customer-generation/enhanced-integration-capacity-analysis-ica" TargetMode="External"/><Relationship Id="rId1" Type="http://schemas.openxmlformats.org/officeDocument/2006/relationships/hyperlink" Target="https://www.pge.com/en_US/for-our-business-partners/distribution-resource-planning/distribution-resource-planning-data-portal.page" TargetMode="External"/><Relationship Id="rId6" Type="http://schemas.openxmlformats.org/officeDocument/2006/relationships/hyperlink" Target="https://www.cpuc.ca.gov/esjactionplan" TargetMode="External"/><Relationship Id="rId11" Type="http://schemas.openxmlformats.org/officeDocument/2006/relationships/hyperlink" Target="https://gridworks.org/wp-content/uploads/2020/09/GW_VehicleGrid-Integration-Working-Group.pdf" TargetMode="External"/><Relationship Id="rId5" Type="http://schemas.openxmlformats.org/officeDocument/2006/relationships/hyperlink" Target="https://www.cpuc.ca.gov/General.aspx?id=6442467418" TargetMode="External"/><Relationship Id="rId15" Type="http://schemas.openxmlformats.org/officeDocument/2006/relationships/hyperlink" Target="https://www.energy.ca.gov/sb100" TargetMode="External"/><Relationship Id="rId10" Type="http://schemas.openxmlformats.org/officeDocument/2006/relationships/hyperlink" Target="https://energyathaas.wordpress.com/2021/02/08/distribution-costs-and-distributed-generation" TargetMode="External"/><Relationship Id="rId4" Type="http://schemas.openxmlformats.org/officeDocument/2006/relationships/hyperlink" Target="https://efiling.energy.ca.gov/GetDocument.aspx?tn=228787-14&amp;DocumentContentId=60075" TargetMode="External"/><Relationship Id="rId9" Type="http://schemas.openxmlformats.org/officeDocument/2006/relationships/hyperlink" Target="https://puc.hawaii.gov/wp-content/uploads/2020/12/PBR-Phase-2-DO.Page-Press-Release.Final_.12-22-2020.pdf" TargetMode="External"/><Relationship Id="rId14" Type="http://schemas.openxmlformats.org/officeDocument/2006/relationships/hyperlink" Target="https://gridworks.org/wp-content/uploads/2020/08/R21-WG4-Final-Report.pdf" TargetMode="External"/></Relationships>
</file>

<file path=word/documenttasks/documenttasks1.xml><?xml version="1.0" encoding="utf-8"?>
<t:Tasks xmlns:t="http://schemas.microsoft.com/office/tasks/2019/documenttasks" xmlns:oel="http://schemas.microsoft.com/office/2019/extlst">
  <t:Task id="{7C1FE165-C6BE-4B52-929D-ED611DAC3F65}">
    <t:Anchor>
      <t:Comment id="2048354888"/>
    </t:Anchor>
    <t:History>
      <t:Event id="{C9AC85DC-1596-45E0-803B-9E2D75C3299D}" time="2021-03-22T21:13:16Z">
        <t:Attribution userId="S::gabriel.petlin@cpuc.ca.gov::acdc109c-6cda-4721-8e45-bc15709e48dd" userProvider="AD" userName="Petlin, Gabriel"/>
        <t:Anchor>
          <t:Comment id="2048354888"/>
        </t:Anchor>
        <t:Create/>
      </t:Event>
      <t:Event id="{664FF47B-B425-44AD-BA8C-ADBC5344FC07}" time="2021-03-22T21:13:16Z">
        <t:Attribution userId="S::gabriel.petlin@cpuc.ca.gov::acdc109c-6cda-4721-8e45-bc15709e48dd" userProvider="AD" userName="Petlin, Gabriel"/>
        <t:Anchor>
          <t:Comment id="2048354888"/>
        </t:Anchor>
        <t:Assign userId="S::Robert.Peterson@cpuc.ca.gov::06ff597d-b4d3-4be1-bdc7-381c418d83be" userProvider="AD" userName="Peterson, Robert"/>
      </t:Event>
      <t:Event id="{03B3F982-FC2D-4FCA-A0F1-1CC53A37DED4}" time="2021-03-22T21:13:16Z">
        <t:Attribution userId="S::gabriel.petlin@cpuc.ca.gov::acdc109c-6cda-4721-8e45-bc15709e48dd" userProvider="AD" userName="Petlin, Gabriel"/>
        <t:Anchor>
          <t:Comment id="2048354888"/>
        </t:Anchor>
        <t:SetTitle title="@Peterson, Robert could clarify the intent of the question. We do this in DIDF. Are you asking how else besides DIDF can this happen?"/>
      </t:Event>
    </t:History>
  </t:Task>
  <t:Task id="{7238753E-9EFB-42A1-B01D-5CE6BAE02278}">
    <t:Anchor>
      <t:Comment id="1146894754"/>
    </t:Anchor>
    <t:History>
      <t:Event id="{D488E2F4-1463-49F9-8DD0-B604CCB4E55B}" time="2021-03-22T21:14:35Z">
        <t:Attribution userId="S::gabriel.petlin@cpuc.ca.gov::acdc109c-6cda-4721-8e45-bc15709e48dd" userProvider="AD" userName="Petlin, Gabriel"/>
        <t:Anchor>
          <t:Comment id="1146894754"/>
        </t:Anchor>
        <t:Create/>
      </t:Event>
      <t:Event id="{B3910FE1-1D5D-409A-B732-1459AF9A1915}" time="2021-03-22T21:14:35Z">
        <t:Attribution userId="S::gabriel.petlin@cpuc.ca.gov::acdc109c-6cda-4721-8e45-bc15709e48dd" userProvider="AD" userName="Petlin, Gabriel"/>
        <t:Anchor>
          <t:Comment id="1146894754"/>
        </t:Anchor>
        <t:Assign userId="S::Robert.Peterson@cpuc.ca.gov::06ff597d-b4d3-4be1-bdc7-381c418d83be" userProvider="AD" userName="Peterson, Robert"/>
      </t:Event>
      <t:Event id="{0E973B0E-FCEE-43D0-A8B8-FD079AF84F48}" time="2021-03-22T21:14:35Z">
        <t:Attribution userId="S::gabriel.petlin@cpuc.ca.gov::acdc109c-6cda-4721-8e45-bc15709e48dd" userProvider="AD" userName="Petlin, Gabriel"/>
        <t:Anchor>
          <t:Comment id="1146894754"/>
        </t:Anchor>
        <t:SetTitle title="@Peterson, Robert towards what end is this question being asked. Could be more specifi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F8E0C48F2D4244B303AC556DC5783C" ma:contentTypeVersion="10" ma:contentTypeDescription="Create a new document." ma:contentTypeScope="" ma:versionID="c58b82b758260f93fc3681ced986c395">
  <xsd:schema xmlns:xsd="http://www.w3.org/2001/XMLSchema" xmlns:xs="http://www.w3.org/2001/XMLSchema" xmlns:p="http://schemas.microsoft.com/office/2006/metadata/properties" xmlns:ns2="d5acfb97-b211-45c7-8243-1d2d0849a543" xmlns:ns3="502a3142-df8d-4560-8aaf-77fd2646a3b6" targetNamespace="http://schemas.microsoft.com/office/2006/metadata/properties" ma:root="true" ma:fieldsID="dd000c66773e1cbb3bce5b5fe8be4491" ns2:_="" ns3:_="">
    <xsd:import namespace="d5acfb97-b211-45c7-8243-1d2d0849a543"/>
    <xsd:import namespace="502a3142-df8d-4560-8aaf-77fd2646a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fb97-b211-45c7-8243-1d2d0849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a3142-df8d-4560-8aaf-77fd2646a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0A123-60CD-4005-AF95-CCA924D44D0C}">
  <ds:schemaRefs>
    <ds:schemaRef ds:uri="http://schemas.openxmlformats.org/officeDocument/2006/bibliography"/>
  </ds:schemaRefs>
</ds:datastoreItem>
</file>

<file path=customXml/itemProps2.xml><?xml version="1.0" encoding="utf-8"?>
<ds:datastoreItem xmlns:ds="http://schemas.openxmlformats.org/officeDocument/2006/customXml" ds:itemID="{F13E9EF2-69AD-4484-B800-17725B85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fb97-b211-45c7-8243-1d2d0849a543"/>
    <ds:schemaRef ds:uri="502a3142-df8d-4560-8aaf-77fd2646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DC1EB-C0C3-45B5-9B19-EAF619749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C0C5DC-197F-440A-BDF6-C3A37F36780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38</ap:Pages>
  <ap:Words>7747</ap:Words>
  <ap:Characters>44163</ap:Characters>
  <ap:Application>Microsoft Office Word</ap:Application>
  <ap:DocSecurity>0</ap:DocSecurity>
  <ap:Lines>368</ap:Lines>
  <ap:Paragraphs>103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51807</ap:CharactersWithSpaces>
  <ap:SharedDoc>false</ap:SharedDoc>
  <ap:HLinks>
    <vt:vector baseType="variant" size="240">
      <vt:variant>
        <vt:i4>2359320</vt:i4>
      </vt:variant>
      <vt:variant>
        <vt:i4>144</vt:i4>
      </vt:variant>
      <vt:variant>
        <vt:i4>0</vt:i4>
      </vt:variant>
      <vt:variant>
        <vt:i4>5</vt:i4>
      </vt:variant>
      <vt:variant>
        <vt:lpwstr>mailto:public.advisor@cpuc.ca.gov</vt:lpwstr>
      </vt:variant>
      <vt:variant>
        <vt:lpwstr/>
      </vt:variant>
      <vt:variant>
        <vt:i4>3276870</vt:i4>
      </vt:variant>
      <vt:variant>
        <vt:i4>141</vt:i4>
      </vt:variant>
      <vt:variant>
        <vt:i4>0</vt:i4>
      </vt:variant>
      <vt:variant>
        <vt:i4>5</vt:i4>
      </vt:variant>
      <vt:variant>
        <vt:lpwstr>C:\Users\pd1\Desktop\consumers.cpuc.ca.gov\pao\</vt:lpwstr>
      </vt:variant>
      <vt:variant>
        <vt:lpwstr/>
      </vt:variant>
      <vt:variant>
        <vt:i4>917526</vt:i4>
      </vt:variant>
      <vt:variant>
        <vt:i4>138</vt:i4>
      </vt:variant>
      <vt:variant>
        <vt:i4>0</vt:i4>
      </vt:variant>
      <vt:variant>
        <vt:i4>5</vt:i4>
      </vt:variant>
      <vt:variant>
        <vt:lpwstr>http://subscribecpuc.cpuc.ca.gov/</vt:lpwstr>
      </vt:variant>
      <vt:variant>
        <vt:lpwstr/>
      </vt:variant>
      <vt:variant>
        <vt:i4>7340067</vt:i4>
      </vt:variant>
      <vt:variant>
        <vt:i4>135</vt:i4>
      </vt:variant>
      <vt:variant>
        <vt:i4>0</vt:i4>
      </vt:variant>
      <vt:variant>
        <vt:i4>5</vt:i4>
      </vt:variant>
      <vt:variant>
        <vt:lpwstr>mailto:process_office@cpuc.ca.gov</vt:lpwstr>
      </vt:variant>
      <vt:variant>
        <vt:lpwstr/>
      </vt:variant>
      <vt:variant>
        <vt:i4>1507382</vt:i4>
      </vt:variant>
      <vt:variant>
        <vt:i4>128</vt:i4>
      </vt:variant>
      <vt:variant>
        <vt:i4>0</vt:i4>
      </vt:variant>
      <vt:variant>
        <vt:i4>5</vt:i4>
      </vt:variant>
      <vt:variant>
        <vt:lpwstr/>
      </vt:variant>
      <vt:variant>
        <vt:lpwstr>_Toc70004454</vt:lpwstr>
      </vt:variant>
      <vt:variant>
        <vt:i4>1048630</vt:i4>
      </vt:variant>
      <vt:variant>
        <vt:i4>122</vt:i4>
      </vt:variant>
      <vt:variant>
        <vt:i4>0</vt:i4>
      </vt:variant>
      <vt:variant>
        <vt:i4>5</vt:i4>
      </vt:variant>
      <vt:variant>
        <vt:lpwstr/>
      </vt:variant>
      <vt:variant>
        <vt:lpwstr>_Toc70004453</vt:lpwstr>
      </vt:variant>
      <vt:variant>
        <vt:i4>1114166</vt:i4>
      </vt:variant>
      <vt:variant>
        <vt:i4>116</vt:i4>
      </vt:variant>
      <vt:variant>
        <vt:i4>0</vt:i4>
      </vt:variant>
      <vt:variant>
        <vt:i4>5</vt:i4>
      </vt:variant>
      <vt:variant>
        <vt:lpwstr/>
      </vt:variant>
      <vt:variant>
        <vt:lpwstr>_Toc70004452</vt:lpwstr>
      </vt:variant>
      <vt:variant>
        <vt:i4>1179702</vt:i4>
      </vt:variant>
      <vt:variant>
        <vt:i4>110</vt:i4>
      </vt:variant>
      <vt:variant>
        <vt:i4>0</vt:i4>
      </vt:variant>
      <vt:variant>
        <vt:i4>5</vt:i4>
      </vt:variant>
      <vt:variant>
        <vt:lpwstr/>
      </vt:variant>
      <vt:variant>
        <vt:lpwstr>_Toc70004451</vt:lpwstr>
      </vt:variant>
      <vt:variant>
        <vt:i4>1245238</vt:i4>
      </vt:variant>
      <vt:variant>
        <vt:i4>104</vt:i4>
      </vt:variant>
      <vt:variant>
        <vt:i4>0</vt:i4>
      </vt:variant>
      <vt:variant>
        <vt:i4>5</vt:i4>
      </vt:variant>
      <vt:variant>
        <vt:lpwstr/>
      </vt:variant>
      <vt:variant>
        <vt:lpwstr>_Toc70004450</vt:lpwstr>
      </vt:variant>
      <vt:variant>
        <vt:i4>1703991</vt:i4>
      </vt:variant>
      <vt:variant>
        <vt:i4>98</vt:i4>
      </vt:variant>
      <vt:variant>
        <vt:i4>0</vt:i4>
      </vt:variant>
      <vt:variant>
        <vt:i4>5</vt:i4>
      </vt:variant>
      <vt:variant>
        <vt:lpwstr/>
      </vt:variant>
      <vt:variant>
        <vt:lpwstr>_Toc70004449</vt:lpwstr>
      </vt:variant>
      <vt:variant>
        <vt:i4>1769527</vt:i4>
      </vt:variant>
      <vt:variant>
        <vt:i4>92</vt:i4>
      </vt:variant>
      <vt:variant>
        <vt:i4>0</vt:i4>
      </vt:variant>
      <vt:variant>
        <vt:i4>5</vt:i4>
      </vt:variant>
      <vt:variant>
        <vt:lpwstr/>
      </vt:variant>
      <vt:variant>
        <vt:lpwstr>_Toc70004448</vt:lpwstr>
      </vt:variant>
      <vt:variant>
        <vt:i4>1310775</vt:i4>
      </vt:variant>
      <vt:variant>
        <vt:i4>86</vt:i4>
      </vt:variant>
      <vt:variant>
        <vt:i4>0</vt:i4>
      </vt:variant>
      <vt:variant>
        <vt:i4>5</vt:i4>
      </vt:variant>
      <vt:variant>
        <vt:lpwstr/>
      </vt:variant>
      <vt:variant>
        <vt:lpwstr>_Toc70004447</vt:lpwstr>
      </vt:variant>
      <vt:variant>
        <vt:i4>1376311</vt:i4>
      </vt:variant>
      <vt:variant>
        <vt:i4>80</vt:i4>
      </vt:variant>
      <vt:variant>
        <vt:i4>0</vt:i4>
      </vt:variant>
      <vt:variant>
        <vt:i4>5</vt:i4>
      </vt:variant>
      <vt:variant>
        <vt:lpwstr/>
      </vt:variant>
      <vt:variant>
        <vt:lpwstr>_Toc70004446</vt:lpwstr>
      </vt:variant>
      <vt:variant>
        <vt:i4>1441847</vt:i4>
      </vt:variant>
      <vt:variant>
        <vt:i4>74</vt:i4>
      </vt:variant>
      <vt:variant>
        <vt:i4>0</vt:i4>
      </vt:variant>
      <vt:variant>
        <vt:i4>5</vt:i4>
      </vt:variant>
      <vt:variant>
        <vt:lpwstr/>
      </vt:variant>
      <vt:variant>
        <vt:lpwstr>_Toc70004445</vt:lpwstr>
      </vt:variant>
      <vt:variant>
        <vt:i4>1507383</vt:i4>
      </vt:variant>
      <vt:variant>
        <vt:i4>68</vt:i4>
      </vt:variant>
      <vt:variant>
        <vt:i4>0</vt:i4>
      </vt:variant>
      <vt:variant>
        <vt:i4>5</vt:i4>
      </vt:variant>
      <vt:variant>
        <vt:lpwstr/>
      </vt:variant>
      <vt:variant>
        <vt:lpwstr>_Toc70004444</vt:lpwstr>
      </vt:variant>
      <vt:variant>
        <vt:i4>1048631</vt:i4>
      </vt:variant>
      <vt:variant>
        <vt:i4>62</vt:i4>
      </vt:variant>
      <vt:variant>
        <vt:i4>0</vt:i4>
      </vt:variant>
      <vt:variant>
        <vt:i4>5</vt:i4>
      </vt:variant>
      <vt:variant>
        <vt:lpwstr/>
      </vt:variant>
      <vt:variant>
        <vt:lpwstr>_Toc70004443</vt:lpwstr>
      </vt:variant>
      <vt:variant>
        <vt:i4>1114167</vt:i4>
      </vt:variant>
      <vt:variant>
        <vt:i4>56</vt:i4>
      </vt:variant>
      <vt:variant>
        <vt:i4>0</vt:i4>
      </vt:variant>
      <vt:variant>
        <vt:i4>5</vt:i4>
      </vt:variant>
      <vt:variant>
        <vt:lpwstr/>
      </vt:variant>
      <vt:variant>
        <vt:lpwstr>_Toc70004442</vt:lpwstr>
      </vt:variant>
      <vt:variant>
        <vt:i4>1179703</vt:i4>
      </vt:variant>
      <vt:variant>
        <vt:i4>50</vt:i4>
      </vt:variant>
      <vt:variant>
        <vt:i4>0</vt:i4>
      </vt:variant>
      <vt:variant>
        <vt:i4>5</vt:i4>
      </vt:variant>
      <vt:variant>
        <vt:lpwstr/>
      </vt:variant>
      <vt:variant>
        <vt:lpwstr>_Toc70004441</vt:lpwstr>
      </vt:variant>
      <vt:variant>
        <vt:i4>1245239</vt:i4>
      </vt:variant>
      <vt:variant>
        <vt:i4>44</vt:i4>
      </vt:variant>
      <vt:variant>
        <vt:i4>0</vt:i4>
      </vt:variant>
      <vt:variant>
        <vt:i4>5</vt:i4>
      </vt:variant>
      <vt:variant>
        <vt:lpwstr/>
      </vt:variant>
      <vt:variant>
        <vt:lpwstr>_Toc70004440</vt:lpwstr>
      </vt:variant>
      <vt:variant>
        <vt:i4>1703984</vt:i4>
      </vt:variant>
      <vt:variant>
        <vt:i4>38</vt:i4>
      </vt:variant>
      <vt:variant>
        <vt:i4>0</vt:i4>
      </vt:variant>
      <vt:variant>
        <vt:i4>5</vt:i4>
      </vt:variant>
      <vt:variant>
        <vt:lpwstr/>
      </vt:variant>
      <vt:variant>
        <vt:lpwstr>_Toc70004439</vt:lpwstr>
      </vt:variant>
      <vt:variant>
        <vt:i4>1769520</vt:i4>
      </vt:variant>
      <vt:variant>
        <vt:i4>32</vt:i4>
      </vt:variant>
      <vt:variant>
        <vt:i4>0</vt:i4>
      </vt:variant>
      <vt:variant>
        <vt:i4>5</vt:i4>
      </vt:variant>
      <vt:variant>
        <vt:lpwstr/>
      </vt:variant>
      <vt:variant>
        <vt:lpwstr>_Toc70004438</vt:lpwstr>
      </vt:variant>
      <vt:variant>
        <vt:i4>1310768</vt:i4>
      </vt:variant>
      <vt:variant>
        <vt:i4>26</vt:i4>
      </vt:variant>
      <vt:variant>
        <vt:i4>0</vt:i4>
      </vt:variant>
      <vt:variant>
        <vt:i4>5</vt:i4>
      </vt:variant>
      <vt:variant>
        <vt:lpwstr/>
      </vt:variant>
      <vt:variant>
        <vt:lpwstr>_Toc70004437</vt:lpwstr>
      </vt:variant>
      <vt:variant>
        <vt:i4>1376304</vt:i4>
      </vt:variant>
      <vt:variant>
        <vt:i4>20</vt:i4>
      </vt:variant>
      <vt:variant>
        <vt:i4>0</vt:i4>
      </vt:variant>
      <vt:variant>
        <vt:i4>5</vt:i4>
      </vt:variant>
      <vt:variant>
        <vt:lpwstr/>
      </vt:variant>
      <vt:variant>
        <vt:lpwstr>_Toc70004436</vt:lpwstr>
      </vt:variant>
      <vt:variant>
        <vt:i4>1441840</vt:i4>
      </vt:variant>
      <vt:variant>
        <vt:i4>14</vt:i4>
      </vt:variant>
      <vt:variant>
        <vt:i4>0</vt:i4>
      </vt:variant>
      <vt:variant>
        <vt:i4>5</vt:i4>
      </vt:variant>
      <vt:variant>
        <vt:lpwstr/>
      </vt:variant>
      <vt:variant>
        <vt:lpwstr>_Toc70004435</vt:lpwstr>
      </vt:variant>
      <vt:variant>
        <vt:i4>1507376</vt:i4>
      </vt:variant>
      <vt:variant>
        <vt:i4>8</vt:i4>
      </vt:variant>
      <vt:variant>
        <vt:i4>0</vt:i4>
      </vt:variant>
      <vt:variant>
        <vt:i4>5</vt:i4>
      </vt:variant>
      <vt:variant>
        <vt:lpwstr/>
      </vt:variant>
      <vt:variant>
        <vt:lpwstr>_Toc70004434</vt:lpwstr>
      </vt:variant>
      <vt:variant>
        <vt:i4>1048624</vt:i4>
      </vt:variant>
      <vt:variant>
        <vt:i4>2</vt:i4>
      </vt:variant>
      <vt:variant>
        <vt:i4>0</vt:i4>
      </vt:variant>
      <vt:variant>
        <vt:i4>5</vt:i4>
      </vt:variant>
      <vt:variant>
        <vt:lpwstr/>
      </vt:variant>
      <vt:variant>
        <vt:lpwstr>_Toc70004433</vt:lpwstr>
      </vt:variant>
      <vt:variant>
        <vt:i4>7471163</vt:i4>
      </vt:variant>
      <vt:variant>
        <vt:i4>39</vt:i4>
      </vt:variant>
      <vt:variant>
        <vt:i4>0</vt:i4>
      </vt:variant>
      <vt:variant>
        <vt:i4>5</vt:i4>
      </vt:variant>
      <vt:variant>
        <vt:lpwstr>https://www.energy.ca.gov/sb100</vt:lpwstr>
      </vt:variant>
      <vt:variant>
        <vt:lpwstr/>
      </vt:variant>
      <vt:variant>
        <vt:i4>6160389</vt:i4>
      </vt:variant>
      <vt:variant>
        <vt:i4>36</vt:i4>
      </vt:variant>
      <vt:variant>
        <vt:i4>0</vt:i4>
      </vt:variant>
      <vt:variant>
        <vt:i4>5</vt:i4>
      </vt:variant>
      <vt:variant>
        <vt:lpwstr>https://gridworks.org/wp-content/uploads/2020/08/R21-WG4-Final-Report.pdf</vt:lpwstr>
      </vt:variant>
      <vt:variant>
        <vt:lpwstr/>
      </vt:variant>
      <vt:variant>
        <vt:i4>3342450</vt:i4>
      </vt:variant>
      <vt:variant>
        <vt:i4>33</vt:i4>
      </vt:variant>
      <vt:variant>
        <vt:i4>0</vt:i4>
      </vt:variant>
      <vt:variant>
        <vt:i4>5</vt:i4>
      </vt:variant>
      <vt:variant>
        <vt:lpwstr>https://www.cpuc.ca.gov/zev</vt:lpwstr>
      </vt:variant>
      <vt:variant>
        <vt:lpwstr/>
      </vt:variant>
      <vt:variant>
        <vt:i4>3342450</vt:i4>
      </vt:variant>
      <vt:variant>
        <vt:i4>30</vt:i4>
      </vt:variant>
      <vt:variant>
        <vt:i4>0</vt:i4>
      </vt:variant>
      <vt:variant>
        <vt:i4>5</vt:i4>
      </vt:variant>
      <vt:variant>
        <vt:lpwstr>https://www.cpuc.ca.gov/zev</vt:lpwstr>
      </vt:variant>
      <vt:variant>
        <vt:lpwstr/>
      </vt:variant>
      <vt:variant>
        <vt:i4>4128797</vt:i4>
      </vt:variant>
      <vt:variant>
        <vt:i4>27</vt:i4>
      </vt:variant>
      <vt:variant>
        <vt:i4>0</vt:i4>
      </vt:variant>
      <vt:variant>
        <vt:i4>5</vt:i4>
      </vt:variant>
      <vt:variant>
        <vt:lpwstr>https://gridworks.org/wp-content/uploads/2020/09/GW_VehicleGrid-Integration-Working-Group.pdf</vt:lpwstr>
      </vt:variant>
      <vt:variant>
        <vt:lpwstr/>
      </vt:variant>
      <vt:variant>
        <vt:i4>6946854</vt:i4>
      </vt:variant>
      <vt:variant>
        <vt:i4>24</vt:i4>
      </vt:variant>
      <vt:variant>
        <vt:i4>0</vt:i4>
      </vt:variant>
      <vt:variant>
        <vt:i4>5</vt:i4>
      </vt:variant>
      <vt:variant>
        <vt:lpwstr>https://energyathaas.wordpress.com/2021/02/08/distribution-costs-and-distributed-generation</vt:lpwstr>
      </vt:variant>
      <vt:variant>
        <vt:lpwstr/>
      </vt:variant>
      <vt:variant>
        <vt:i4>3866704</vt:i4>
      </vt:variant>
      <vt:variant>
        <vt:i4>21</vt:i4>
      </vt:variant>
      <vt:variant>
        <vt:i4>0</vt:i4>
      </vt:variant>
      <vt:variant>
        <vt:i4>5</vt:i4>
      </vt:variant>
      <vt:variant>
        <vt:lpwstr>https://puc.hawaii.gov/wp-content/uploads/2020/12/PBR-Phase-2-DO.Page-Press-Release.Final_.12-22-2020.pdf</vt:lpwstr>
      </vt:variant>
      <vt:variant>
        <vt:lpwstr/>
      </vt:variant>
      <vt:variant>
        <vt:i4>6619182</vt:i4>
      </vt:variant>
      <vt:variant>
        <vt:i4>18</vt:i4>
      </vt:variant>
      <vt:variant>
        <vt:i4>0</vt:i4>
      </vt:variant>
      <vt:variant>
        <vt:i4>5</vt:i4>
      </vt:variant>
      <vt:variant>
        <vt:lpwstr>https://www.pnnl.gov/grid-architecture</vt:lpwstr>
      </vt:variant>
      <vt:variant>
        <vt:lpwstr/>
      </vt:variant>
      <vt:variant>
        <vt:i4>5111823</vt:i4>
      </vt:variant>
      <vt:variant>
        <vt:i4>15</vt:i4>
      </vt:variant>
      <vt:variant>
        <vt:i4>0</vt:i4>
      </vt:variant>
      <vt:variant>
        <vt:i4>5</vt:i4>
      </vt:variant>
      <vt:variant>
        <vt:lpwstr>https://www.cpuc.ca.gov/esjactionplan</vt:lpwstr>
      </vt:variant>
      <vt:variant>
        <vt:lpwstr/>
      </vt:variant>
      <vt:variant>
        <vt:i4>7995493</vt:i4>
      </vt:variant>
      <vt:variant>
        <vt:i4>12</vt:i4>
      </vt:variant>
      <vt:variant>
        <vt:i4>0</vt:i4>
      </vt:variant>
      <vt:variant>
        <vt:i4>5</vt:i4>
      </vt:variant>
      <vt:variant>
        <vt:lpwstr>https://www.cpuc.ca.gov/General.aspx?id=6442467418</vt:lpwstr>
      </vt:variant>
      <vt:variant>
        <vt:lpwstr/>
      </vt:variant>
      <vt:variant>
        <vt:i4>3539058</vt:i4>
      </vt:variant>
      <vt:variant>
        <vt:i4>9</vt:i4>
      </vt:variant>
      <vt:variant>
        <vt:i4>0</vt:i4>
      </vt:variant>
      <vt:variant>
        <vt:i4>5</vt:i4>
      </vt:variant>
      <vt:variant>
        <vt:lpwstr>https://efiling.energy.ca.gov/GetDocument.aspx?tn=228787-14&amp;DocumentContentId=60075</vt:lpwstr>
      </vt:variant>
      <vt:variant>
        <vt:lpwstr/>
      </vt:variant>
      <vt:variant>
        <vt:i4>8192098</vt:i4>
      </vt:variant>
      <vt:variant>
        <vt:i4>6</vt:i4>
      </vt:variant>
      <vt:variant>
        <vt:i4>0</vt:i4>
      </vt:variant>
      <vt:variant>
        <vt:i4>5</vt:i4>
      </vt:variant>
      <vt:variant>
        <vt:lpwstr>https://ltmdrpep.sce.com/drpep</vt:lpwstr>
      </vt:variant>
      <vt:variant>
        <vt:lpwstr/>
      </vt:variant>
      <vt:variant>
        <vt:i4>4915280</vt:i4>
      </vt:variant>
      <vt:variant>
        <vt:i4>3</vt:i4>
      </vt:variant>
      <vt:variant>
        <vt:i4>0</vt:i4>
      </vt:variant>
      <vt:variant>
        <vt:i4>5</vt:i4>
      </vt:variant>
      <vt:variant>
        <vt:lpwstr>https://www.sdge.com/more-information/customer-generation/enhanced-integration-capacity-analysis-ica</vt:lpwstr>
      </vt:variant>
      <vt:variant>
        <vt:lpwstr/>
      </vt:variant>
      <vt:variant>
        <vt:i4>3997766</vt:i4>
      </vt:variant>
      <vt:variant>
        <vt:i4>0</vt:i4>
      </vt:variant>
      <vt:variant>
        <vt:i4>0</vt:i4>
      </vt:variant>
      <vt:variant>
        <vt:i4>5</vt:i4>
      </vt:variant>
      <vt:variant>
        <vt:lpwstr>https://www.pge.com/en_US/for-our-business-partners/distribution-resource-planning/distribution-resource-planning-data-portal.page</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2019-07-11T22:23:00Z</cp:lastPrinted>
  <dcterms:created xsi:type="dcterms:W3CDTF">2021-06-16T15:57:55Z</dcterms:created>
  <dcterms:modified xsi:type="dcterms:W3CDTF">2021-06-16T15:57:55Z</dcterms:modified>
</cp:coreProperties>
</file>