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35B28" w:rsidR="00951F07" w:rsidP="00951F07" w:rsidRDefault="00951F07" w14:paraId="5B1E012B" w14:textId="686848EE">
      <w:pPr>
        <w:pStyle w:val="titlebar"/>
        <w:rPr>
          <w:sz w:val="24"/>
        </w:rPr>
      </w:pPr>
      <w:bookmarkStart w:name="_Ref404993683" w:id="0"/>
      <w:r w:rsidRPr="00F35B28">
        <w:rPr>
          <w:sz w:val="24"/>
        </w:rPr>
        <w:t>PUBLIC UTILITIES COMMISSION OF THE STATE OF CALIFORNIA</w:t>
      </w:r>
    </w:p>
    <w:p w:rsidR="00951F07" w:rsidP="00951F07" w:rsidRDefault="00951F07" w14:paraId="05C731ED" w14:textId="35E7B410">
      <w:pPr>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p>
    <w:p w:rsidRPr="00391536" w:rsidR="00951F07" w:rsidP="000C4210" w:rsidRDefault="00951F07" w14:paraId="45D302DA" w14:textId="6BB225C3">
      <w:pPr>
        <w:suppressAutoHyphens/>
        <w:rPr>
          <w:b/>
          <w:bCs/>
          <w:sz w:val="24"/>
          <w:szCs w:val="24"/>
        </w:rPr>
      </w:pPr>
      <w:r>
        <w:rPr>
          <w:b/>
          <w:bCs/>
          <w:sz w:val="24"/>
          <w:szCs w:val="24"/>
        </w:rPr>
        <w:t xml:space="preserve"> </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p>
    <w:p w:rsidR="00951F07" w:rsidP="00951F07" w:rsidRDefault="00951F07" w14:paraId="4B21300C" w14:textId="4FF18E42">
      <w:pPr>
        <w:rPr>
          <w:b/>
          <w:sz w:val="24"/>
        </w:rPr>
      </w:pPr>
      <w:r>
        <w:rPr>
          <w:b/>
          <w:sz w:val="24"/>
        </w:rPr>
        <w:t>ENERGY DIVISION</w:t>
      </w:r>
      <w:r>
        <w:rPr>
          <w:b/>
          <w:sz w:val="24"/>
        </w:rPr>
        <w:tab/>
      </w:r>
      <w:r>
        <w:rPr>
          <w:b/>
          <w:sz w:val="24"/>
        </w:rPr>
        <w:tab/>
      </w:r>
      <w:r>
        <w:rPr>
          <w:b/>
          <w:sz w:val="24"/>
        </w:rPr>
        <w:tab/>
      </w:r>
      <w:r>
        <w:rPr>
          <w:b/>
          <w:sz w:val="24"/>
        </w:rPr>
        <w:tab/>
      </w:r>
      <w:r>
        <w:rPr>
          <w:b/>
          <w:sz w:val="24"/>
        </w:rPr>
        <w:tab/>
      </w:r>
      <w:r>
        <w:rPr>
          <w:b/>
          <w:sz w:val="24"/>
        </w:rPr>
        <w:tab/>
        <w:t xml:space="preserve">                     RESOLUTION E-5131</w:t>
      </w:r>
    </w:p>
    <w:p w:rsidRPr="00F35B28" w:rsidR="00951F07" w:rsidP="00951F07" w:rsidRDefault="00951F07" w14:paraId="533D27CE" w14:textId="2B4720C7">
      <w:pPr>
        <w:tabs>
          <w:tab w:val="right" w:pos="8910"/>
        </w:tabs>
        <w:ind w:left="1440" w:firstLine="720"/>
        <w:rPr>
          <w:b/>
          <w:sz w:val="24"/>
        </w:rPr>
      </w:pPr>
      <w:r>
        <w:rPr>
          <w:b/>
          <w:sz w:val="24"/>
        </w:rPr>
        <w:t xml:space="preserve">                                                                            May 6, 2021</w:t>
      </w:r>
    </w:p>
    <w:p w:rsidRPr="00F35B28" w:rsidR="00951F07" w:rsidP="00951F07" w:rsidRDefault="00951F07" w14:paraId="6C2CF5CE" w14:textId="77777777">
      <w:pPr>
        <w:pStyle w:val="mainex"/>
        <w:rPr>
          <w:u w:val="single"/>
        </w:rPr>
      </w:pPr>
      <w:r w:rsidRPr="00F35B28">
        <w:rPr>
          <w:u w:val="single"/>
        </w:rPr>
        <w:t>RESOLUTION</w:t>
      </w:r>
    </w:p>
    <w:p w:rsidRPr="00016154" w:rsidR="00CF17DE" w:rsidRDefault="00CF17DE" w14:paraId="63C93376" w14:textId="77777777">
      <w:pPr>
        <w:rPr>
          <w:rFonts w:asciiTheme="majorHAnsi" w:hAnsiTheme="majorHAnsi"/>
          <w:sz w:val="24"/>
          <w:szCs w:val="24"/>
        </w:rPr>
      </w:pPr>
    </w:p>
    <w:p w:rsidRPr="00AF3B25" w:rsidR="00B927B5" w:rsidP="00B927B5" w:rsidRDefault="00B927B5" w14:paraId="38C822AA" w14:textId="1B802549">
      <w:pPr>
        <w:pStyle w:val="Res-Caption"/>
      </w:pPr>
      <w:r>
        <w:t>Resolution</w:t>
      </w:r>
      <w:r w:rsidR="002137DF">
        <w:t xml:space="preserve"> E-</w:t>
      </w:r>
      <w:r w:rsidR="00FC6374">
        <w:t>5131</w:t>
      </w:r>
      <w:r>
        <w:t xml:space="preserve">.  </w:t>
      </w:r>
      <w:r w:rsidR="00EB49D2">
        <w:t xml:space="preserve">Request </w:t>
      </w:r>
      <w:r w:rsidR="00F17003">
        <w:t xml:space="preserve">by </w:t>
      </w:r>
      <w:r w:rsidR="00FA0436">
        <w:t xml:space="preserve">the </w:t>
      </w:r>
      <w:r w:rsidR="00D60E37">
        <w:t>Pacific Gas and Electric</w:t>
      </w:r>
      <w:r w:rsidR="00FA0436">
        <w:t xml:space="preserve"> Company</w:t>
      </w:r>
      <w:r w:rsidR="00D60E37">
        <w:t xml:space="preserve">, Southern </w:t>
      </w:r>
      <w:r w:rsidR="00FA0436">
        <w:t xml:space="preserve">California Edison, and San Diego Gas and Electric Company to modify bundled customer bills to show a </w:t>
      </w:r>
      <w:r w:rsidRPr="07DFD98B" w:rsidR="004A3520">
        <w:rPr>
          <w:color w:val="000000" w:themeColor="text1"/>
        </w:rPr>
        <w:t>Power Charge Indifference Adjustment (</w:t>
      </w:r>
      <w:r w:rsidR="00FA0436">
        <w:t>PCIA</w:t>
      </w:r>
      <w:r w:rsidR="004A3520">
        <w:t>)</w:t>
      </w:r>
      <w:r w:rsidR="00FA0436">
        <w:t xml:space="preserve"> line item in compliance with Decision (D.) 20-03-019.</w:t>
      </w:r>
    </w:p>
    <w:p w:rsidRPr="00AF3B25" w:rsidR="00801D70" w:rsidRDefault="00801D70" w14:paraId="70E6A3B4" w14:textId="77777777">
      <w:pPr>
        <w:pStyle w:val="Res-Caption"/>
        <w:rPr>
          <w:szCs w:val="26"/>
        </w:rPr>
      </w:pPr>
    </w:p>
    <w:p w:rsidRPr="00AF3B25" w:rsidR="00DF35CC" w:rsidP="00DF35CC" w:rsidRDefault="00801D70" w14:paraId="5B232953" w14:textId="77777777">
      <w:pPr>
        <w:pStyle w:val="Res-Caption"/>
        <w:rPr>
          <w:szCs w:val="26"/>
        </w:rPr>
      </w:pPr>
      <w:r w:rsidRPr="00AF3B25">
        <w:rPr>
          <w:szCs w:val="26"/>
        </w:rPr>
        <w:t>PROPOSED OUTCOME:</w:t>
      </w:r>
      <w:r w:rsidRPr="00AF3B25" w:rsidR="00142FB8">
        <w:rPr>
          <w:szCs w:val="26"/>
        </w:rPr>
        <w:t xml:space="preserve"> </w:t>
      </w:r>
    </w:p>
    <w:p w:rsidRPr="00AF3B25" w:rsidR="00142FB8" w:rsidP="07DFD98B" w:rsidRDefault="005D0127" w14:paraId="50158C90" w14:textId="0946E04C">
      <w:pPr>
        <w:pStyle w:val="Res-Caption"/>
        <w:numPr>
          <w:ilvl w:val="0"/>
          <w:numId w:val="7"/>
        </w:numPr>
        <w:rPr>
          <w:color w:val="000000" w:themeColor="text1"/>
        </w:rPr>
      </w:pPr>
      <w:r w:rsidRPr="07DFD98B">
        <w:rPr>
          <w:color w:val="000000" w:themeColor="text1"/>
        </w:rPr>
        <w:t xml:space="preserve">This Resolution </w:t>
      </w:r>
      <w:r w:rsidRPr="07DFD98B" w:rsidR="00E93F67">
        <w:rPr>
          <w:color w:val="000000" w:themeColor="text1"/>
        </w:rPr>
        <w:t>approve</w:t>
      </w:r>
      <w:r w:rsidRPr="07DFD98B" w:rsidR="00775DCA">
        <w:rPr>
          <w:color w:val="000000" w:themeColor="text1"/>
        </w:rPr>
        <w:t>s</w:t>
      </w:r>
      <w:r w:rsidRPr="07DFD98B">
        <w:rPr>
          <w:color w:val="000000" w:themeColor="text1"/>
        </w:rPr>
        <w:t xml:space="preserve"> </w:t>
      </w:r>
      <w:r w:rsidRPr="07DFD98B" w:rsidR="0065379B">
        <w:rPr>
          <w:color w:val="000000" w:themeColor="text1"/>
        </w:rPr>
        <w:t>with modification</w:t>
      </w:r>
      <w:r w:rsidRPr="07DFD98B">
        <w:rPr>
          <w:color w:val="000000" w:themeColor="text1"/>
        </w:rPr>
        <w:t xml:space="preserve"> </w:t>
      </w:r>
      <w:r w:rsidRPr="07DFD98B" w:rsidR="00A50D00">
        <w:rPr>
          <w:color w:val="000000" w:themeColor="text1"/>
        </w:rPr>
        <w:t xml:space="preserve">the joint proposal by </w:t>
      </w:r>
      <w:r w:rsidRPr="07DFD98B">
        <w:rPr>
          <w:color w:val="000000" w:themeColor="text1"/>
        </w:rPr>
        <w:t>Pacific Gas and Electric Company</w:t>
      </w:r>
      <w:r w:rsidRPr="07DFD98B" w:rsidR="00A50D00">
        <w:rPr>
          <w:color w:val="000000" w:themeColor="text1"/>
        </w:rPr>
        <w:t>, Southern California Edison, and San Diego Gas and Electric Company</w:t>
      </w:r>
      <w:r w:rsidRPr="07DFD98B">
        <w:rPr>
          <w:color w:val="000000" w:themeColor="text1"/>
        </w:rPr>
        <w:t xml:space="preserve"> to </w:t>
      </w:r>
      <w:r w:rsidRPr="07DFD98B" w:rsidR="00A50D00">
        <w:rPr>
          <w:color w:val="000000" w:themeColor="text1"/>
        </w:rPr>
        <w:t xml:space="preserve">implement bill presentation and tariff modifications to show </w:t>
      </w:r>
      <w:r w:rsidRPr="07DFD98B" w:rsidR="009B027F">
        <w:rPr>
          <w:color w:val="000000" w:themeColor="text1"/>
        </w:rPr>
        <w:t>a</w:t>
      </w:r>
      <w:r w:rsidRPr="07DFD98B" w:rsidR="00A50D00">
        <w:rPr>
          <w:color w:val="000000" w:themeColor="text1"/>
        </w:rPr>
        <w:t xml:space="preserve"> Power Charge Indifference Adjustment (PCIA) </w:t>
      </w:r>
      <w:r w:rsidRPr="07DFD98B" w:rsidR="00A86B1C">
        <w:rPr>
          <w:color w:val="000000" w:themeColor="text1"/>
        </w:rPr>
        <w:t xml:space="preserve">line item </w:t>
      </w:r>
      <w:r w:rsidRPr="07DFD98B" w:rsidR="00A50D00">
        <w:rPr>
          <w:color w:val="000000" w:themeColor="text1"/>
        </w:rPr>
        <w:t xml:space="preserve">on all customer bills, in compliance with </w:t>
      </w:r>
      <w:r w:rsidRPr="07DFD98B" w:rsidR="00A86B1C">
        <w:rPr>
          <w:color w:val="000000" w:themeColor="text1"/>
        </w:rPr>
        <w:t xml:space="preserve">D. </w:t>
      </w:r>
      <w:r w:rsidRPr="07DFD98B" w:rsidR="00A50D00">
        <w:rPr>
          <w:color w:val="000000" w:themeColor="text1"/>
        </w:rPr>
        <w:t xml:space="preserve">20-03-019. </w:t>
      </w:r>
      <w:bookmarkStart w:name="_Hlk62124119" w:id="1"/>
      <w:bookmarkEnd w:id="1"/>
    </w:p>
    <w:p w:rsidRPr="00AF3B25" w:rsidR="00F51F8B" w:rsidRDefault="00F51F8B" w14:paraId="65BE5ED4" w14:textId="77777777">
      <w:pPr>
        <w:pStyle w:val="Res-Caption"/>
        <w:rPr>
          <w:szCs w:val="26"/>
        </w:rPr>
      </w:pPr>
    </w:p>
    <w:p w:rsidRPr="00AF3B25" w:rsidR="00F51F8B" w:rsidRDefault="00F51F8B" w14:paraId="5348E825" w14:textId="77777777">
      <w:pPr>
        <w:pStyle w:val="Res-Caption"/>
        <w:rPr>
          <w:szCs w:val="26"/>
        </w:rPr>
      </w:pPr>
      <w:r w:rsidRPr="00AF3B25">
        <w:rPr>
          <w:szCs w:val="26"/>
        </w:rPr>
        <w:t>SAFETY CONSIDERATIONS:</w:t>
      </w:r>
    </w:p>
    <w:p w:rsidRPr="00AF3B25" w:rsidR="00801D70" w:rsidP="00EF226F" w:rsidRDefault="00EF226F" w14:paraId="664CBB61" w14:textId="27331CDD">
      <w:pPr>
        <w:pStyle w:val="Res-Caption"/>
        <w:numPr>
          <w:ilvl w:val="0"/>
          <w:numId w:val="13"/>
        </w:numPr>
        <w:rPr>
          <w:szCs w:val="26"/>
        </w:rPr>
      </w:pPr>
      <w:r w:rsidRPr="00AF3B25">
        <w:rPr>
          <w:szCs w:val="26"/>
        </w:rPr>
        <w:t>There are no safety considerations associated with this resolution</w:t>
      </w:r>
    </w:p>
    <w:p w:rsidRPr="00AF3B25" w:rsidR="00AF611F" w:rsidP="00AF611F" w:rsidRDefault="00AF611F" w14:paraId="6EE71210" w14:textId="77777777">
      <w:pPr>
        <w:pStyle w:val="Res-Caption"/>
        <w:ind w:left="1440"/>
        <w:rPr>
          <w:szCs w:val="26"/>
        </w:rPr>
      </w:pPr>
    </w:p>
    <w:p w:rsidRPr="00AF3B25" w:rsidR="00801D70" w:rsidRDefault="00801D70" w14:paraId="28BD615D" w14:textId="00965DDD">
      <w:pPr>
        <w:pStyle w:val="Res-Caption"/>
        <w:rPr>
          <w:szCs w:val="26"/>
        </w:rPr>
      </w:pPr>
      <w:r w:rsidRPr="00AF3B25">
        <w:rPr>
          <w:szCs w:val="26"/>
        </w:rPr>
        <w:t xml:space="preserve">ESTIMATED COST:  </w:t>
      </w:r>
      <w:r w:rsidRPr="00AF3B25" w:rsidR="005B60C0">
        <w:rPr>
          <w:szCs w:val="26"/>
        </w:rPr>
        <w:br/>
      </w:r>
    </w:p>
    <w:p w:rsidRPr="00AF3B25" w:rsidR="00F17003" w:rsidP="07DFD98B" w:rsidRDefault="00485ABD" w14:paraId="07B9F7AF" w14:textId="204F0D54">
      <w:pPr>
        <w:pStyle w:val="Res-Caption"/>
        <w:numPr>
          <w:ilvl w:val="0"/>
          <w:numId w:val="13"/>
        </w:numPr>
        <w:rPr>
          <w:color w:val="000000" w:themeColor="text1"/>
        </w:rPr>
      </w:pPr>
      <w:r w:rsidRPr="07DFD98B">
        <w:rPr>
          <w:color w:val="000000" w:themeColor="text1"/>
        </w:rPr>
        <w:t>This Resolution modifies how the PCIA is presented on customer bills. The</w:t>
      </w:r>
      <w:r w:rsidRPr="07DFD98B" w:rsidR="00F17003">
        <w:rPr>
          <w:color w:val="000000" w:themeColor="text1"/>
        </w:rPr>
        <w:t xml:space="preserve"> Commission does not anticipate that this Resolution </w:t>
      </w:r>
      <w:r w:rsidRPr="07DFD98B" w:rsidR="00E90132">
        <w:rPr>
          <w:color w:val="000000" w:themeColor="text1"/>
        </w:rPr>
        <w:t xml:space="preserve">will </w:t>
      </w:r>
      <w:r w:rsidRPr="07DFD98B" w:rsidR="00F17003">
        <w:rPr>
          <w:color w:val="000000" w:themeColor="text1"/>
        </w:rPr>
        <w:t xml:space="preserve">result in additional costs for </w:t>
      </w:r>
      <w:r w:rsidRPr="07DFD98B" w:rsidR="00A50D00">
        <w:rPr>
          <w:color w:val="000000" w:themeColor="text1"/>
        </w:rPr>
        <w:t>ratepayers</w:t>
      </w:r>
    </w:p>
    <w:p w:rsidRPr="00AF3B25" w:rsidR="00CF17DE" w:rsidRDefault="00CF17DE" w14:paraId="414B5F5B" w14:textId="77777777">
      <w:pPr>
        <w:pStyle w:val="Res-Caption"/>
        <w:rPr>
          <w:color w:val="A6A6A6" w:themeColor="background1" w:themeShade="A6"/>
          <w:szCs w:val="26"/>
        </w:rPr>
      </w:pPr>
    </w:p>
    <w:p w:rsidRPr="00AF3B25" w:rsidR="00CF17DE" w:rsidRDefault="00CF17DE" w14:paraId="0395FC4E" w14:textId="7632805F">
      <w:pPr>
        <w:pStyle w:val="Res-Caption"/>
        <w:rPr>
          <w:color w:val="000000" w:themeColor="text1"/>
          <w:szCs w:val="26"/>
        </w:rPr>
      </w:pPr>
      <w:r w:rsidRPr="00AF3B25">
        <w:rPr>
          <w:color w:val="000000" w:themeColor="text1"/>
          <w:szCs w:val="26"/>
        </w:rPr>
        <w:t>By Advice Lette</w:t>
      </w:r>
      <w:r w:rsidRPr="00AF3B25" w:rsidR="00485ABD">
        <w:rPr>
          <w:color w:val="000000" w:themeColor="text1"/>
          <w:szCs w:val="26"/>
        </w:rPr>
        <w:t>rs</w:t>
      </w:r>
      <w:r w:rsidRPr="00AF3B25" w:rsidR="00AB0199">
        <w:rPr>
          <w:color w:val="000000" w:themeColor="text1"/>
          <w:szCs w:val="26"/>
        </w:rPr>
        <w:t xml:space="preserve"> AL 4302-G-G/5932-E</w:t>
      </w:r>
      <w:r w:rsidRPr="00AF3B25" w:rsidR="00FA0436">
        <w:rPr>
          <w:color w:val="000000" w:themeColor="text1"/>
          <w:szCs w:val="26"/>
        </w:rPr>
        <w:t xml:space="preserve"> (PG&amp;E)</w:t>
      </w:r>
      <w:r w:rsidRPr="00AF3B25" w:rsidR="00AB0199">
        <w:rPr>
          <w:color w:val="000000" w:themeColor="text1"/>
          <w:szCs w:val="26"/>
        </w:rPr>
        <w:t>, 4</w:t>
      </w:r>
      <w:r w:rsidRPr="00AF3B25" w:rsidR="0039515D">
        <w:rPr>
          <w:color w:val="000000" w:themeColor="text1"/>
          <w:szCs w:val="26"/>
        </w:rPr>
        <w:t>280</w:t>
      </w:r>
      <w:r w:rsidRPr="00AF3B25" w:rsidR="00AB0199">
        <w:rPr>
          <w:color w:val="000000" w:themeColor="text1"/>
          <w:szCs w:val="26"/>
        </w:rPr>
        <w:t>-E</w:t>
      </w:r>
      <w:r w:rsidRPr="00AF3B25" w:rsidR="00FA0436">
        <w:rPr>
          <w:color w:val="000000" w:themeColor="text1"/>
          <w:szCs w:val="26"/>
        </w:rPr>
        <w:t xml:space="preserve"> (SCE)</w:t>
      </w:r>
      <w:r w:rsidRPr="00AF3B25" w:rsidR="00AB0199">
        <w:rPr>
          <w:color w:val="000000" w:themeColor="text1"/>
          <w:szCs w:val="26"/>
        </w:rPr>
        <w:t>, and AL 3600-E</w:t>
      </w:r>
      <w:r w:rsidRPr="00AF3B25" w:rsidR="00FA0436">
        <w:rPr>
          <w:color w:val="000000" w:themeColor="text1"/>
          <w:szCs w:val="26"/>
        </w:rPr>
        <w:t xml:space="preserve"> (SDG&amp;E)</w:t>
      </w:r>
      <w:r w:rsidRPr="00AF3B25" w:rsidR="003F6E5A">
        <w:rPr>
          <w:color w:val="000000" w:themeColor="text1"/>
          <w:szCs w:val="26"/>
        </w:rPr>
        <w:t>,</w:t>
      </w:r>
      <w:r w:rsidRPr="00AF3B25">
        <w:rPr>
          <w:color w:val="000000" w:themeColor="text1"/>
          <w:szCs w:val="26"/>
        </w:rPr>
        <w:t xml:space="preserve"> Filed on </w:t>
      </w:r>
      <w:r w:rsidRPr="00AF3B25" w:rsidR="00485ABD">
        <w:rPr>
          <w:color w:val="000000" w:themeColor="text1"/>
          <w:szCs w:val="26"/>
        </w:rPr>
        <w:t>August 30, 2020</w:t>
      </w:r>
      <w:r w:rsidRPr="00AF3B25">
        <w:rPr>
          <w:color w:val="000000" w:themeColor="text1"/>
          <w:szCs w:val="26"/>
        </w:rPr>
        <w:t xml:space="preserve">. </w:t>
      </w:r>
    </w:p>
    <w:p w:rsidRPr="00AF3B25" w:rsidR="00CF17DE" w:rsidRDefault="00CF17DE" w14:paraId="2BFCF270" w14:textId="77777777">
      <w:pPr>
        <w:jc w:val="center"/>
        <w:rPr>
          <w:szCs w:val="26"/>
        </w:rPr>
      </w:pPr>
      <w:r w:rsidRPr="00AF3B25">
        <w:rPr>
          <w:szCs w:val="26"/>
        </w:rPr>
        <w:t>__________________________________________________________</w:t>
      </w:r>
    </w:p>
    <w:p w:rsidRPr="001A03FB" w:rsidR="00CF17DE" w:rsidRDefault="00CF17DE" w14:paraId="21ED6BB6" w14:textId="77777777">
      <w:pPr>
        <w:rPr>
          <w:rFonts w:asciiTheme="majorHAnsi" w:hAnsiTheme="majorHAnsi"/>
          <w:b/>
          <w:sz w:val="24"/>
          <w:szCs w:val="24"/>
        </w:rPr>
      </w:pPr>
    </w:p>
    <w:p w:rsidRPr="00AF3B25" w:rsidR="00CF17DE" w:rsidP="00AF3B25" w:rsidRDefault="00CF17DE" w14:paraId="2C49E15C" w14:textId="77777777">
      <w:pPr>
        <w:pStyle w:val="Heading1"/>
      </w:pPr>
      <w:r w:rsidRPr="00AF3B25">
        <w:lastRenderedPageBreak/>
        <w:t>Summary</w:t>
      </w:r>
      <w:bookmarkEnd w:id="0"/>
    </w:p>
    <w:p w:rsidRPr="00AF3B25" w:rsidR="00DB62E2" w:rsidP="005C40F3" w:rsidRDefault="00C02BC7" w14:paraId="5DC42DBD" w14:textId="7505CF3F">
      <w:pPr>
        <w:spacing w:line="360" w:lineRule="auto"/>
        <w:rPr>
          <w:color w:val="000000" w:themeColor="text1"/>
          <w:szCs w:val="26"/>
        </w:rPr>
      </w:pPr>
      <w:r w:rsidRPr="00AF3B25">
        <w:rPr>
          <w:color w:val="000000" w:themeColor="text1"/>
          <w:szCs w:val="26"/>
        </w:rPr>
        <w:t xml:space="preserve">This Resolution </w:t>
      </w:r>
      <w:r w:rsidRPr="00AF3B25" w:rsidR="005C6A26">
        <w:rPr>
          <w:color w:val="000000" w:themeColor="text1"/>
          <w:szCs w:val="26"/>
        </w:rPr>
        <w:t xml:space="preserve">approves utility proposals to modify customer bill statements to include the PCIA as a line item on </w:t>
      </w:r>
      <w:r w:rsidRPr="00AF3B25" w:rsidR="00A50C73">
        <w:rPr>
          <w:color w:val="000000" w:themeColor="text1"/>
          <w:szCs w:val="26"/>
        </w:rPr>
        <w:t>utility</w:t>
      </w:r>
      <w:r w:rsidRPr="00AF3B25" w:rsidR="00255FB5">
        <w:rPr>
          <w:color w:val="000000" w:themeColor="text1"/>
          <w:szCs w:val="26"/>
        </w:rPr>
        <w:t xml:space="preserve"> bundled</w:t>
      </w:r>
      <w:r w:rsidRPr="00AF3B25" w:rsidR="00A50C73">
        <w:rPr>
          <w:color w:val="000000" w:themeColor="text1"/>
          <w:szCs w:val="26"/>
        </w:rPr>
        <w:t xml:space="preserve"> </w:t>
      </w:r>
      <w:r w:rsidRPr="00AF3B25" w:rsidR="005C6A26">
        <w:rPr>
          <w:color w:val="000000" w:themeColor="text1"/>
          <w:szCs w:val="26"/>
        </w:rPr>
        <w:t>customer bills</w:t>
      </w:r>
      <w:r w:rsidRPr="00AF3B25" w:rsidR="00AF3483">
        <w:rPr>
          <w:color w:val="000000" w:themeColor="text1"/>
          <w:szCs w:val="26"/>
        </w:rPr>
        <w:t>, with modifications to the proposed definition of PCIA</w:t>
      </w:r>
      <w:r w:rsidRPr="00AF3B25" w:rsidR="00A50C73">
        <w:rPr>
          <w:color w:val="000000" w:themeColor="text1"/>
          <w:szCs w:val="26"/>
        </w:rPr>
        <w:t xml:space="preserve">. </w:t>
      </w:r>
      <w:r w:rsidRPr="00AF3B25" w:rsidR="009A6A08">
        <w:rPr>
          <w:color w:val="000000" w:themeColor="text1"/>
          <w:szCs w:val="26"/>
        </w:rPr>
        <w:t xml:space="preserve"> It also </w:t>
      </w:r>
      <w:r w:rsidRPr="00AF3B25" w:rsidR="00212712">
        <w:rPr>
          <w:color w:val="000000" w:themeColor="text1"/>
          <w:szCs w:val="26"/>
        </w:rPr>
        <w:t xml:space="preserve">approves </w:t>
      </w:r>
      <w:r w:rsidRPr="00AF3B25" w:rsidR="005C6A26">
        <w:rPr>
          <w:color w:val="000000" w:themeColor="text1"/>
          <w:szCs w:val="26"/>
        </w:rPr>
        <w:t xml:space="preserve">changes to </w:t>
      </w:r>
      <w:r w:rsidRPr="00AF3B25" w:rsidR="00212712">
        <w:rPr>
          <w:color w:val="000000" w:themeColor="text1"/>
          <w:szCs w:val="26"/>
        </w:rPr>
        <w:t xml:space="preserve">PG&amp;E’s </w:t>
      </w:r>
      <w:r w:rsidRPr="00AF3B25" w:rsidR="004A0C14">
        <w:rPr>
          <w:color w:val="000000" w:themeColor="text1"/>
          <w:szCs w:val="26"/>
        </w:rPr>
        <w:t xml:space="preserve">Cost </w:t>
      </w:r>
      <w:r w:rsidRPr="00AF3B25" w:rsidR="00353704">
        <w:rPr>
          <w:color w:val="000000" w:themeColor="text1"/>
          <w:szCs w:val="26"/>
        </w:rPr>
        <w:t>Responsibility</w:t>
      </w:r>
      <w:r w:rsidRPr="00AF3B25" w:rsidR="004A0C14">
        <w:rPr>
          <w:color w:val="000000" w:themeColor="text1"/>
          <w:szCs w:val="26"/>
        </w:rPr>
        <w:t xml:space="preserve"> (“CRS”) tariff a</w:t>
      </w:r>
      <w:r w:rsidRPr="00AF3B25" w:rsidR="00AB5F9E">
        <w:rPr>
          <w:color w:val="000000" w:themeColor="text1"/>
          <w:szCs w:val="26"/>
        </w:rPr>
        <w:t xml:space="preserve">nd </w:t>
      </w:r>
      <w:r w:rsidRPr="00AF3B25" w:rsidR="00353704">
        <w:rPr>
          <w:color w:val="000000" w:themeColor="text1"/>
          <w:szCs w:val="26"/>
        </w:rPr>
        <w:t xml:space="preserve">to </w:t>
      </w:r>
      <w:r w:rsidRPr="00AF3B25" w:rsidR="00413110">
        <w:rPr>
          <w:color w:val="000000" w:themeColor="text1"/>
          <w:szCs w:val="26"/>
        </w:rPr>
        <w:t>t</w:t>
      </w:r>
      <w:r w:rsidRPr="00AF3B25" w:rsidR="00812411">
        <w:rPr>
          <w:color w:val="000000" w:themeColor="text1"/>
          <w:szCs w:val="26"/>
        </w:rPr>
        <w:t>he</w:t>
      </w:r>
      <w:r w:rsidR="00507077">
        <w:rPr>
          <w:color w:val="000000" w:themeColor="text1"/>
          <w:szCs w:val="26"/>
        </w:rPr>
        <w:t xml:space="preserve"> respective tariffs of</w:t>
      </w:r>
      <w:r w:rsidRPr="00AF3B25" w:rsidR="00812411">
        <w:rPr>
          <w:color w:val="000000" w:themeColor="text1"/>
          <w:szCs w:val="26"/>
        </w:rPr>
        <w:t xml:space="preserve"> Pacific Gas and Electric Company (“</w:t>
      </w:r>
      <w:r w:rsidRPr="00AF3B25" w:rsidR="00353704">
        <w:rPr>
          <w:color w:val="000000" w:themeColor="text1"/>
          <w:szCs w:val="26"/>
        </w:rPr>
        <w:t>PG&amp;E</w:t>
      </w:r>
      <w:r w:rsidRPr="00AF3B25" w:rsidR="00812411">
        <w:rPr>
          <w:color w:val="000000" w:themeColor="text1"/>
          <w:szCs w:val="26"/>
        </w:rPr>
        <w:t>”)</w:t>
      </w:r>
      <w:r w:rsidRPr="00AF3B25" w:rsidR="00353704">
        <w:rPr>
          <w:color w:val="000000" w:themeColor="text1"/>
          <w:szCs w:val="26"/>
        </w:rPr>
        <w:t xml:space="preserve">, </w:t>
      </w:r>
      <w:r w:rsidRPr="00AF3B25" w:rsidR="00812411">
        <w:rPr>
          <w:color w:val="000000" w:themeColor="text1"/>
          <w:szCs w:val="26"/>
        </w:rPr>
        <w:t>Southern California Edison (“</w:t>
      </w:r>
      <w:r w:rsidRPr="00AF3B25" w:rsidR="00353704">
        <w:rPr>
          <w:color w:val="000000" w:themeColor="text1"/>
          <w:szCs w:val="26"/>
        </w:rPr>
        <w:t>SCE</w:t>
      </w:r>
      <w:r w:rsidRPr="00AF3B25" w:rsidR="00812411">
        <w:rPr>
          <w:color w:val="000000" w:themeColor="text1"/>
          <w:szCs w:val="26"/>
        </w:rPr>
        <w:t>”)</w:t>
      </w:r>
      <w:r w:rsidRPr="00AF3B25" w:rsidR="00353704">
        <w:rPr>
          <w:color w:val="000000" w:themeColor="text1"/>
          <w:szCs w:val="26"/>
        </w:rPr>
        <w:t xml:space="preserve">, and </w:t>
      </w:r>
      <w:r w:rsidRPr="00AF3B25" w:rsidR="00812411">
        <w:rPr>
          <w:color w:val="000000" w:themeColor="text1"/>
          <w:szCs w:val="26"/>
        </w:rPr>
        <w:t>San Diego Gas &amp; Electric</w:t>
      </w:r>
      <w:r w:rsidRPr="00AF3B25" w:rsidR="00EB49D2">
        <w:rPr>
          <w:color w:val="000000" w:themeColor="text1"/>
          <w:szCs w:val="26"/>
        </w:rPr>
        <w:t xml:space="preserve"> Company</w:t>
      </w:r>
      <w:r w:rsidRPr="00AF3B25" w:rsidR="00812411">
        <w:rPr>
          <w:color w:val="000000" w:themeColor="text1"/>
          <w:szCs w:val="26"/>
        </w:rPr>
        <w:t xml:space="preserve"> (</w:t>
      </w:r>
      <w:r w:rsidRPr="00AF3B25" w:rsidR="00353704">
        <w:rPr>
          <w:color w:val="000000" w:themeColor="text1"/>
          <w:szCs w:val="26"/>
        </w:rPr>
        <w:t>SDG&amp;E</w:t>
      </w:r>
      <w:r w:rsidRPr="00AF3B25" w:rsidR="00812411">
        <w:rPr>
          <w:color w:val="000000" w:themeColor="text1"/>
          <w:szCs w:val="26"/>
        </w:rPr>
        <w:t>)</w:t>
      </w:r>
      <w:r w:rsidRPr="00AF3B25" w:rsidR="00816AE0">
        <w:rPr>
          <w:color w:val="000000" w:themeColor="text1"/>
          <w:szCs w:val="26"/>
        </w:rPr>
        <w:t xml:space="preserve"> that will </w:t>
      </w:r>
      <w:r w:rsidRPr="00AF3B25" w:rsidR="00B177AB">
        <w:rPr>
          <w:color w:val="000000" w:themeColor="text1"/>
          <w:szCs w:val="26"/>
        </w:rPr>
        <w:t xml:space="preserve">clarify </w:t>
      </w:r>
      <w:r w:rsidRPr="00AF3B25" w:rsidR="003E4FDF">
        <w:rPr>
          <w:color w:val="000000" w:themeColor="text1"/>
          <w:szCs w:val="26"/>
        </w:rPr>
        <w:t xml:space="preserve">and explain </w:t>
      </w:r>
      <w:r w:rsidRPr="00AF3B25" w:rsidR="00B177AB">
        <w:rPr>
          <w:color w:val="000000" w:themeColor="text1"/>
          <w:szCs w:val="26"/>
        </w:rPr>
        <w:t xml:space="preserve">customer </w:t>
      </w:r>
      <w:r w:rsidRPr="00AF3B25" w:rsidR="003E4FDF">
        <w:rPr>
          <w:color w:val="000000" w:themeColor="text1"/>
          <w:szCs w:val="26"/>
        </w:rPr>
        <w:t xml:space="preserve">cost </w:t>
      </w:r>
      <w:r w:rsidRPr="00AF3B25" w:rsidR="00B177AB">
        <w:rPr>
          <w:color w:val="000000" w:themeColor="text1"/>
          <w:szCs w:val="26"/>
        </w:rPr>
        <w:t>responsibility for</w:t>
      </w:r>
      <w:r w:rsidRPr="00AF3B25" w:rsidR="003E4FDF">
        <w:rPr>
          <w:color w:val="000000" w:themeColor="text1"/>
          <w:szCs w:val="26"/>
        </w:rPr>
        <w:t xml:space="preserve"> the PCIA. </w:t>
      </w:r>
    </w:p>
    <w:p w:rsidRPr="001A03FB" w:rsidR="00985E2C" w:rsidP="00AF3B25" w:rsidRDefault="00CF17DE" w14:paraId="28586E3E" w14:textId="51FF7541">
      <w:pPr>
        <w:pStyle w:val="Heading1"/>
      </w:pPr>
      <w:r w:rsidRPr="001A03FB">
        <w:t>Background</w:t>
      </w:r>
    </w:p>
    <w:p w:rsidR="004F1C47" w:rsidP="07DFD98B" w:rsidRDefault="004F1C47" w14:paraId="0D4271EF" w14:textId="57A6C2FA">
      <w:pPr>
        <w:spacing w:line="360" w:lineRule="auto"/>
        <w:rPr>
          <w:color w:val="000000" w:themeColor="text1"/>
        </w:rPr>
      </w:pPr>
    </w:p>
    <w:p w:rsidRPr="0010197A" w:rsidR="007204A1" w:rsidP="07DFD98B" w:rsidRDefault="004F1C47" w14:paraId="79A879A9" w14:textId="1A124FE2">
      <w:pPr>
        <w:spacing w:line="360" w:lineRule="auto"/>
        <w:rPr>
          <w:color w:val="000000" w:themeColor="text1"/>
        </w:rPr>
      </w:pPr>
      <w:r w:rsidRPr="07DFD98B">
        <w:rPr>
          <w:color w:val="000000" w:themeColor="text1"/>
        </w:rPr>
        <w:t xml:space="preserve">In Phase 1 of R. 17-06-026 </w:t>
      </w:r>
      <w:r w:rsidRPr="07DFD98B" w:rsidR="00B11BE3">
        <w:rPr>
          <w:color w:val="000000" w:themeColor="text1"/>
        </w:rPr>
        <w:t>t</w:t>
      </w:r>
      <w:r w:rsidRPr="07DFD98B" w:rsidR="00803898">
        <w:rPr>
          <w:color w:val="000000" w:themeColor="text1"/>
        </w:rPr>
        <w:t>he</w:t>
      </w:r>
      <w:r w:rsidRPr="07DFD98B" w:rsidR="00B652DF">
        <w:rPr>
          <w:color w:val="000000" w:themeColor="text1"/>
        </w:rPr>
        <w:t xml:space="preserve"> California Community Choice Association (CalCCA) </w:t>
      </w:r>
      <w:r w:rsidRPr="07DFD98B" w:rsidR="00803898">
        <w:rPr>
          <w:color w:val="000000" w:themeColor="text1"/>
        </w:rPr>
        <w:t xml:space="preserve">raised </w:t>
      </w:r>
      <w:r w:rsidRPr="07DFD98B" w:rsidR="007A3A95">
        <w:rPr>
          <w:color w:val="000000" w:themeColor="text1"/>
        </w:rPr>
        <w:t>the</w:t>
      </w:r>
      <w:r w:rsidRPr="07DFD98B" w:rsidR="00803898">
        <w:rPr>
          <w:color w:val="000000" w:themeColor="text1"/>
        </w:rPr>
        <w:t xml:space="preserve"> issue </w:t>
      </w:r>
      <w:r w:rsidRPr="07DFD98B" w:rsidR="007A3A95">
        <w:rPr>
          <w:color w:val="000000" w:themeColor="text1"/>
        </w:rPr>
        <w:t xml:space="preserve">that </w:t>
      </w:r>
      <w:r w:rsidRPr="07DFD98B" w:rsidR="007567B3">
        <w:rPr>
          <w:color w:val="000000" w:themeColor="text1"/>
        </w:rPr>
        <w:t xml:space="preserve">the PCIA is not </w:t>
      </w:r>
      <w:r w:rsidRPr="07DFD98B" w:rsidR="00704F1E">
        <w:rPr>
          <w:color w:val="000000" w:themeColor="text1"/>
        </w:rPr>
        <w:t xml:space="preserve">identified as a separate cost on the Energy Statements provided to bundled customers. </w:t>
      </w:r>
      <w:r w:rsidRPr="07DFD98B" w:rsidR="0058356C">
        <w:rPr>
          <w:color w:val="000000" w:themeColor="text1"/>
        </w:rPr>
        <w:t xml:space="preserve"> </w:t>
      </w:r>
      <w:r w:rsidRPr="07DFD98B" w:rsidR="00D644FE">
        <w:rPr>
          <w:color w:val="000000" w:themeColor="text1"/>
        </w:rPr>
        <w:t xml:space="preserve">CalCCA </w:t>
      </w:r>
      <w:r w:rsidRPr="07DFD98B" w:rsidR="00B710F6">
        <w:rPr>
          <w:color w:val="000000" w:themeColor="text1"/>
        </w:rPr>
        <w:t xml:space="preserve">reasoned </w:t>
      </w:r>
      <w:r w:rsidRPr="07DFD98B" w:rsidR="009B0C85">
        <w:rPr>
          <w:color w:val="000000" w:themeColor="text1"/>
        </w:rPr>
        <w:t>that the lack of a specific line item on customer bills identifying PCIA costs</w:t>
      </w:r>
      <w:r w:rsidRPr="07DFD98B" w:rsidR="00D644FE">
        <w:rPr>
          <w:color w:val="000000" w:themeColor="text1"/>
        </w:rPr>
        <w:t xml:space="preserve"> </w:t>
      </w:r>
      <w:r w:rsidRPr="07DFD98B" w:rsidR="00C415C3">
        <w:rPr>
          <w:color w:val="000000" w:themeColor="text1"/>
        </w:rPr>
        <w:t>masks the fact that all customers</w:t>
      </w:r>
      <w:r w:rsidRPr="07DFD98B" w:rsidR="00E71C80">
        <w:rPr>
          <w:color w:val="000000" w:themeColor="text1"/>
        </w:rPr>
        <w:t xml:space="preserve">, both bundled and unbundled, </w:t>
      </w:r>
      <w:r w:rsidRPr="07DFD98B" w:rsidR="00C415C3">
        <w:rPr>
          <w:color w:val="000000" w:themeColor="text1"/>
        </w:rPr>
        <w:t xml:space="preserve">shoulder the burden of these costs. </w:t>
      </w:r>
      <w:r w:rsidRPr="07DFD98B" w:rsidR="00CD765F">
        <w:rPr>
          <w:color w:val="000000" w:themeColor="text1"/>
        </w:rPr>
        <w:t>In contrast,</w:t>
      </w:r>
      <w:r w:rsidRPr="07DFD98B" w:rsidR="00171157">
        <w:rPr>
          <w:color w:val="000000" w:themeColor="text1"/>
        </w:rPr>
        <w:t xml:space="preserve"> </w:t>
      </w:r>
      <w:r w:rsidRPr="07DFD98B" w:rsidR="00EF39C2">
        <w:rPr>
          <w:color w:val="000000" w:themeColor="text1"/>
        </w:rPr>
        <w:t xml:space="preserve">they argued, </w:t>
      </w:r>
      <w:r w:rsidRPr="07DFD98B" w:rsidR="00CD765F">
        <w:rPr>
          <w:color w:val="000000" w:themeColor="text1"/>
        </w:rPr>
        <w:t>presenting</w:t>
      </w:r>
      <w:r w:rsidRPr="07DFD98B" w:rsidR="00E71C80">
        <w:rPr>
          <w:color w:val="000000" w:themeColor="text1"/>
        </w:rPr>
        <w:t xml:space="preserve"> </w:t>
      </w:r>
      <w:r w:rsidRPr="07DFD98B" w:rsidR="00EF39C2">
        <w:rPr>
          <w:color w:val="000000" w:themeColor="text1"/>
        </w:rPr>
        <w:t xml:space="preserve">the </w:t>
      </w:r>
      <w:r w:rsidRPr="07DFD98B" w:rsidR="00E71C80">
        <w:rPr>
          <w:color w:val="000000" w:themeColor="text1"/>
        </w:rPr>
        <w:t>PCIA</w:t>
      </w:r>
      <w:r w:rsidRPr="07DFD98B" w:rsidR="00B566FD">
        <w:rPr>
          <w:color w:val="000000" w:themeColor="text1"/>
        </w:rPr>
        <w:t xml:space="preserve"> similarly on all bills </w:t>
      </w:r>
      <w:r w:rsidRPr="07DFD98B" w:rsidR="00351D2D">
        <w:rPr>
          <w:color w:val="000000" w:themeColor="text1"/>
        </w:rPr>
        <w:t>would make it clear that bundled service, CCA, and DA customers</w:t>
      </w:r>
      <w:r w:rsidRPr="07DFD98B" w:rsidR="00CD765F">
        <w:rPr>
          <w:color w:val="000000" w:themeColor="text1"/>
        </w:rPr>
        <w:t xml:space="preserve"> all</w:t>
      </w:r>
      <w:r w:rsidRPr="07DFD98B" w:rsidR="0046319A">
        <w:rPr>
          <w:color w:val="000000" w:themeColor="text1"/>
        </w:rPr>
        <w:t xml:space="preserve"> share the responsibility to pay </w:t>
      </w:r>
      <w:r w:rsidRPr="07DFD98B" w:rsidR="00CD765F">
        <w:rPr>
          <w:color w:val="000000" w:themeColor="text1"/>
        </w:rPr>
        <w:t xml:space="preserve">above market costs of utility procurement </w:t>
      </w:r>
      <w:r w:rsidRPr="07DFD98B" w:rsidR="0046319A">
        <w:rPr>
          <w:color w:val="000000" w:themeColor="text1"/>
        </w:rPr>
        <w:t xml:space="preserve">and </w:t>
      </w:r>
      <w:r w:rsidRPr="07DFD98B" w:rsidR="009A58AD">
        <w:rPr>
          <w:color w:val="000000" w:themeColor="text1"/>
        </w:rPr>
        <w:t xml:space="preserve">would </w:t>
      </w:r>
      <w:r w:rsidRPr="07DFD98B" w:rsidR="0046319A">
        <w:rPr>
          <w:color w:val="000000" w:themeColor="text1"/>
        </w:rPr>
        <w:t>keep the PCIA from becoming a competitive issue for customers when comparing providers.</w:t>
      </w:r>
    </w:p>
    <w:p w:rsidRPr="0010197A" w:rsidR="00C52526" w:rsidP="0010197A" w:rsidRDefault="00C52526" w14:paraId="20F13085" w14:textId="77777777">
      <w:pPr>
        <w:spacing w:line="360" w:lineRule="auto"/>
        <w:rPr>
          <w:color w:val="000000" w:themeColor="text1"/>
          <w:szCs w:val="26"/>
        </w:rPr>
      </w:pPr>
    </w:p>
    <w:p w:rsidR="00205B79" w:rsidP="07DFD98B" w:rsidRDefault="00205B79" w14:paraId="0F0AE0EE" w14:textId="68582F0F">
      <w:pPr>
        <w:spacing w:line="360" w:lineRule="auto"/>
        <w:rPr>
          <w:color w:val="000000" w:themeColor="text1"/>
        </w:rPr>
      </w:pPr>
      <w:r w:rsidRPr="07DFD98B">
        <w:rPr>
          <w:color w:val="000000" w:themeColor="text1"/>
        </w:rPr>
        <w:t xml:space="preserve">In Phase 2 of Rulemaking (R.) 17-06-026, the CPUC considered numerous issues including the presentation of the PCIA line item on bundled utility customer bills. The Scoping Memo specifically asked whether “the Commission [should] require </w:t>
      </w:r>
      <w:r w:rsidRPr="07DFD98B">
        <w:rPr>
          <w:color w:val="000000" w:themeColor="text1"/>
        </w:rPr>
        <w:lastRenderedPageBreak/>
        <w:t xml:space="preserve">any changes in the presentation of the PCIA in tariffs and on customer bills, and if so, what should those changes be?” </w:t>
      </w:r>
    </w:p>
    <w:p w:rsidR="00205B79" w:rsidP="07DFD98B" w:rsidRDefault="00205B79" w14:paraId="16580487" w14:textId="77777777">
      <w:pPr>
        <w:spacing w:line="360" w:lineRule="auto"/>
        <w:rPr>
          <w:color w:val="000000" w:themeColor="text1"/>
        </w:rPr>
      </w:pPr>
    </w:p>
    <w:p w:rsidRPr="0010197A" w:rsidR="004D352B" w:rsidP="07DFD98B" w:rsidRDefault="00053C74" w14:paraId="1D2C4131" w14:textId="3FDDCF34">
      <w:pPr>
        <w:spacing w:line="360" w:lineRule="auto"/>
        <w:rPr>
          <w:color w:val="000000" w:themeColor="text1"/>
        </w:rPr>
      </w:pPr>
      <w:r w:rsidRPr="07DFD98B">
        <w:rPr>
          <w:color w:val="000000" w:themeColor="text1"/>
        </w:rPr>
        <w:t xml:space="preserve">The parties involved in a working group on this subject were </w:t>
      </w:r>
      <w:r w:rsidRPr="07DFD98B" w:rsidR="56E85F5F">
        <w:rPr>
          <w:color w:val="000000" w:themeColor="text1"/>
        </w:rPr>
        <w:t>unable to come</w:t>
      </w:r>
      <w:r w:rsidRPr="07DFD98B" w:rsidR="7DECBB0E">
        <w:rPr>
          <w:color w:val="000000" w:themeColor="text1"/>
        </w:rPr>
        <w:t xml:space="preserve"> to</w:t>
      </w:r>
      <w:r w:rsidRPr="07DFD98B" w:rsidR="564C8FF0">
        <w:rPr>
          <w:color w:val="000000" w:themeColor="text1"/>
        </w:rPr>
        <w:t xml:space="preserve"> a consensus recommendation on </w:t>
      </w:r>
      <w:r w:rsidRPr="07DFD98B">
        <w:rPr>
          <w:color w:val="000000" w:themeColor="text1"/>
        </w:rPr>
        <w:t xml:space="preserve">this issue. </w:t>
      </w:r>
      <w:r w:rsidRPr="07DFD98B" w:rsidR="00D07BC8">
        <w:rPr>
          <w:color w:val="000000" w:themeColor="text1"/>
        </w:rPr>
        <w:t xml:space="preserve">In </w:t>
      </w:r>
      <w:r w:rsidRPr="07DFD98B" w:rsidR="085AD38D">
        <w:rPr>
          <w:color w:val="000000" w:themeColor="text1"/>
        </w:rPr>
        <w:t>D.20-03-019</w:t>
      </w:r>
      <w:r w:rsidRPr="07DFD98B" w:rsidR="00D07BC8">
        <w:rPr>
          <w:color w:val="000000" w:themeColor="text1"/>
        </w:rPr>
        <w:t xml:space="preserve">, the CPUC </w:t>
      </w:r>
      <w:r w:rsidRPr="07DFD98B" w:rsidR="085AD38D">
        <w:rPr>
          <w:color w:val="000000" w:themeColor="text1"/>
        </w:rPr>
        <w:t xml:space="preserve">directed the </w:t>
      </w:r>
      <w:r w:rsidRPr="07DFD98B" w:rsidR="000C0ED4">
        <w:rPr>
          <w:color w:val="000000" w:themeColor="text1"/>
        </w:rPr>
        <w:t xml:space="preserve">utilities </w:t>
      </w:r>
      <w:r w:rsidRPr="07DFD98B" w:rsidR="085AD38D">
        <w:rPr>
          <w:color w:val="000000" w:themeColor="text1"/>
        </w:rPr>
        <w:t xml:space="preserve">to collaborate to </w:t>
      </w:r>
      <w:r w:rsidRPr="07DFD98B" w:rsidR="42056397">
        <w:rPr>
          <w:color w:val="000000" w:themeColor="text1"/>
        </w:rPr>
        <w:t>submit</w:t>
      </w:r>
      <w:r w:rsidRPr="07DFD98B" w:rsidR="085AD38D">
        <w:rPr>
          <w:color w:val="000000" w:themeColor="text1"/>
        </w:rPr>
        <w:t xml:space="preserve"> </w:t>
      </w:r>
      <w:r w:rsidRPr="07DFD98B" w:rsidR="42056397">
        <w:rPr>
          <w:color w:val="000000" w:themeColor="text1"/>
        </w:rPr>
        <w:t>Tier 3 advice letters by August 31, 2020</w:t>
      </w:r>
      <w:r w:rsidRPr="07DFD98B" w:rsidR="000C0ED4">
        <w:rPr>
          <w:color w:val="000000" w:themeColor="text1"/>
        </w:rPr>
        <w:t>,</w:t>
      </w:r>
      <w:r w:rsidRPr="07DFD98B" w:rsidR="42056397">
        <w:rPr>
          <w:color w:val="000000" w:themeColor="text1"/>
        </w:rPr>
        <w:t xml:space="preserve"> containing a </w:t>
      </w:r>
      <w:r w:rsidRPr="07DFD98B" w:rsidR="085AD38D">
        <w:rPr>
          <w:color w:val="000000" w:themeColor="text1"/>
        </w:rPr>
        <w:t xml:space="preserve">joint proposal for bill and tariff changes </w:t>
      </w:r>
      <w:r w:rsidRPr="07DFD98B" w:rsidR="42056397">
        <w:rPr>
          <w:color w:val="000000" w:themeColor="text1"/>
        </w:rPr>
        <w:t>to</w:t>
      </w:r>
      <w:r w:rsidRPr="07DFD98B" w:rsidR="085AD38D">
        <w:rPr>
          <w:color w:val="000000" w:themeColor="text1"/>
        </w:rPr>
        <w:t xml:space="preserve"> show a PCIA line </w:t>
      </w:r>
      <w:r w:rsidRPr="07DFD98B" w:rsidR="00B54533">
        <w:rPr>
          <w:color w:val="000000" w:themeColor="text1"/>
        </w:rPr>
        <w:t>item</w:t>
      </w:r>
      <w:r w:rsidRPr="07DFD98B" w:rsidR="085AD38D">
        <w:rPr>
          <w:color w:val="000000" w:themeColor="text1"/>
        </w:rPr>
        <w:t xml:space="preserve"> in the bill summary table on all customer bills. The proposa</w:t>
      </w:r>
      <w:r w:rsidRPr="07DFD98B" w:rsidR="347FD11F">
        <w:rPr>
          <w:color w:val="000000" w:themeColor="text1"/>
        </w:rPr>
        <w:t>l</w:t>
      </w:r>
      <w:r w:rsidRPr="07DFD98B" w:rsidR="085AD38D">
        <w:rPr>
          <w:color w:val="000000" w:themeColor="text1"/>
        </w:rPr>
        <w:t xml:space="preserve"> was to be implemented by the last business day of 2021. </w:t>
      </w:r>
      <w:r w:rsidRPr="07DFD98B" w:rsidR="42056397">
        <w:rPr>
          <w:color w:val="000000" w:themeColor="text1"/>
        </w:rPr>
        <w:t xml:space="preserve">D.20-03-019 </w:t>
      </w:r>
      <w:r w:rsidRPr="07DFD98B" w:rsidR="085AD38D">
        <w:rPr>
          <w:color w:val="000000" w:themeColor="text1"/>
        </w:rPr>
        <w:t xml:space="preserve">also authorized Energy Division to hold workshops, if necessary, after the filing of the advice letters, and required that the IOU proposed bill and tariff changes </w:t>
      </w:r>
      <w:r w:rsidRPr="07DFD98B" w:rsidR="42056397">
        <w:rPr>
          <w:color w:val="000000" w:themeColor="text1"/>
        </w:rPr>
        <w:t>be</w:t>
      </w:r>
      <w:r w:rsidRPr="07DFD98B" w:rsidR="085AD38D">
        <w:rPr>
          <w:color w:val="000000" w:themeColor="text1"/>
        </w:rPr>
        <w:t xml:space="preserve"> complete and reasonable.</w:t>
      </w:r>
      <w:r w:rsidRPr="07DFD98B" w:rsidR="00D54275">
        <w:rPr>
          <w:vertAlign w:val="superscript"/>
        </w:rPr>
        <w:footnoteReference w:id="2"/>
      </w:r>
    </w:p>
    <w:p w:rsidRPr="0010197A" w:rsidR="00C52526" w:rsidP="0010197A" w:rsidRDefault="00C52526" w14:paraId="108E72D0" w14:textId="77777777">
      <w:pPr>
        <w:spacing w:line="360" w:lineRule="auto"/>
        <w:rPr>
          <w:color w:val="000000" w:themeColor="text1"/>
          <w:szCs w:val="26"/>
        </w:rPr>
      </w:pPr>
    </w:p>
    <w:p w:rsidRPr="0010197A" w:rsidR="00F96302" w:rsidP="0010197A" w:rsidRDefault="4B72FE91" w14:paraId="25F487F2" w14:textId="20EA84DA">
      <w:pPr>
        <w:spacing w:line="360" w:lineRule="auto"/>
        <w:rPr>
          <w:color w:val="000000" w:themeColor="text1"/>
          <w:szCs w:val="26"/>
        </w:rPr>
      </w:pPr>
      <w:r w:rsidRPr="0010197A">
        <w:rPr>
          <w:color w:val="000000" w:themeColor="text1"/>
          <w:szCs w:val="26"/>
        </w:rPr>
        <w:t>On August 31, 2020 PG&amp;E file</w:t>
      </w:r>
      <w:r w:rsidRPr="0010197A" w:rsidR="42056397">
        <w:rPr>
          <w:color w:val="000000" w:themeColor="text1"/>
          <w:szCs w:val="26"/>
        </w:rPr>
        <w:t>d</w:t>
      </w:r>
      <w:r w:rsidRPr="0010197A">
        <w:rPr>
          <w:color w:val="000000" w:themeColor="text1"/>
          <w:szCs w:val="26"/>
        </w:rPr>
        <w:t xml:space="preserve"> AL </w:t>
      </w:r>
      <w:r w:rsidRPr="0010197A" w:rsidR="7806F193">
        <w:rPr>
          <w:color w:val="000000" w:themeColor="text1"/>
          <w:szCs w:val="26"/>
        </w:rPr>
        <w:t xml:space="preserve">4302-G-G/5932-E, SCE filed AL </w:t>
      </w:r>
      <w:r w:rsidRPr="0010197A" w:rsidR="045FFCF7">
        <w:rPr>
          <w:color w:val="000000" w:themeColor="text1"/>
          <w:szCs w:val="26"/>
        </w:rPr>
        <w:t>4280</w:t>
      </w:r>
      <w:r w:rsidRPr="0010197A" w:rsidR="7806F193">
        <w:rPr>
          <w:color w:val="000000" w:themeColor="text1"/>
          <w:szCs w:val="26"/>
        </w:rPr>
        <w:t>-E, and SDG&amp;E filed AL 3600-E</w:t>
      </w:r>
      <w:r w:rsidRPr="0010197A" w:rsidR="085AD38D">
        <w:rPr>
          <w:color w:val="000000" w:themeColor="text1"/>
          <w:szCs w:val="26"/>
        </w:rPr>
        <w:t xml:space="preserve"> </w:t>
      </w:r>
      <w:r w:rsidRPr="0010197A" w:rsidR="005D5B9B">
        <w:rPr>
          <w:color w:val="000000" w:themeColor="text1"/>
          <w:szCs w:val="26"/>
        </w:rPr>
        <w:t>contain</w:t>
      </w:r>
      <w:r w:rsidRPr="0010197A" w:rsidR="00F87328">
        <w:rPr>
          <w:color w:val="000000" w:themeColor="text1"/>
          <w:szCs w:val="26"/>
        </w:rPr>
        <w:t xml:space="preserve">ing a </w:t>
      </w:r>
      <w:r w:rsidRPr="0010197A" w:rsidR="00042B77">
        <w:rPr>
          <w:color w:val="000000" w:themeColor="text1"/>
          <w:szCs w:val="26"/>
        </w:rPr>
        <w:t>“</w:t>
      </w:r>
      <w:r w:rsidRPr="0010197A" w:rsidR="000516AB">
        <w:rPr>
          <w:color w:val="000000" w:themeColor="text1"/>
          <w:szCs w:val="26"/>
        </w:rPr>
        <w:t>Joint Proposal</w:t>
      </w:r>
      <w:r w:rsidRPr="0010197A" w:rsidR="00042B77">
        <w:rPr>
          <w:color w:val="000000" w:themeColor="text1"/>
          <w:szCs w:val="26"/>
        </w:rPr>
        <w:t>”</w:t>
      </w:r>
      <w:r w:rsidRPr="0010197A" w:rsidR="50FE0D0F">
        <w:rPr>
          <w:color w:val="000000" w:themeColor="text1"/>
          <w:szCs w:val="26"/>
        </w:rPr>
        <w:t xml:space="preserve"> to present</w:t>
      </w:r>
      <w:r w:rsidRPr="0010197A" w:rsidR="2BEC093C">
        <w:rPr>
          <w:color w:val="000000" w:themeColor="text1"/>
          <w:szCs w:val="26"/>
        </w:rPr>
        <w:t xml:space="preserve"> and explain</w:t>
      </w:r>
      <w:r w:rsidRPr="0010197A" w:rsidR="50FE0D0F">
        <w:rPr>
          <w:color w:val="000000" w:themeColor="text1"/>
          <w:szCs w:val="26"/>
        </w:rPr>
        <w:t xml:space="preserve"> PCIA charges on bundled customers’ bills. </w:t>
      </w:r>
    </w:p>
    <w:p w:rsidRPr="001A03FB" w:rsidR="00452379" w:rsidP="005C40F3" w:rsidRDefault="00452379" w14:paraId="3B250E68" w14:textId="17A675D0">
      <w:pPr>
        <w:spacing w:line="360" w:lineRule="auto"/>
        <w:rPr>
          <w:rFonts w:asciiTheme="majorHAnsi" w:hAnsiTheme="majorHAnsi"/>
          <w:color w:val="000000" w:themeColor="text1"/>
          <w:sz w:val="24"/>
          <w:szCs w:val="24"/>
        </w:rPr>
      </w:pPr>
    </w:p>
    <w:p w:rsidRPr="00AF3B25" w:rsidR="001E0266" w:rsidP="005C40F3" w:rsidRDefault="2BEC093C" w14:paraId="79EAA221" w14:textId="14AF6131">
      <w:pPr>
        <w:spacing w:line="360" w:lineRule="auto"/>
        <w:rPr>
          <w:color w:val="000000" w:themeColor="text1"/>
          <w:szCs w:val="26"/>
          <w:u w:val="single"/>
        </w:rPr>
      </w:pPr>
      <w:r w:rsidRPr="00AF3B25">
        <w:rPr>
          <w:color w:val="000000" w:themeColor="text1"/>
          <w:szCs w:val="26"/>
          <w:u w:val="single"/>
        </w:rPr>
        <w:t xml:space="preserve">Utilities’ </w:t>
      </w:r>
      <w:r w:rsidRPr="00AF3B25" w:rsidR="50FE0D0F">
        <w:rPr>
          <w:color w:val="000000" w:themeColor="text1"/>
          <w:szCs w:val="26"/>
          <w:u w:val="single"/>
        </w:rPr>
        <w:t>Joint Proposal</w:t>
      </w:r>
      <w:r w:rsidRPr="00AF3B25" w:rsidR="2322F723">
        <w:rPr>
          <w:color w:val="000000" w:themeColor="text1"/>
          <w:szCs w:val="26"/>
          <w:u w:val="single"/>
        </w:rPr>
        <w:t>:</w:t>
      </w:r>
    </w:p>
    <w:p w:rsidRPr="001A03FB" w:rsidR="00452379" w:rsidP="005C40F3" w:rsidRDefault="00452379" w14:paraId="74C9A10A" w14:textId="7633E2D5">
      <w:pPr>
        <w:spacing w:line="360" w:lineRule="auto"/>
        <w:rPr>
          <w:rFonts w:asciiTheme="majorHAnsi" w:hAnsiTheme="majorHAnsi"/>
          <w:color w:val="000000" w:themeColor="text1"/>
          <w:sz w:val="24"/>
          <w:szCs w:val="24"/>
          <w:u w:val="single"/>
        </w:rPr>
      </w:pPr>
    </w:p>
    <w:p w:rsidRPr="001A03FB" w:rsidR="0039515D" w:rsidP="0010197A" w:rsidRDefault="2322F723" w14:paraId="4310EBE9" w14:textId="40AF2533">
      <w:pPr>
        <w:spacing w:line="360" w:lineRule="auto"/>
      </w:pPr>
      <w:r w:rsidRPr="001A03FB">
        <w:t xml:space="preserve">The Joint Proposal put forward by the </w:t>
      </w:r>
      <w:r w:rsidR="000516AB">
        <w:t>u</w:t>
      </w:r>
      <w:r w:rsidRPr="001A03FB">
        <w:t xml:space="preserve">tilities </w:t>
      </w:r>
      <w:r w:rsidRPr="001A03FB" w:rsidR="42056397">
        <w:t>addresses three issues</w:t>
      </w:r>
      <w:r w:rsidRPr="001A03FB" w:rsidR="045FFCF7">
        <w:t xml:space="preserve">. </w:t>
      </w:r>
    </w:p>
    <w:p w:rsidRPr="00AF3B25" w:rsidR="00AF7618" w:rsidP="0010197A" w:rsidRDefault="00164AEE" w14:paraId="3DFE84E2" w14:textId="4AB53CA3">
      <w:pPr>
        <w:pStyle w:val="Heading4"/>
        <w:rPr>
          <w:rFonts w:ascii="Palatino" w:hAnsi="Palatino"/>
          <w:b w:val="0"/>
          <w:bCs w:val="0"/>
          <w:i/>
          <w:iCs/>
        </w:rPr>
      </w:pPr>
      <w:r w:rsidRPr="00AF3B25">
        <w:rPr>
          <w:rFonts w:ascii="Palatino" w:hAnsi="Palatino"/>
          <w:b w:val="0"/>
          <w:bCs w:val="0"/>
          <w:i/>
          <w:iCs/>
        </w:rPr>
        <w:t xml:space="preserve">1. </w:t>
      </w:r>
      <w:r w:rsidRPr="00AF3B25" w:rsidR="00AF7618">
        <w:rPr>
          <w:rFonts w:ascii="Palatino" w:hAnsi="Palatino"/>
          <w:b w:val="0"/>
          <w:bCs w:val="0"/>
          <w:i/>
          <w:iCs/>
        </w:rPr>
        <w:t xml:space="preserve">Adding </w:t>
      </w:r>
      <w:r w:rsidRPr="00AF3B25">
        <w:rPr>
          <w:rFonts w:ascii="Palatino" w:hAnsi="Palatino"/>
          <w:b w:val="0"/>
          <w:bCs w:val="0"/>
          <w:i/>
          <w:iCs/>
        </w:rPr>
        <w:t>a</w:t>
      </w:r>
      <w:r w:rsidRPr="00AF3B25" w:rsidR="00AF7618">
        <w:rPr>
          <w:rFonts w:ascii="Palatino" w:hAnsi="Palatino"/>
          <w:b w:val="0"/>
          <w:bCs w:val="0"/>
          <w:i/>
          <w:iCs/>
        </w:rPr>
        <w:t xml:space="preserve"> PCIA Line Item</w:t>
      </w:r>
      <w:r w:rsidRPr="00AF3B25">
        <w:rPr>
          <w:rFonts w:ascii="Palatino" w:hAnsi="Palatino"/>
          <w:b w:val="0"/>
          <w:bCs w:val="0"/>
          <w:i/>
          <w:iCs/>
        </w:rPr>
        <w:t xml:space="preserve"> to Bundled Service Customer Bills</w:t>
      </w:r>
      <w:r w:rsidRPr="00AF3B25" w:rsidR="00AF7618">
        <w:rPr>
          <w:rFonts w:ascii="Palatino" w:hAnsi="Palatino"/>
          <w:b w:val="0"/>
          <w:bCs w:val="0"/>
          <w:i/>
          <w:iCs/>
        </w:rPr>
        <w:t>:</w:t>
      </w:r>
    </w:p>
    <w:p w:rsidR="00207947" w:rsidP="0010197A" w:rsidRDefault="00AF7618" w14:paraId="5B33089C" w14:textId="11714948">
      <w:pPr>
        <w:spacing w:line="360" w:lineRule="auto"/>
      </w:pPr>
      <w:r>
        <w:lastRenderedPageBreak/>
        <w:t>The</w:t>
      </w:r>
      <w:r w:rsidR="0039515D">
        <w:t xml:space="preserve"> </w:t>
      </w:r>
      <w:r w:rsidR="00ED221F">
        <w:t xml:space="preserve">Joint Proposal states that the </w:t>
      </w:r>
      <w:r w:rsidR="00171350">
        <w:t>u</w:t>
      </w:r>
      <w:r w:rsidR="00ED221F">
        <w:t xml:space="preserve">tilities will </w:t>
      </w:r>
      <w:r w:rsidR="0039515D">
        <w:t xml:space="preserve">modify the “Details” section of </w:t>
      </w:r>
      <w:r w:rsidR="001C2FE8">
        <w:t xml:space="preserve">bundled customer </w:t>
      </w:r>
      <w:r w:rsidR="0039515D">
        <w:t xml:space="preserve">bills to include </w:t>
      </w:r>
      <w:r w:rsidR="001C2FE8">
        <w:t>a line item showing the portion of the customer’s generation charges that are accounted for by the</w:t>
      </w:r>
      <w:r w:rsidR="0039515D">
        <w:t xml:space="preserve"> PCIA</w:t>
      </w:r>
      <w:r w:rsidR="00207947">
        <w:t>.</w:t>
      </w:r>
      <w:r w:rsidR="000073A2">
        <w:t xml:space="preserve"> The line item </w:t>
      </w:r>
      <w:r w:rsidR="007A0E5F">
        <w:t xml:space="preserve">would serve to facilitate comparisons between bundled and departed customer bills. </w:t>
      </w:r>
    </w:p>
    <w:p w:rsidR="00097E79" w:rsidP="07DFD98B" w:rsidRDefault="00097E79" w14:paraId="63A2F9CC" w14:textId="780C0FF5">
      <w:pPr>
        <w:spacing w:line="360" w:lineRule="auto"/>
      </w:pPr>
    </w:p>
    <w:p w:rsidRPr="001A03FB" w:rsidR="003A4C10" w:rsidP="0010197A" w:rsidRDefault="00326F50" w14:paraId="0F7A2B31" w14:textId="78717323">
      <w:pPr>
        <w:spacing w:line="360" w:lineRule="auto"/>
      </w:pPr>
      <w:r>
        <w:t xml:space="preserve">However, </w:t>
      </w:r>
      <w:r w:rsidR="003C7640">
        <w:t xml:space="preserve">while the portion of generation that is accounted for by the PCIA </w:t>
      </w:r>
      <w:r w:rsidR="00F86556">
        <w:t xml:space="preserve">would appear as a new line, </w:t>
      </w:r>
      <w:r w:rsidR="00985E2C">
        <w:t xml:space="preserve">PCIA </w:t>
      </w:r>
      <w:r w:rsidR="00207947">
        <w:t xml:space="preserve">charges </w:t>
      </w:r>
      <w:r w:rsidR="00F86556">
        <w:t>would n</w:t>
      </w:r>
      <w:r w:rsidR="00985E2C">
        <w:t>o</w:t>
      </w:r>
      <w:r w:rsidR="00F86556">
        <w:t xml:space="preserve">t be </w:t>
      </w:r>
      <w:r w:rsidR="00EF2E01">
        <w:t>subtracted from bundled customer</w:t>
      </w:r>
      <w:r w:rsidR="00FD6BE7">
        <w:t>’s</w:t>
      </w:r>
      <w:r w:rsidR="00EF2E01">
        <w:t xml:space="preserve"> generation charges</w:t>
      </w:r>
      <w:r w:rsidR="005C10A3">
        <w:t>.</w:t>
      </w:r>
      <w:r w:rsidR="00985E2C">
        <w:t xml:space="preserve"> </w:t>
      </w:r>
      <w:proofErr w:type="gramStart"/>
      <w:r w:rsidR="005C10A3">
        <w:t>Actually</w:t>
      </w:r>
      <w:proofErr w:type="gramEnd"/>
      <w:r w:rsidR="005C10A3">
        <w:t xml:space="preserve"> subtracting the PCIA portion from bundled customer generation charges will </w:t>
      </w:r>
      <w:r w:rsidR="00BC3141">
        <w:t xml:space="preserve">require a change in the utilities’ rate structures. This is because the PCIA is calculated on a per kWh, or volumetric, </w:t>
      </w:r>
      <w:r w:rsidR="00023005">
        <w:t xml:space="preserve">basis, while </w:t>
      </w:r>
      <w:r w:rsidR="00BF4CD3">
        <w:t xml:space="preserve">most </w:t>
      </w:r>
      <w:r w:rsidR="00AF7618">
        <w:t>utility rates are time differentiated</w:t>
      </w:r>
      <w:r w:rsidR="00A06D85">
        <w:t xml:space="preserve">. </w:t>
      </w:r>
      <w:r w:rsidR="00023005">
        <w:t xml:space="preserve">The compromise solution </w:t>
      </w:r>
      <w:r w:rsidR="001503CB">
        <w:t xml:space="preserve">put forward here is to leave the bundled customer utility charge </w:t>
      </w:r>
      <w:proofErr w:type="gramStart"/>
      <w:r w:rsidR="001503CB">
        <w:t>unchanged, but</w:t>
      </w:r>
      <w:proofErr w:type="gramEnd"/>
      <w:r w:rsidR="001503CB">
        <w:t xml:space="preserve"> add a line item showing </w:t>
      </w:r>
      <w:r w:rsidR="00DC5A2B">
        <w:t>the portion of that charge that is caused by the customer’s PCIA responsibility. Changes</w:t>
      </w:r>
      <w:r w:rsidR="003A4C10">
        <w:t xml:space="preserve"> to bundled customer rates </w:t>
      </w:r>
      <w:r w:rsidR="00DC5A2B">
        <w:t xml:space="preserve">are out of scope for a proceeding considering the PCIA and </w:t>
      </w:r>
      <w:r w:rsidR="003A4C10">
        <w:t xml:space="preserve">would need to be considered in the context of a rate design proceeding. </w:t>
      </w:r>
      <w:r w:rsidR="00A1458A">
        <w:t xml:space="preserve"> </w:t>
      </w:r>
      <w:r w:rsidR="0080552C">
        <w:t>The</w:t>
      </w:r>
      <w:r w:rsidR="003A4C10">
        <w:t xml:space="preserve"> determination of class-specific rate designs is </w:t>
      </w:r>
      <w:r w:rsidR="00C6177A">
        <w:t xml:space="preserve">appropriately </w:t>
      </w:r>
      <w:r w:rsidR="003A4C10">
        <w:t xml:space="preserve">litigated in each utility’s General Rate Case (GRC) Phase 2 proceeding. </w:t>
      </w:r>
    </w:p>
    <w:p w:rsidRPr="00AF3B25" w:rsidR="00164AEE" w:rsidP="0010197A" w:rsidRDefault="00164AEE" w14:paraId="6C1E5AFB" w14:textId="5C834BDD">
      <w:pPr>
        <w:pStyle w:val="NormalWeb"/>
        <w:spacing w:line="360" w:lineRule="auto"/>
        <w:rPr>
          <w:rFonts w:ascii="Palatino" w:hAnsi="Palatino" w:cs="Arial"/>
          <w:i/>
          <w:iCs/>
          <w:sz w:val="26"/>
          <w:szCs w:val="26"/>
        </w:rPr>
      </w:pPr>
      <w:r w:rsidRPr="00AF3B25">
        <w:rPr>
          <w:rFonts w:ascii="Palatino" w:hAnsi="Palatino" w:cs="Arial"/>
        </w:rPr>
        <w:t>2</w:t>
      </w:r>
      <w:r w:rsidRPr="00AF3B25">
        <w:rPr>
          <w:rFonts w:ascii="Palatino" w:hAnsi="Palatino" w:cs="Arial"/>
          <w:i/>
          <w:iCs/>
          <w:sz w:val="26"/>
          <w:szCs w:val="26"/>
        </w:rPr>
        <w:t xml:space="preserve">.  </w:t>
      </w:r>
      <w:r w:rsidRPr="00AF3B25" w:rsidR="00207947">
        <w:rPr>
          <w:rFonts w:ascii="Palatino" w:hAnsi="Palatino" w:cs="Arial"/>
          <w:i/>
          <w:iCs/>
          <w:sz w:val="26"/>
          <w:szCs w:val="26"/>
        </w:rPr>
        <w:t>Definition of</w:t>
      </w:r>
      <w:r w:rsidRPr="00AF3B25">
        <w:rPr>
          <w:rFonts w:ascii="Palatino" w:hAnsi="Palatino" w:cs="Arial"/>
          <w:i/>
          <w:iCs/>
          <w:sz w:val="26"/>
          <w:szCs w:val="26"/>
        </w:rPr>
        <w:t xml:space="preserve"> the PCIA on </w:t>
      </w:r>
      <w:r w:rsidRPr="00AF3B25" w:rsidR="00097E79">
        <w:rPr>
          <w:rFonts w:ascii="Palatino" w:hAnsi="Palatino" w:cs="Arial"/>
          <w:i/>
          <w:iCs/>
          <w:sz w:val="26"/>
          <w:szCs w:val="26"/>
        </w:rPr>
        <w:t xml:space="preserve">All </w:t>
      </w:r>
      <w:r w:rsidRPr="00AF3B25">
        <w:rPr>
          <w:rFonts w:ascii="Palatino" w:hAnsi="Palatino" w:cs="Arial"/>
          <w:i/>
          <w:iCs/>
          <w:sz w:val="26"/>
          <w:szCs w:val="26"/>
        </w:rPr>
        <w:t>Customer Bills:</w:t>
      </w:r>
    </w:p>
    <w:p w:rsidRPr="001A03FB" w:rsidR="00AF7618" w:rsidP="0010197A" w:rsidRDefault="00AF7618" w14:paraId="1B617AE8" w14:textId="041F96AA">
      <w:pPr>
        <w:spacing w:line="360" w:lineRule="auto"/>
      </w:pPr>
      <w:r w:rsidRPr="001A03FB">
        <w:t>The</w:t>
      </w:r>
      <w:r w:rsidRPr="001A03FB" w:rsidR="00D3030D">
        <w:t xml:space="preserve"> utilities </w:t>
      </w:r>
      <w:r w:rsidRPr="001A03FB">
        <w:t>propose that they would each</w:t>
      </w:r>
      <w:r w:rsidRPr="001A03FB" w:rsidR="00D3030D">
        <w:t xml:space="preserve"> add a definition of “PCIA”</w:t>
      </w:r>
      <w:r w:rsidRPr="001A03FB" w:rsidR="00B22C84">
        <w:t xml:space="preserve"> on all customer bills</w:t>
      </w:r>
      <w:r w:rsidRPr="001A03FB">
        <w:t xml:space="preserve"> </w:t>
      </w:r>
      <w:r w:rsidRPr="001A03FB" w:rsidR="00D3030D">
        <w:t xml:space="preserve">or modify </w:t>
      </w:r>
      <w:r w:rsidRPr="001A03FB">
        <w:t xml:space="preserve">the definition </w:t>
      </w:r>
      <w:r w:rsidRPr="001A03FB" w:rsidR="00B22C84">
        <w:t>for bills that already contain one</w:t>
      </w:r>
      <w:r w:rsidRPr="001A03FB" w:rsidR="00164AEE">
        <w:t xml:space="preserve">. The </w:t>
      </w:r>
      <w:r w:rsidRPr="001A03FB" w:rsidR="00164AEE">
        <w:lastRenderedPageBreak/>
        <w:t>definition is meant</w:t>
      </w:r>
      <w:r w:rsidRPr="001A03FB" w:rsidR="00D3030D">
        <w:t xml:space="preserve"> to help customers understand what the PCIA line item refers to.</w:t>
      </w:r>
      <w:r w:rsidRPr="001A03FB">
        <w:t xml:space="preserve">  </w:t>
      </w:r>
      <w:r w:rsidRPr="001A03FB" w:rsidR="00164AEE">
        <w:t xml:space="preserve">The utilities propose using the following definition for the PCIA: </w:t>
      </w:r>
    </w:p>
    <w:p w:rsidRPr="00AF3B25" w:rsidR="00A956B5" w:rsidP="0010197A" w:rsidRDefault="00D3030D" w14:paraId="6F283E51" w14:textId="6683194E">
      <w:pPr>
        <w:pStyle w:val="NormalWeb"/>
        <w:spacing w:line="360" w:lineRule="auto"/>
        <w:rPr>
          <w:rFonts w:ascii="Palatino" w:hAnsi="Palatino" w:cs="Arial"/>
          <w:i/>
          <w:sz w:val="26"/>
          <w:szCs w:val="26"/>
        </w:rPr>
      </w:pPr>
      <w:r w:rsidRPr="00AF3B25">
        <w:rPr>
          <w:rFonts w:ascii="Palatino" w:hAnsi="Palatino" w:cs="Arial"/>
          <w:i/>
          <w:iCs/>
          <w:sz w:val="26"/>
          <w:szCs w:val="26"/>
        </w:rPr>
        <w:t>“An amount to recover the above-market portion of [Utility’s] electric generation portfolio.”</w:t>
      </w:r>
    </w:p>
    <w:p w:rsidRPr="00AF3B25" w:rsidR="00023469" w:rsidP="0010197A" w:rsidRDefault="00164AEE" w14:paraId="055BD27A" w14:textId="77777777">
      <w:pPr>
        <w:pStyle w:val="Heading4"/>
        <w:rPr>
          <w:rFonts w:ascii="Palatino" w:hAnsi="Palatino"/>
          <w:b w:val="0"/>
          <w:bCs w:val="0"/>
        </w:rPr>
      </w:pPr>
      <w:r w:rsidRPr="00AF3B25">
        <w:rPr>
          <w:rFonts w:ascii="Palatino" w:hAnsi="Palatino"/>
          <w:b w:val="0"/>
          <w:bCs w:val="0"/>
        </w:rPr>
        <w:t xml:space="preserve">3. </w:t>
      </w:r>
      <w:r w:rsidRPr="00AF3B25" w:rsidR="06BCA911">
        <w:rPr>
          <w:rFonts w:ascii="Palatino" w:hAnsi="Palatino"/>
          <w:b w:val="0"/>
          <w:bCs w:val="0"/>
          <w:i/>
          <w:iCs/>
        </w:rPr>
        <w:t xml:space="preserve">Modifications to </w:t>
      </w:r>
      <w:r w:rsidRPr="00AF3B25" w:rsidR="00960FFC">
        <w:rPr>
          <w:rFonts w:ascii="Palatino" w:hAnsi="Palatino"/>
          <w:b w:val="0"/>
          <w:bCs w:val="0"/>
          <w:i/>
          <w:iCs/>
        </w:rPr>
        <w:t xml:space="preserve">tariffs </w:t>
      </w:r>
      <w:r w:rsidRPr="00AF3B25">
        <w:rPr>
          <w:rFonts w:ascii="Palatino" w:hAnsi="Palatino"/>
          <w:b w:val="0"/>
          <w:bCs w:val="0"/>
          <w:i/>
          <w:iCs/>
        </w:rPr>
        <w:t>to standardize presentation formats across the utilities</w:t>
      </w:r>
      <w:r w:rsidRPr="00AF3B25" w:rsidR="00960FFC">
        <w:rPr>
          <w:rFonts w:ascii="Palatino" w:hAnsi="Palatino"/>
          <w:b w:val="0"/>
          <w:bCs w:val="0"/>
          <w:i/>
          <w:iCs/>
        </w:rPr>
        <w:t xml:space="preserve"> and </w:t>
      </w:r>
      <w:r w:rsidRPr="00AF3B25" w:rsidR="00023469">
        <w:rPr>
          <w:rFonts w:ascii="Palatino" w:hAnsi="Palatino"/>
          <w:b w:val="0"/>
          <w:bCs w:val="0"/>
          <w:i/>
          <w:iCs/>
        </w:rPr>
        <w:t>explain how the PCIA is recovered</w:t>
      </w:r>
      <w:r w:rsidRPr="00AF3B25" w:rsidR="00023469">
        <w:rPr>
          <w:rFonts w:ascii="Palatino" w:hAnsi="Palatino"/>
          <w:b w:val="0"/>
          <w:bCs w:val="0"/>
        </w:rPr>
        <w:t>.</w:t>
      </w:r>
    </w:p>
    <w:p w:rsidR="00587EBB" w:rsidP="0010197A" w:rsidRDefault="32A5AA5C" w14:paraId="327BD528" w14:textId="77777777">
      <w:pPr>
        <w:spacing w:line="360" w:lineRule="auto"/>
      </w:pPr>
      <w:r w:rsidRPr="07DFD98B">
        <w:rPr>
          <w:rFonts w:cs="Arial"/>
        </w:rPr>
        <w:t>The utilities</w:t>
      </w:r>
      <w:r w:rsidRPr="07DFD98B" w:rsidR="001A493C">
        <w:rPr>
          <w:rFonts w:cs="Arial"/>
        </w:rPr>
        <w:t>’</w:t>
      </w:r>
      <w:r w:rsidRPr="07DFD98B">
        <w:rPr>
          <w:rFonts w:cs="Arial"/>
        </w:rPr>
        <w:t xml:space="preserve"> </w:t>
      </w:r>
      <w:r w:rsidRPr="07DFD98B" w:rsidR="001A493C">
        <w:rPr>
          <w:rFonts w:cs="Arial"/>
        </w:rPr>
        <w:t>Cost Responsibility Tariffs (“</w:t>
      </w:r>
      <w:r w:rsidRPr="07DFD98B">
        <w:rPr>
          <w:rFonts w:cs="Arial"/>
        </w:rPr>
        <w:t>CRS</w:t>
      </w:r>
      <w:r w:rsidRPr="07DFD98B" w:rsidR="001A493C">
        <w:rPr>
          <w:rFonts w:cs="Arial"/>
        </w:rPr>
        <w:t>”)</w:t>
      </w:r>
      <w:r w:rsidRPr="07DFD98B">
        <w:rPr>
          <w:rFonts w:cs="Arial"/>
        </w:rPr>
        <w:t xml:space="preserve"> </w:t>
      </w:r>
      <w:r w:rsidRPr="07DFD98B" w:rsidR="7400C52A">
        <w:rPr>
          <w:rFonts w:cs="Arial"/>
        </w:rPr>
        <w:t>a</w:t>
      </w:r>
      <w:r w:rsidRPr="07DFD98B" w:rsidR="00790E6B">
        <w:rPr>
          <w:rFonts w:cs="Arial"/>
        </w:rPr>
        <w:t xml:space="preserve">pply to departing load only. </w:t>
      </w:r>
      <w:r w:rsidRPr="07DFD98B" w:rsidR="00BB4A63">
        <w:rPr>
          <w:rFonts w:cs="Arial"/>
        </w:rPr>
        <w:t xml:space="preserve">In </w:t>
      </w:r>
      <w:r w:rsidR="00BB4A63">
        <w:t>AL 4302-G-G/5932-E</w:t>
      </w:r>
      <w:r w:rsidR="0057249E">
        <w:t>,</w:t>
      </w:r>
      <w:r w:rsidR="00BB4A63">
        <w:t xml:space="preserve"> PG&amp;E propose</w:t>
      </w:r>
      <w:r w:rsidR="00A92582">
        <w:t xml:space="preserve">s updating the Rate Section of </w:t>
      </w:r>
      <w:r w:rsidR="0057249E">
        <w:t>its</w:t>
      </w:r>
      <w:r w:rsidR="00A92582">
        <w:t xml:space="preserve"> CRS tariffs </w:t>
      </w:r>
      <w:r w:rsidR="001C5618">
        <w:t>to improve transparency</w:t>
      </w:r>
      <w:r w:rsidR="00843B40">
        <w:t xml:space="preserve"> of the CCA-CRS and DA-CRS tariffs</w:t>
      </w:r>
      <w:r w:rsidR="00A04F1D">
        <w:t xml:space="preserve"> and align these tariffs more closely with </w:t>
      </w:r>
      <w:r w:rsidR="00054294">
        <w:t>SCE and SDG&amp;E’s CRS tariffs</w:t>
      </w:r>
      <w:r w:rsidR="00843B40">
        <w:t xml:space="preserve">. The update includes </w:t>
      </w:r>
      <w:r w:rsidR="00183CA0">
        <w:t>a table that maps rate schedules to rate classes in a similar manner to what SDG&amp;E and SCE already do with tariff summary tables.</w:t>
      </w:r>
    </w:p>
    <w:p w:rsidR="00D3672A" w:rsidP="0010197A" w:rsidRDefault="00183CA0" w14:paraId="2E27F1BF" w14:textId="21E6E8C0">
      <w:pPr>
        <w:spacing w:line="360" w:lineRule="auto"/>
      </w:pPr>
      <w:r w:rsidRPr="001A03FB">
        <w:t xml:space="preserve"> </w:t>
      </w:r>
    </w:p>
    <w:p w:rsidR="00275040" w:rsidP="0010197A" w:rsidRDefault="009C6769" w14:paraId="5D1C2528" w14:textId="5F3A2F8A">
      <w:pPr>
        <w:spacing w:line="360" w:lineRule="auto"/>
        <w:rPr>
          <w:rFonts w:cs="Arial"/>
        </w:rPr>
      </w:pPr>
      <w:r>
        <w:t>The</w:t>
      </w:r>
      <w:r w:rsidRPr="001A03FB">
        <w:rPr>
          <w:rFonts w:cs="Arial"/>
        </w:rPr>
        <w:t xml:space="preserve"> utilities also </w:t>
      </w:r>
      <w:r w:rsidR="00CF7EB9">
        <w:rPr>
          <w:rFonts w:cs="Arial"/>
        </w:rPr>
        <w:t xml:space="preserve">each </w:t>
      </w:r>
      <w:r w:rsidRPr="001A03FB">
        <w:rPr>
          <w:rFonts w:cs="Arial"/>
        </w:rPr>
        <w:t xml:space="preserve">propose </w:t>
      </w:r>
      <w:r w:rsidR="00CF7EB9">
        <w:rPr>
          <w:rFonts w:cs="Arial"/>
        </w:rPr>
        <w:t>modifications to</w:t>
      </w:r>
      <w:r w:rsidRPr="001A03FB">
        <w:rPr>
          <w:rFonts w:cs="Arial"/>
        </w:rPr>
        <w:t xml:space="preserve"> </w:t>
      </w:r>
      <w:r>
        <w:rPr>
          <w:rFonts w:cs="Arial"/>
        </w:rPr>
        <w:t>the</w:t>
      </w:r>
      <w:r w:rsidRPr="001A03FB">
        <w:rPr>
          <w:rFonts w:cs="Arial"/>
        </w:rPr>
        <w:t xml:space="preserve"> applicable electric rate schedules in their </w:t>
      </w:r>
      <w:r w:rsidR="00DB1F01">
        <w:rPr>
          <w:rFonts w:cs="Arial"/>
        </w:rPr>
        <w:t>I</w:t>
      </w:r>
      <w:r w:rsidRPr="001A03FB">
        <w:rPr>
          <w:rFonts w:cs="Arial"/>
        </w:rPr>
        <w:t xml:space="preserve">ndividual </w:t>
      </w:r>
      <w:r w:rsidR="00DB1F01">
        <w:rPr>
          <w:rFonts w:cs="Arial"/>
        </w:rPr>
        <w:t>T</w:t>
      </w:r>
      <w:r w:rsidRPr="001A03FB">
        <w:rPr>
          <w:rFonts w:cs="Arial"/>
        </w:rPr>
        <w:t>ariffs to include a new Special Condition that explains how the PCIA is recovered from Bundled Service customers</w:t>
      </w:r>
    </w:p>
    <w:p w:rsidRPr="000B548C" w:rsidR="0002658E" w:rsidP="00AF3B25" w:rsidRDefault="0002658E" w14:paraId="563EA1DD" w14:textId="77777777"/>
    <w:p w:rsidRPr="00AF3B25" w:rsidR="00CF17DE" w:rsidP="00AF3B25" w:rsidRDefault="00394B3A" w14:paraId="66788129" w14:textId="77777777">
      <w:pPr>
        <w:pStyle w:val="Heading1"/>
      </w:pPr>
      <w:r w:rsidRPr="00AF3B25">
        <w:t>Notice</w:t>
      </w:r>
    </w:p>
    <w:p w:rsidR="00B07D85" w:rsidP="07DFD98B" w:rsidRDefault="00B07D85" w14:paraId="76BFEB1D" w14:textId="30F6CEB2">
      <w:pPr>
        <w:spacing w:line="360" w:lineRule="auto"/>
      </w:pPr>
      <w:r>
        <w:t xml:space="preserve">Notice of </w:t>
      </w:r>
      <w:r w:rsidRPr="07DFD98B">
        <w:rPr>
          <w:color w:val="000000" w:themeColor="text1"/>
        </w:rPr>
        <w:t xml:space="preserve">AL 4302-G-G/5932-E (PG&amp;E), AL 4280-E (SCE), and AL 3600-E (SDG&amp;E) </w:t>
      </w:r>
      <w:r>
        <w:t xml:space="preserve">was made by publication in the Commission’s Daily Calendar.  PG&amp;E, SCE, and SDG&amp;E state that a copy of the Advice Letter was mailed and distributed in accordance with Section 4 of General Order 96-B. </w:t>
      </w:r>
    </w:p>
    <w:p w:rsidRPr="001A03FB" w:rsidR="00CF17DE" w:rsidP="07DFD98B" w:rsidRDefault="00CF17DE" w14:paraId="6E8F021A" w14:textId="51E84E9B">
      <w:pPr>
        <w:spacing w:line="360" w:lineRule="auto"/>
      </w:pPr>
    </w:p>
    <w:p w:rsidRPr="001A03FB" w:rsidR="00CF17DE" w:rsidP="00AF3B25" w:rsidRDefault="4A1C7291" w14:paraId="7F509E4C" w14:textId="77777777">
      <w:pPr>
        <w:pStyle w:val="Heading1"/>
      </w:pPr>
      <w:r w:rsidRPr="001A03FB">
        <w:lastRenderedPageBreak/>
        <w:t>Protests</w:t>
      </w:r>
    </w:p>
    <w:p w:rsidRPr="001A03FB" w:rsidR="00552A89" w:rsidP="0010197A" w:rsidRDefault="00932097" w14:paraId="079528CC" w14:textId="6A6A6714">
      <w:pPr>
        <w:spacing w:line="360" w:lineRule="auto"/>
      </w:pPr>
      <w:r w:rsidRPr="001A03FB">
        <w:t xml:space="preserve">On September 21, 2020, </w:t>
      </w:r>
      <w:r w:rsidRPr="001A03FB" w:rsidR="00552A89">
        <w:t>California Community Choice Association (CalCCA) and the Direct Access Customer Coalition (DACC) jointly submitted a timely response (“Response”) to Pacific Gas &amp; Electric Company’s Advice Letter 4302-G</w:t>
      </w:r>
      <w:r w:rsidRPr="001A03FB" w:rsidR="001D0473">
        <w:t>/</w:t>
      </w:r>
      <w:r w:rsidRPr="001A03FB" w:rsidR="00552A89">
        <w:t xml:space="preserve">5932-E, Southern California Edison’s Advice Letter 4280-E and San Diego Gas and Electric’s Advice Letter 3600-E.  </w:t>
      </w:r>
    </w:p>
    <w:p w:rsidRPr="001A03FB" w:rsidR="00EA402C" w:rsidP="0010197A" w:rsidRDefault="00EA402C" w14:paraId="480BA45A" w14:textId="01ACEE6F">
      <w:pPr>
        <w:spacing w:line="360" w:lineRule="auto"/>
      </w:pPr>
    </w:p>
    <w:p w:rsidRPr="001A03FB" w:rsidR="00EA402C" w:rsidP="0010197A" w:rsidRDefault="00EA402C" w14:paraId="6243D4B7" w14:textId="6FE8809F">
      <w:pPr>
        <w:spacing w:line="360" w:lineRule="auto"/>
      </w:pPr>
      <w:r w:rsidRPr="001A03FB">
        <w:t xml:space="preserve">The Response expresses </w:t>
      </w:r>
      <w:proofErr w:type="spellStart"/>
      <w:r w:rsidR="008438E9">
        <w:t>CalCCA’s</w:t>
      </w:r>
      <w:proofErr w:type="spellEnd"/>
      <w:r w:rsidR="008438E9">
        <w:t xml:space="preserve"> and DACC’s </w:t>
      </w:r>
      <w:r w:rsidRPr="001A03FB">
        <w:t>concern that implementation of billing changes might be delayed due to planned upgrades and changes to PG&amp;E and SCE’s billing systems.</w:t>
      </w:r>
    </w:p>
    <w:p w:rsidRPr="001A03FB" w:rsidR="00EA402C" w:rsidP="0010197A" w:rsidRDefault="00EA402C" w14:paraId="2B64880C" w14:textId="21B71DD1">
      <w:pPr>
        <w:spacing w:line="360" w:lineRule="auto"/>
      </w:pPr>
    </w:p>
    <w:p w:rsidRPr="001A03FB" w:rsidR="00552A89" w:rsidP="0010197A" w:rsidRDefault="00EA402C" w14:paraId="004AD635" w14:textId="7E8BFA87">
      <w:pPr>
        <w:spacing w:line="360" w:lineRule="auto"/>
      </w:pPr>
      <w:r w:rsidRPr="001A03FB">
        <w:t>C</w:t>
      </w:r>
      <w:r w:rsidRPr="00590623">
        <w:t xml:space="preserve">alCCA and DACC </w:t>
      </w:r>
      <w:r w:rsidRPr="00590623" w:rsidR="00C7568A">
        <w:t xml:space="preserve">consider the </w:t>
      </w:r>
      <w:r w:rsidRPr="00590623" w:rsidR="0056410C">
        <w:t xml:space="preserve">bill and tariff </w:t>
      </w:r>
      <w:r w:rsidR="008438E9">
        <w:t xml:space="preserve">changes </w:t>
      </w:r>
      <w:r w:rsidRPr="00590623" w:rsidR="00F111C6">
        <w:t>outlined</w:t>
      </w:r>
      <w:r w:rsidRPr="00590623" w:rsidR="00C7568A">
        <w:t xml:space="preserve"> in the Joint Proposal </w:t>
      </w:r>
      <w:r w:rsidRPr="00590623">
        <w:t xml:space="preserve">a </w:t>
      </w:r>
      <w:r w:rsidRPr="00590623" w:rsidR="00552A89">
        <w:t>necessary first step towards comparable bundled and unbundled bills.</w:t>
      </w:r>
      <w:r w:rsidRPr="00590623">
        <w:t xml:space="preserve"> </w:t>
      </w:r>
      <w:r w:rsidRPr="00590623" w:rsidR="1500B45C">
        <w:t>However, t</w:t>
      </w:r>
      <w:r w:rsidRPr="00590623" w:rsidR="0056410C">
        <w:t xml:space="preserve">hey state </w:t>
      </w:r>
      <w:r w:rsidRPr="00590623" w:rsidR="00224A53">
        <w:t>that "</w:t>
      </w:r>
      <w:r w:rsidRPr="00590623">
        <w:t>Even with the changes proposed here, bills remain a confusing customer experience for bundled and unbundled customers alike. More work is needed on both the bills and tariffs to enable customers to make sense of their choices.</w:t>
      </w:r>
      <w:r w:rsidRPr="001A03FB" w:rsidR="009A6AB2">
        <w:t>”</w:t>
      </w:r>
      <w:r w:rsidRPr="07DFD98B" w:rsidR="00552A89">
        <w:rPr>
          <w:rStyle w:val="FootnoteReference"/>
          <w:rFonts w:asciiTheme="majorHAnsi" w:hAnsiTheme="majorHAnsi"/>
        </w:rPr>
        <w:footnoteReference w:id="3"/>
      </w:r>
    </w:p>
    <w:p w:rsidR="00067382" w:rsidP="0010197A" w:rsidRDefault="00067382" w14:paraId="4BDABFC2" w14:textId="77777777">
      <w:pPr>
        <w:spacing w:line="360" w:lineRule="auto"/>
      </w:pPr>
    </w:p>
    <w:p w:rsidRPr="001A03FB" w:rsidR="00EA402C" w:rsidP="0010197A" w:rsidRDefault="00EA402C" w14:paraId="74E43E29" w14:textId="1CDFAC1E">
      <w:pPr>
        <w:spacing w:line="360" w:lineRule="auto"/>
      </w:pPr>
      <w:r w:rsidRPr="001A03FB">
        <w:t xml:space="preserve">Accordingly, CalCCA/DACC recommend that the Commission rapidly approve the Advice Letters </w:t>
      </w:r>
      <w:proofErr w:type="gramStart"/>
      <w:r w:rsidRPr="001A03FB">
        <w:t>in order to</w:t>
      </w:r>
      <w:proofErr w:type="gramEnd"/>
      <w:r w:rsidRPr="001A03FB">
        <w:t xml:space="preserve"> facilitate timely compliance, but that following the </w:t>
      </w:r>
      <w:r w:rsidRPr="001A03FB">
        <w:lastRenderedPageBreak/>
        <w:t>Commission’s approval, Energy Division should hold workshops, as authorized by D.20-03-019 OP2</w:t>
      </w:r>
      <w:r w:rsidRPr="001A03FB" w:rsidR="001D0473">
        <w:t>,</w:t>
      </w:r>
      <w:r w:rsidRPr="001A03FB">
        <w:t xml:space="preserve"> to develop a set of further bill and tariff changes during</w:t>
      </w:r>
      <w:r w:rsidRPr="001A03FB" w:rsidR="00932097">
        <w:t xml:space="preserve"> </w:t>
      </w:r>
      <w:r w:rsidRPr="001A03FB">
        <w:t xml:space="preserve">2021. </w:t>
      </w:r>
    </w:p>
    <w:p w:rsidRPr="001A03FB" w:rsidR="00EA402C" w:rsidP="0010197A" w:rsidRDefault="00EA402C" w14:paraId="0C0212ED" w14:textId="469CC9F7">
      <w:pPr>
        <w:spacing w:line="360" w:lineRule="auto"/>
      </w:pPr>
    </w:p>
    <w:p w:rsidRPr="001A03FB" w:rsidR="00EA402C" w:rsidP="0010197A" w:rsidRDefault="00932097" w14:paraId="07FCE798" w14:textId="489C44AB">
      <w:pPr>
        <w:spacing w:line="360" w:lineRule="auto"/>
      </w:pPr>
      <w:r w:rsidRPr="001A03FB">
        <w:t>On September 28, 2020 SCE submitted a reply to the Joint Response filed by CalCCA and DACC. SCE agrees with the responding parties that the joint proposal should be approved rapidly so that the utilities can move forward with implementation of the proposed bill changes. However, SCE disagrees that the Joint Proposal is “incomplete” and requests that the approval of Advice 4280-E cease any further regulatory action related to the tariff and bill presentment changes ordered in D.20-03-019.</w:t>
      </w:r>
    </w:p>
    <w:p w:rsidRPr="001A03FB" w:rsidR="00932097" w:rsidP="0010197A" w:rsidRDefault="00932097" w14:paraId="2E03274B" w14:textId="4A07338C">
      <w:pPr>
        <w:spacing w:line="360" w:lineRule="auto"/>
      </w:pPr>
    </w:p>
    <w:p w:rsidR="00083A69" w:rsidP="0010197A" w:rsidRDefault="00932097" w14:paraId="26FCDC4B" w14:textId="279664CC">
      <w:pPr>
        <w:spacing w:line="360" w:lineRule="auto"/>
      </w:pPr>
      <w:r w:rsidRPr="001A03FB">
        <w:t xml:space="preserve">SCE states concern that CalCCA and DACC are trying to use the “bill and tariff presentment changes” ordered by D.20-03-019 to attempt to substantively modify how the IOUs recover the PCIA in utility-specific bundled generation rates. These rates, they point out, are set in </w:t>
      </w:r>
      <w:r w:rsidRPr="001A03FB" w:rsidR="00275040">
        <w:t>utility specific</w:t>
      </w:r>
      <w:r w:rsidRPr="001A03FB">
        <w:t xml:space="preserve"> GRC </w:t>
      </w:r>
      <w:r w:rsidR="00425A18">
        <w:t>P</w:t>
      </w:r>
      <w:r w:rsidRPr="001A03FB" w:rsidR="00425A18">
        <w:t xml:space="preserve">hase </w:t>
      </w:r>
      <w:r w:rsidRPr="001A03FB">
        <w:t xml:space="preserve">2 proceedings. SCE argues that Bundled generation rate design is outside of the scope of both the PCIA </w:t>
      </w:r>
      <w:proofErr w:type="gramStart"/>
      <w:r w:rsidRPr="001A03FB">
        <w:t>OIR</w:t>
      </w:r>
      <w:proofErr w:type="gramEnd"/>
      <w:r w:rsidRPr="001A03FB">
        <w:t xml:space="preserve"> and the PCIA-related bill and tariff presentment changes ordered in D.20-03-019.</w:t>
      </w:r>
    </w:p>
    <w:p w:rsidR="00083A69" w:rsidP="00AF3B25" w:rsidRDefault="00083A69" w14:paraId="09DB95B8" w14:textId="77777777">
      <w:pPr>
        <w:rPr>
          <w:sz w:val="24"/>
          <w:szCs w:val="24"/>
        </w:rPr>
      </w:pPr>
    </w:p>
    <w:p w:rsidRPr="001A03FB" w:rsidR="00CF17DE" w:rsidP="00AF3B25" w:rsidRDefault="00CF17DE" w14:paraId="23E10AE5" w14:textId="1A00AD16">
      <w:pPr>
        <w:pStyle w:val="Heading1"/>
      </w:pPr>
      <w:r w:rsidRPr="001A03FB">
        <w:t>Discussion</w:t>
      </w:r>
    </w:p>
    <w:p w:rsidRPr="00AF3B25" w:rsidR="00275040" w:rsidP="0010197A" w:rsidRDefault="00275040" w14:paraId="0C061D7E" w14:textId="2CE38001">
      <w:pPr>
        <w:pStyle w:val="ListParagraph"/>
        <w:numPr>
          <w:ilvl w:val="0"/>
          <w:numId w:val="20"/>
        </w:numPr>
        <w:spacing w:line="360" w:lineRule="auto"/>
        <w:rPr>
          <w:b/>
          <w:bCs/>
          <w:i/>
          <w:iCs/>
        </w:rPr>
      </w:pPr>
      <w:r w:rsidRPr="00AF3B25">
        <w:rPr>
          <w:b/>
          <w:bCs/>
          <w:i/>
          <w:iCs/>
        </w:rPr>
        <w:t>Proposed Changes to Bundled Customer Bills</w:t>
      </w:r>
    </w:p>
    <w:p w:rsidRPr="00AF3B25" w:rsidR="00251A85" w:rsidP="0010197A" w:rsidRDefault="006F778F" w14:paraId="61D9D6FC" w14:textId="0FB6AA88">
      <w:pPr>
        <w:spacing w:line="360" w:lineRule="auto"/>
      </w:pPr>
      <w:r>
        <w:t>The CPUC finds that</w:t>
      </w:r>
      <w:r w:rsidRPr="00AF3B25" w:rsidR="00251A85">
        <w:t xml:space="preserve"> the proposed modifications to PG&amp;E, SDG&amp;E, and SCE bills and tariffs are </w:t>
      </w:r>
      <w:r w:rsidRPr="00AF3B25" w:rsidR="00275040">
        <w:t xml:space="preserve">generally </w:t>
      </w:r>
      <w:r w:rsidRPr="00AF3B25" w:rsidR="00251A85">
        <w:t xml:space="preserve">reasonable. However, the PCIA definition that the utilities have proposed adding to bundled customer bills </w:t>
      </w:r>
      <w:r w:rsidR="00F76C3E">
        <w:t>lacks clarity</w:t>
      </w:r>
      <w:r w:rsidRPr="00AF3B25" w:rsidR="00786E09">
        <w:t xml:space="preserve">. The purpose of </w:t>
      </w:r>
      <w:r w:rsidRPr="00AF3B25" w:rsidR="00786E09">
        <w:lastRenderedPageBreak/>
        <w:t>adding a definition</w:t>
      </w:r>
      <w:r w:rsidRPr="00AF3B25" w:rsidR="00275040">
        <w:t xml:space="preserve"> is to explain the PCIA charge component to </w:t>
      </w:r>
      <w:r w:rsidRPr="00AF3B25" w:rsidR="00C20845">
        <w:t>the utilities’</w:t>
      </w:r>
      <w:r w:rsidRPr="00AF3B25" w:rsidR="00275040">
        <w:t xml:space="preserve"> </w:t>
      </w:r>
      <w:r w:rsidRPr="00AF3B25" w:rsidR="00C20845">
        <w:t>b</w:t>
      </w:r>
      <w:r w:rsidRPr="00AF3B25" w:rsidR="00275040">
        <w:t xml:space="preserve">undled </w:t>
      </w:r>
      <w:r w:rsidRPr="00AF3B25" w:rsidR="00C20845">
        <w:t>s</w:t>
      </w:r>
      <w:r w:rsidRPr="00AF3B25" w:rsidR="00275040">
        <w:t xml:space="preserve">ervice customers. </w:t>
      </w:r>
      <w:r w:rsidRPr="00AF3B25" w:rsidR="00542BC9">
        <w:t>The</w:t>
      </w:r>
      <w:r w:rsidRPr="00AF3B25" w:rsidR="00C20845">
        <w:t xml:space="preserve"> </w:t>
      </w:r>
      <w:r w:rsidRPr="00AF3B25" w:rsidR="00275040">
        <w:t xml:space="preserve">proposed definition of the PCIA on the billing statement and “special condition” in tariffs </w:t>
      </w:r>
      <w:r w:rsidRPr="00AF3B25" w:rsidR="00C20845">
        <w:t>does not</w:t>
      </w:r>
      <w:r w:rsidRPr="00AF3B25" w:rsidR="00275040">
        <w:t xml:space="preserve"> </w:t>
      </w:r>
      <w:r w:rsidRPr="00AF3B25" w:rsidR="00542BC9">
        <w:t xml:space="preserve">achieve this purpose; it neither </w:t>
      </w:r>
      <w:r w:rsidRPr="00AF3B25" w:rsidR="00275040">
        <w:t>explain</w:t>
      </w:r>
      <w:r w:rsidRPr="00AF3B25" w:rsidR="00542BC9">
        <w:t>s</w:t>
      </w:r>
      <w:r w:rsidRPr="00AF3B25" w:rsidR="00275040">
        <w:t xml:space="preserve"> </w:t>
      </w:r>
      <w:r w:rsidRPr="00AF3B25" w:rsidR="00C20845">
        <w:t xml:space="preserve">to customers </w:t>
      </w:r>
      <w:r w:rsidRPr="00AF3B25" w:rsidR="00275040">
        <w:t xml:space="preserve">why the PCIA exists or why customers should be responsible for the utilities’ above market costs. </w:t>
      </w:r>
    </w:p>
    <w:p w:rsidRPr="00AF3B25" w:rsidR="000E0655" w:rsidP="0010197A" w:rsidRDefault="000E0655" w14:paraId="341528AC" w14:textId="57322AD2">
      <w:pPr>
        <w:spacing w:line="360" w:lineRule="auto"/>
      </w:pPr>
    </w:p>
    <w:p w:rsidRPr="00AF3B25" w:rsidR="00465AEA" w:rsidP="0010197A" w:rsidRDefault="00A21055" w14:paraId="59C0466E" w14:textId="604D2746">
      <w:pPr>
        <w:spacing w:line="360" w:lineRule="auto"/>
      </w:pPr>
      <w:r w:rsidRPr="00AF3B25">
        <w:t xml:space="preserve">A clear definition of the PCIA for customers must include two elements that are missing from the definition offered in the </w:t>
      </w:r>
      <w:r w:rsidRPr="00AF3B25" w:rsidR="00465AEA">
        <w:t>Joint Proposal:</w:t>
      </w:r>
    </w:p>
    <w:p w:rsidRPr="00AF3B25" w:rsidR="00465AEA" w:rsidP="0010197A" w:rsidRDefault="00465AEA" w14:paraId="1C2C2F28" w14:textId="61B0B40C">
      <w:pPr>
        <w:pStyle w:val="ListParagraph"/>
        <w:numPr>
          <w:ilvl w:val="0"/>
          <w:numId w:val="18"/>
        </w:numPr>
        <w:spacing w:line="360" w:lineRule="auto"/>
      </w:pPr>
      <w:r w:rsidRPr="00AF3B25">
        <w:t xml:space="preserve">First, the </w:t>
      </w:r>
      <w:r w:rsidRPr="00AF3B25" w:rsidR="00A61312">
        <w:t xml:space="preserve">definition should </w:t>
      </w:r>
      <w:r w:rsidRPr="00AF3B25" w:rsidR="00824E6C">
        <w:t>make clear that</w:t>
      </w:r>
      <w:r w:rsidRPr="00AF3B25">
        <w:t xml:space="preserve"> the PCIA exists to ensure that both </w:t>
      </w:r>
      <w:r w:rsidRPr="00AF3B25">
        <w:rPr>
          <w:i/>
          <w:iCs/>
        </w:rPr>
        <w:t xml:space="preserve">bundled and </w:t>
      </w:r>
      <w:r w:rsidRPr="00AF3B25" w:rsidR="00D263F9">
        <w:rPr>
          <w:i/>
          <w:iCs/>
        </w:rPr>
        <w:t>departed</w:t>
      </w:r>
      <w:r w:rsidRPr="00AF3B25">
        <w:rPr>
          <w:i/>
          <w:iCs/>
        </w:rPr>
        <w:t xml:space="preserve"> customers</w:t>
      </w:r>
      <w:r w:rsidRPr="00AF3B25">
        <w:t xml:space="preserve"> pay their share of the above market costs of generation resources </w:t>
      </w:r>
      <w:r w:rsidRPr="00AF3B25" w:rsidR="00D263F9">
        <w:rPr>
          <w:i/>
          <w:iCs/>
        </w:rPr>
        <w:t xml:space="preserve">that were </w:t>
      </w:r>
      <w:r w:rsidRPr="00AF3B25">
        <w:rPr>
          <w:i/>
          <w:iCs/>
        </w:rPr>
        <w:t>procured on their behalf.</w:t>
      </w:r>
      <w:r w:rsidRPr="00AF3B25">
        <w:t xml:space="preserve"> </w:t>
      </w:r>
    </w:p>
    <w:p w:rsidRPr="00AF3B25" w:rsidR="00D263F9" w:rsidP="0010197A" w:rsidRDefault="00D263F9" w14:paraId="24349539" w14:textId="469FEA30">
      <w:pPr>
        <w:pStyle w:val="ListParagraph"/>
        <w:numPr>
          <w:ilvl w:val="0"/>
          <w:numId w:val="18"/>
        </w:numPr>
        <w:spacing w:line="360" w:lineRule="auto"/>
      </w:pPr>
      <w:r w:rsidRPr="00AF3B25">
        <w:t xml:space="preserve">Second, </w:t>
      </w:r>
      <w:r w:rsidR="0098768D">
        <w:t xml:space="preserve">to be complete, </w:t>
      </w:r>
      <w:r w:rsidR="005C2A74">
        <w:t>the definition</w:t>
      </w:r>
      <w:r w:rsidRPr="00AF3B25" w:rsidR="005C2A74">
        <w:t xml:space="preserve"> </w:t>
      </w:r>
      <w:r w:rsidRPr="00AF3B25" w:rsidR="002B1CF1">
        <w:t xml:space="preserve">needs to </w:t>
      </w:r>
      <w:r w:rsidR="0098768D">
        <w:t>define</w:t>
      </w:r>
      <w:r w:rsidRPr="00AF3B25" w:rsidR="000B292C">
        <w:t xml:space="preserve"> </w:t>
      </w:r>
      <w:r w:rsidRPr="00AF3B25" w:rsidR="002B1CF1">
        <w:t>“</w:t>
      </w:r>
      <w:r w:rsidRPr="00AF3B25" w:rsidR="000B292C">
        <w:t xml:space="preserve">above market </w:t>
      </w:r>
      <w:r w:rsidRPr="00AF3B25" w:rsidR="002B1CF1">
        <w:t>costs”</w:t>
      </w:r>
      <w:r w:rsidRPr="00AF3B25" w:rsidR="009877B4">
        <w:t xml:space="preserve"> in the context of the PCIA. These are </w:t>
      </w:r>
      <w:r w:rsidRPr="00AF3B25" w:rsidR="00595185">
        <w:t>contractual obligations</w:t>
      </w:r>
      <w:r w:rsidRPr="00AF3B25" w:rsidR="00967203">
        <w:t xml:space="preserve"> </w:t>
      </w:r>
      <w:r w:rsidRPr="00AF3B25" w:rsidR="009877B4">
        <w:t>made by the utilities</w:t>
      </w:r>
      <w:r w:rsidRPr="00AF3B25" w:rsidR="00967203">
        <w:t xml:space="preserve"> </w:t>
      </w:r>
      <w:r w:rsidRPr="00AF3B25" w:rsidR="009E1C7E">
        <w:t>for generation resources</w:t>
      </w:r>
      <w:r w:rsidRPr="00AF3B25" w:rsidR="000B292C">
        <w:t xml:space="preserve"> that </w:t>
      </w:r>
      <w:r w:rsidRPr="00AF3B25" w:rsidR="009E1C7E">
        <w:t xml:space="preserve">cannot be </w:t>
      </w:r>
      <w:r w:rsidRPr="00AF3B25" w:rsidR="00967203">
        <w:t xml:space="preserve">fully </w:t>
      </w:r>
      <w:r w:rsidRPr="00AF3B25" w:rsidR="009E1C7E">
        <w:t xml:space="preserve">recovered at current market prices. </w:t>
      </w:r>
    </w:p>
    <w:p w:rsidRPr="00AF3B25" w:rsidR="009E1C7E" w:rsidP="0010197A" w:rsidRDefault="009E1C7E" w14:paraId="371188D1" w14:textId="3DFBBFDB">
      <w:pPr>
        <w:spacing w:line="360" w:lineRule="auto"/>
      </w:pPr>
    </w:p>
    <w:p w:rsidRPr="00AF3B25" w:rsidR="009E1C7E" w:rsidP="0010197A" w:rsidRDefault="006F778F" w14:paraId="7DFC0AB9" w14:textId="4A2AFFA6">
      <w:pPr>
        <w:spacing w:line="360" w:lineRule="auto"/>
      </w:pPr>
      <w:r>
        <w:t>The CPUC</w:t>
      </w:r>
      <w:r w:rsidRPr="00AF3B25">
        <w:t xml:space="preserve"> </w:t>
      </w:r>
      <w:r w:rsidRPr="00AF3B25" w:rsidR="009E1C7E">
        <w:t xml:space="preserve">therefore </w:t>
      </w:r>
      <w:r w:rsidR="009E1C7E">
        <w:t>require</w:t>
      </w:r>
      <w:r w:rsidR="43BC814B">
        <w:t>s</w:t>
      </w:r>
      <w:r w:rsidRPr="00AF3B25" w:rsidR="009E1C7E">
        <w:t xml:space="preserve"> the utilities to substitute the following definition of the PCIA </w:t>
      </w:r>
      <w:r w:rsidRPr="00AF3B25" w:rsidR="008C55F2">
        <w:t>for the definitions proposed in the Joint Proposal:</w:t>
      </w:r>
    </w:p>
    <w:p w:rsidRPr="00AF3B25" w:rsidR="008C55F2" w:rsidP="0010197A" w:rsidRDefault="008C55F2" w14:paraId="166E06C3" w14:textId="16062675">
      <w:pPr>
        <w:spacing w:line="360" w:lineRule="auto"/>
      </w:pPr>
    </w:p>
    <w:p w:rsidRPr="006802F9" w:rsidR="00F73568" w:rsidP="00F73568" w:rsidRDefault="00B6506D" w14:paraId="4A22AAE9" w14:textId="4D38D7BB">
      <w:pPr>
        <w:pStyle w:val="standard"/>
        <w:numPr>
          <w:ilvl w:val="0"/>
          <w:numId w:val="31"/>
        </w:numPr>
        <w:spacing w:before="120" w:after="120"/>
        <w:ind w:left="360"/>
      </w:pPr>
      <w:r w:rsidRPr="07DFD98B">
        <w:rPr>
          <w:i/>
          <w:iCs/>
        </w:rPr>
        <w:t xml:space="preserve">The PCIA is a charge to ensure that </w:t>
      </w:r>
      <w:r w:rsidRPr="07DFD98B" w:rsidR="00D608F0">
        <w:rPr>
          <w:i/>
          <w:iCs/>
        </w:rPr>
        <w:t xml:space="preserve">both [utility] </w:t>
      </w:r>
      <w:r w:rsidRPr="76CCF10E" w:rsidR="00D608F0">
        <w:rPr>
          <w:i/>
          <w:iCs/>
        </w:rPr>
        <w:t>customers</w:t>
      </w:r>
      <w:r w:rsidRPr="07DFD98B" w:rsidR="00D608F0">
        <w:rPr>
          <w:i/>
          <w:iCs/>
        </w:rPr>
        <w:t xml:space="preserve"> and those </w:t>
      </w:r>
      <w:r w:rsidRPr="07DFD98B" w:rsidR="00F01252">
        <w:rPr>
          <w:i/>
          <w:iCs/>
        </w:rPr>
        <w:t xml:space="preserve">who have </w:t>
      </w:r>
      <w:r w:rsidRPr="07DFD98B" w:rsidR="00581E12">
        <w:rPr>
          <w:i/>
          <w:iCs/>
        </w:rPr>
        <w:t>left [utility] service</w:t>
      </w:r>
      <w:r w:rsidRPr="07DFD98B" w:rsidR="00F01252">
        <w:rPr>
          <w:i/>
          <w:iCs/>
        </w:rPr>
        <w:t xml:space="preserve"> </w:t>
      </w:r>
      <w:r w:rsidRPr="07DFD98B" w:rsidR="00952B62">
        <w:rPr>
          <w:i/>
          <w:iCs/>
        </w:rPr>
        <w:t xml:space="preserve">to </w:t>
      </w:r>
      <w:r w:rsidRPr="07DFD98B" w:rsidR="4421BF26">
        <w:rPr>
          <w:i/>
          <w:iCs/>
        </w:rPr>
        <w:t>purchase electricity</w:t>
      </w:r>
      <w:r w:rsidRPr="07DFD98B" w:rsidR="00952B62">
        <w:rPr>
          <w:i/>
          <w:iCs/>
        </w:rPr>
        <w:t xml:space="preserve"> from </w:t>
      </w:r>
      <w:r w:rsidRPr="07DFD98B" w:rsidR="00F01252">
        <w:rPr>
          <w:i/>
          <w:iCs/>
        </w:rPr>
        <w:t>other providers pay</w:t>
      </w:r>
      <w:r w:rsidRPr="07DFD98B" w:rsidR="00336437">
        <w:rPr>
          <w:i/>
          <w:iCs/>
        </w:rPr>
        <w:t xml:space="preserve"> </w:t>
      </w:r>
      <w:r w:rsidRPr="07DFD98B">
        <w:rPr>
          <w:i/>
          <w:iCs/>
        </w:rPr>
        <w:t xml:space="preserve">the above market costs for generation resources that were procured by [utility] on their behalf. </w:t>
      </w:r>
      <w:bookmarkStart w:name="_Hlk62139738" w:id="2"/>
      <w:bookmarkEnd w:id="2"/>
      <w:r w:rsidR="00F73568">
        <w:rPr>
          <w:i/>
          <w:iCs/>
        </w:rPr>
        <w:t>“</w:t>
      </w:r>
      <w:r w:rsidRPr="00B67CC9" w:rsidR="00F73568">
        <w:rPr>
          <w:i/>
          <w:iCs/>
        </w:rPr>
        <w:t>Above market</w:t>
      </w:r>
      <w:r w:rsidR="00F73568">
        <w:rPr>
          <w:i/>
          <w:iCs/>
        </w:rPr>
        <w:t>”</w:t>
      </w:r>
      <w:r w:rsidRPr="00B67CC9" w:rsidR="00F73568">
        <w:rPr>
          <w:i/>
          <w:iCs/>
        </w:rPr>
        <w:t xml:space="preserve"> refers to </w:t>
      </w:r>
      <w:r w:rsidR="00F73568">
        <w:rPr>
          <w:i/>
          <w:iCs/>
        </w:rPr>
        <w:t xml:space="preserve">the difference between what the utility </w:t>
      </w:r>
      <w:r w:rsidR="00F73568">
        <w:rPr>
          <w:i/>
          <w:iCs/>
        </w:rPr>
        <w:lastRenderedPageBreak/>
        <w:t xml:space="preserve">pays </w:t>
      </w:r>
      <w:r w:rsidRPr="00B67CC9" w:rsidR="00F73568">
        <w:rPr>
          <w:i/>
          <w:iCs/>
        </w:rPr>
        <w:t xml:space="preserve">for </w:t>
      </w:r>
      <w:r w:rsidR="00F73568">
        <w:rPr>
          <w:i/>
          <w:iCs/>
        </w:rPr>
        <w:t xml:space="preserve">electric </w:t>
      </w:r>
      <w:r w:rsidRPr="00B67CC9" w:rsidR="00F73568">
        <w:rPr>
          <w:i/>
          <w:iCs/>
        </w:rPr>
        <w:t xml:space="preserve">generation </w:t>
      </w:r>
      <w:r w:rsidR="00F73568">
        <w:rPr>
          <w:i/>
          <w:iCs/>
        </w:rPr>
        <w:t xml:space="preserve">and </w:t>
      </w:r>
      <w:r w:rsidRPr="00B67CC9" w:rsidR="00F73568">
        <w:rPr>
          <w:i/>
          <w:iCs/>
        </w:rPr>
        <w:t>current market price</w:t>
      </w:r>
      <w:r w:rsidR="00F73568">
        <w:rPr>
          <w:i/>
          <w:iCs/>
        </w:rPr>
        <w:t>s for the sale of those resources.</w:t>
      </w:r>
    </w:p>
    <w:p w:rsidRPr="00AF3B25" w:rsidR="005A7C9A" w:rsidP="0010197A" w:rsidRDefault="005A7C9A" w14:paraId="5F6D1F07" w14:textId="57345E92">
      <w:pPr>
        <w:spacing w:line="360" w:lineRule="auto"/>
        <w:ind w:right="576"/>
        <w:jc w:val="both"/>
        <w:rPr>
          <w:i/>
          <w:iCs/>
        </w:rPr>
      </w:pPr>
    </w:p>
    <w:p w:rsidRPr="00AF3B25" w:rsidR="00CB72A3" w:rsidP="0010197A" w:rsidRDefault="00CB72A3" w14:paraId="1855D11B" w14:textId="77777777">
      <w:pPr>
        <w:pStyle w:val="ListParagraph"/>
        <w:keepNext/>
        <w:numPr>
          <w:ilvl w:val="0"/>
          <w:numId w:val="20"/>
        </w:numPr>
        <w:spacing w:line="360" w:lineRule="auto"/>
        <w:rPr>
          <w:b/>
          <w:bCs/>
          <w:i/>
          <w:iCs/>
        </w:rPr>
      </w:pPr>
      <w:r w:rsidRPr="00AF3B25">
        <w:rPr>
          <w:b/>
          <w:bCs/>
          <w:i/>
          <w:iCs/>
        </w:rPr>
        <w:t>Further actions to develop bill and tariff changes in 2021</w:t>
      </w:r>
    </w:p>
    <w:p w:rsidRPr="00AF3B25" w:rsidR="00EA5EBD" w:rsidP="0010197A" w:rsidRDefault="00EA5EBD" w14:paraId="0357C039" w14:textId="5875F80A">
      <w:pPr>
        <w:pStyle w:val="ListParagraph"/>
        <w:keepNext/>
        <w:spacing w:line="360" w:lineRule="auto"/>
        <w:rPr>
          <w:b/>
          <w:bCs/>
          <w:i/>
          <w:iCs/>
        </w:rPr>
      </w:pPr>
    </w:p>
    <w:p w:rsidRPr="00AF3B25" w:rsidR="00EA5EBD" w:rsidP="0010197A" w:rsidRDefault="006F778F" w14:paraId="40B96D5A" w14:textId="6A7C86B7">
      <w:pPr>
        <w:keepNext/>
        <w:spacing w:line="360" w:lineRule="auto"/>
      </w:pPr>
      <w:r>
        <w:t>The CPUC finds</w:t>
      </w:r>
      <w:r w:rsidRPr="00AF3B25" w:rsidR="00936EDE">
        <w:t xml:space="preserve"> that the bill and tariff changes </w:t>
      </w:r>
      <w:r w:rsidRPr="00AF3B25" w:rsidR="00CB72A3">
        <w:t>put forward</w:t>
      </w:r>
      <w:r w:rsidRPr="00AF3B25" w:rsidR="00936EDE">
        <w:t xml:space="preserve"> by the utilities </w:t>
      </w:r>
      <w:r w:rsidRPr="00AF3B25" w:rsidR="00B11A26">
        <w:t xml:space="preserve">in </w:t>
      </w:r>
      <w:r w:rsidRPr="00AF3B25" w:rsidR="00AA2EB2">
        <w:t>the</w:t>
      </w:r>
      <w:r w:rsidRPr="00AF3B25" w:rsidR="00B11A26">
        <w:t xml:space="preserve"> Joint Proposal sufficiently address the </w:t>
      </w:r>
      <w:r w:rsidRPr="00AF3B25" w:rsidR="00CB72A3">
        <w:t xml:space="preserve">requirements put forward in </w:t>
      </w:r>
      <w:r w:rsidRPr="00AF3B25" w:rsidR="00CB72A3">
        <w:rPr>
          <w:color w:val="000000" w:themeColor="text1"/>
        </w:rPr>
        <w:t xml:space="preserve">D.20-03-019 OP2. Further </w:t>
      </w:r>
      <w:r w:rsidRPr="00AF3B25" w:rsidR="00C23AA7">
        <w:rPr>
          <w:color w:val="000000" w:themeColor="text1"/>
        </w:rPr>
        <w:t xml:space="preserve">bill changes that would make the PCIA comparable between </w:t>
      </w:r>
      <w:r w:rsidRPr="00AF3B25" w:rsidR="00F74141">
        <w:rPr>
          <w:color w:val="000000" w:themeColor="text1"/>
        </w:rPr>
        <w:t xml:space="preserve">utility customers and customers who have departed for CCA or DA service would require changes to the utilities’ </w:t>
      </w:r>
      <w:r w:rsidRPr="00AF3B25" w:rsidR="00422072">
        <w:rPr>
          <w:color w:val="000000" w:themeColor="text1"/>
        </w:rPr>
        <w:t>time-differentiated rate structures</w:t>
      </w:r>
      <w:r w:rsidRPr="00AF3B25" w:rsidR="000B7FB3">
        <w:rPr>
          <w:color w:val="000000" w:themeColor="text1"/>
        </w:rPr>
        <w:t>. Such changes</w:t>
      </w:r>
      <w:r w:rsidRPr="00AF3B25" w:rsidR="00422072">
        <w:rPr>
          <w:color w:val="000000" w:themeColor="text1"/>
        </w:rPr>
        <w:t xml:space="preserve"> </w:t>
      </w:r>
      <w:r w:rsidRPr="00AF3B25" w:rsidR="00212024">
        <w:rPr>
          <w:color w:val="000000" w:themeColor="text1"/>
        </w:rPr>
        <w:t xml:space="preserve">are out of scope of this resolution and should be </w:t>
      </w:r>
      <w:r w:rsidRPr="00AF3B25" w:rsidR="000B7FB3">
        <w:rPr>
          <w:color w:val="000000" w:themeColor="text1"/>
        </w:rPr>
        <w:t xml:space="preserve">addressed </w:t>
      </w:r>
      <w:r w:rsidRPr="00AF3B25" w:rsidR="53A9D2C0">
        <w:rPr>
          <w:color w:val="000000" w:themeColor="text1"/>
        </w:rPr>
        <w:t xml:space="preserve">within </w:t>
      </w:r>
      <w:r w:rsidRPr="00AF3B25" w:rsidR="00422072">
        <w:rPr>
          <w:color w:val="000000" w:themeColor="text1"/>
        </w:rPr>
        <w:t>each utility’s GRC phase 2 proceeding.</w:t>
      </w:r>
    </w:p>
    <w:p w:rsidR="00B4608A" w:rsidP="005C40F3" w:rsidRDefault="00B4608A" w14:paraId="599840F3" w14:textId="77777777">
      <w:pPr>
        <w:spacing w:line="360" w:lineRule="auto"/>
      </w:pPr>
    </w:p>
    <w:p w:rsidR="009A6AB2" w:rsidP="07DFD98B" w:rsidRDefault="00FB5AA7" w14:paraId="331DA87B" w14:textId="4E5E699C">
      <w:pPr>
        <w:spacing w:line="360" w:lineRule="auto"/>
        <w:rPr>
          <w:b/>
          <w:bCs/>
        </w:rPr>
      </w:pPr>
      <w:r w:rsidRPr="00B80BE9">
        <w:rPr>
          <w:b/>
          <w:bCs/>
        </w:rPr>
        <w:t>COMMENTS</w:t>
      </w:r>
    </w:p>
    <w:p w:rsidRPr="00AC7E0D" w:rsidR="00DC78E0" w:rsidP="00AC7E0D" w:rsidRDefault="00680F6F" w14:paraId="153107A3" w14:textId="1003F5C0">
      <w:pPr>
        <w:keepNext/>
        <w:spacing w:line="360" w:lineRule="auto"/>
      </w:pPr>
      <w:r w:rsidRPr="00AC7E0D">
        <w:t xml:space="preserve">Public Utilities Code section 311(g)(1) provides that this resolution must be served on all parties and subject to at least 30 days public review.  </w:t>
      </w:r>
      <w:r w:rsidRPr="00AC7E0D" w:rsidR="00DC78E0">
        <w:t xml:space="preserve">Please note that comments are due 20 days from the mailing date of this resolution. </w:t>
      </w:r>
      <w:r w:rsidRPr="00AC7E0D">
        <w:t xml:space="preserve">Section 311(g)(2) provides that this 30-day review period and 20-day comment period may be reduced or waived upon the stipulation of all parties in the proceeding. </w:t>
      </w:r>
    </w:p>
    <w:p w:rsidRPr="00AC7E0D" w:rsidR="00DC78E0" w:rsidP="00AC7E0D" w:rsidRDefault="00DC78E0" w14:paraId="14FEAE77" w14:textId="77777777">
      <w:pPr>
        <w:keepNext/>
        <w:spacing w:line="360" w:lineRule="auto"/>
      </w:pPr>
    </w:p>
    <w:p w:rsidRPr="00973303" w:rsidR="00637349" w:rsidP="00973303" w:rsidRDefault="00DC78E0" w14:paraId="1FD158BF" w14:textId="25E514ED">
      <w:pPr>
        <w:keepNext/>
        <w:spacing w:line="360" w:lineRule="auto"/>
      </w:pPr>
      <w:r w:rsidRPr="00AC7E0D">
        <w:t xml:space="preserve">The 30-day review and 20-day comment period for the draft of this resolution was neither waived nor reduced.  Accordingly, this draft resolution was mailed </w:t>
      </w:r>
      <w:r w:rsidRPr="00973303">
        <w:t>to parties for comments</w:t>
      </w:r>
      <w:r w:rsidRPr="00973303" w:rsidR="00637349">
        <w:t xml:space="preserve"> on March </w:t>
      </w:r>
      <w:r w:rsidRPr="00973303" w:rsidR="00B25771">
        <w:t xml:space="preserve">10, 2021. The Commission received comments on </w:t>
      </w:r>
      <w:r w:rsidRPr="00973303" w:rsidR="00B25771">
        <w:lastRenderedPageBreak/>
        <w:t xml:space="preserve">the draft resolution </w:t>
      </w:r>
      <w:r w:rsidRPr="00973303" w:rsidR="00D6747C">
        <w:t>separately from</w:t>
      </w:r>
      <w:r w:rsidRPr="00973303" w:rsidR="00B25771">
        <w:t xml:space="preserve"> SCE, PG&amp;E, and</w:t>
      </w:r>
      <w:r w:rsidRPr="00973303" w:rsidR="00D6747C">
        <w:t xml:space="preserve"> jointly from</w:t>
      </w:r>
      <w:r w:rsidRPr="00973303" w:rsidR="00B25771">
        <w:t xml:space="preserve"> CalCCA </w:t>
      </w:r>
      <w:r w:rsidRPr="00973303" w:rsidR="00D6747C">
        <w:t xml:space="preserve">and DACC (“Joint Parties”) </w:t>
      </w:r>
      <w:r w:rsidRPr="00973303" w:rsidR="00B25771">
        <w:t xml:space="preserve">on March 30, 2021. </w:t>
      </w:r>
    </w:p>
    <w:p w:rsidRPr="00D75378" w:rsidR="0000245B" w:rsidP="00DC78E0" w:rsidRDefault="0000245B" w14:paraId="5D798A03" w14:textId="77777777">
      <w:pPr>
        <w:rPr>
          <w:color w:val="7F7F7F" w:themeColor="text1" w:themeTint="80"/>
        </w:rPr>
      </w:pPr>
    </w:p>
    <w:p w:rsidRPr="00973303" w:rsidR="00BC29D1" w:rsidP="00973303" w:rsidRDefault="0000245B" w14:paraId="49DB52C9" w14:textId="2CD0A11E">
      <w:pPr>
        <w:pStyle w:val="ListParagraph"/>
        <w:numPr>
          <w:ilvl w:val="0"/>
          <w:numId w:val="36"/>
        </w:numPr>
        <w:spacing w:line="360" w:lineRule="auto"/>
        <w:rPr>
          <w:b/>
          <w:bCs/>
          <w:i/>
          <w:iCs/>
        </w:rPr>
      </w:pPr>
      <w:r w:rsidRPr="00973303">
        <w:rPr>
          <w:b/>
          <w:bCs/>
          <w:i/>
          <w:iCs/>
        </w:rPr>
        <w:t>Comments on the Definition of PCIA</w:t>
      </w:r>
    </w:p>
    <w:p w:rsidR="57C65A6F" w:rsidP="00615B37" w:rsidRDefault="00B25771" w14:paraId="3C1B0197" w14:textId="0321A6BD">
      <w:pPr>
        <w:keepNext/>
        <w:spacing w:line="360" w:lineRule="auto"/>
      </w:pPr>
      <w:r w:rsidRPr="00973303">
        <w:t xml:space="preserve">SCE </w:t>
      </w:r>
      <w:r w:rsidR="009F4FE5">
        <w:t xml:space="preserve">agrees that the changes to the PCIA definition </w:t>
      </w:r>
      <w:r w:rsidR="002A7F8D">
        <w:t>proposed in the</w:t>
      </w:r>
      <w:r w:rsidR="00D86EC3">
        <w:t xml:space="preserve"> Draft Resolution </w:t>
      </w:r>
      <w:r w:rsidR="002A7F8D">
        <w:t xml:space="preserve">improve upon the definition </w:t>
      </w:r>
      <w:r w:rsidR="00540C38">
        <w:t xml:space="preserve">provided in the utilities’ joint proposal, but </w:t>
      </w:r>
      <w:r w:rsidRPr="00973303" w:rsidR="00D6747C">
        <w:t xml:space="preserve">proposes </w:t>
      </w:r>
      <w:r w:rsidRPr="00973303" w:rsidR="0037293A">
        <w:t xml:space="preserve">the following </w:t>
      </w:r>
      <w:r w:rsidR="00540C38">
        <w:t xml:space="preserve">additional </w:t>
      </w:r>
      <w:r w:rsidRPr="00973303" w:rsidR="00D6747C">
        <w:t xml:space="preserve">changes to </w:t>
      </w:r>
      <w:r w:rsidR="00540C38">
        <w:t>further clarify the meaning of the term</w:t>
      </w:r>
      <w:r w:rsidRPr="00973303" w:rsidR="00021601">
        <w:t xml:space="preserve"> </w:t>
      </w:r>
      <w:r w:rsidRPr="0000245B" w:rsidR="00D6747C">
        <w:t>“above market”</w:t>
      </w:r>
      <w:r w:rsidR="00540C38">
        <w:t>:</w:t>
      </w:r>
      <w:r w:rsidRPr="0000245B" w:rsidR="00D6747C">
        <w:t xml:space="preserve"> </w:t>
      </w:r>
    </w:p>
    <w:p w:rsidR="57C65A6F" w:rsidP="006E74C2" w:rsidRDefault="00D6747C" w14:paraId="2D2E192B" w14:textId="093E1400">
      <w:pPr>
        <w:pStyle w:val="NormalWeb"/>
        <w:ind w:left="432" w:right="432"/>
      </w:pPr>
      <w:r w:rsidRPr="00D75378">
        <w:rPr>
          <w:rFonts w:ascii="Palatino" w:hAnsi="Palatino" w:cs="Arial"/>
          <w:color w:val="000000" w:themeColor="text1"/>
          <w:sz w:val="26"/>
          <w:szCs w:val="26"/>
        </w:rPr>
        <w:t xml:space="preserve">The PCIA is a charge to ensure that both [utility] customers and those who have left [utility] service to purchase electricity from other providers pay the above market costs for generation resources that were procured by [utility] on their behalf. ‘Above market’ refers to </w:t>
      </w:r>
      <w:r w:rsidRPr="00973303">
        <w:rPr>
          <w:rFonts w:ascii="Palatino" w:hAnsi="Palatino" w:cs="Arial"/>
          <w:color w:val="000000" w:themeColor="text1"/>
          <w:sz w:val="26"/>
          <w:szCs w:val="26"/>
          <w:u w:val="single"/>
        </w:rPr>
        <w:t>the difference between what the utility pays</w:t>
      </w:r>
      <w:r w:rsidRPr="00973303">
        <w:rPr>
          <w:rFonts w:ascii="Palatino" w:hAnsi="Palatino" w:cs="Arial"/>
          <w:color w:val="000000" w:themeColor="text1"/>
          <w:sz w:val="26"/>
          <w:szCs w:val="26"/>
        </w:rPr>
        <w:t xml:space="preserve"> </w:t>
      </w:r>
      <w:r w:rsidRPr="00973303">
        <w:rPr>
          <w:rFonts w:ascii="Palatino" w:hAnsi="Palatino" w:cs="Arial"/>
          <w:strike/>
          <w:color w:val="000000" w:themeColor="text1"/>
          <w:sz w:val="26"/>
          <w:szCs w:val="26"/>
        </w:rPr>
        <w:t>expenditures</w:t>
      </w:r>
      <w:r w:rsidRPr="00973303">
        <w:rPr>
          <w:rFonts w:ascii="Palatino" w:hAnsi="Palatino" w:cs="Arial"/>
          <w:color w:val="000000" w:themeColor="text1"/>
          <w:sz w:val="26"/>
          <w:szCs w:val="26"/>
        </w:rPr>
        <w:t xml:space="preserve"> for </w:t>
      </w:r>
      <w:r w:rsidRPr="116CC2F5">
        <w:rPr>
          <w:rFonts w:ascii="Palatino" w:hAnsi="Palatino" w:cs="Arial"/>
          <w:color w:val="000000" w:themeColor="text1"/>
          <w:sz w:val="26"/>
          <w:szCs w:val="26"/>
        </w:rPr>
        <w:t>electric</w:t>
      </w:r>
      <w:r w:rsidRPr="116CC2F5" w:rsidR="3198A007">
        <w:rPr>
          <w:rFonts w:ascii="Palatino" w:hAnsi="Palatino" w:cs="Arial"/>
          <w:color w:val="000000" w:themeColor="text1"/>
          <w:sz w:val="26"/>
          <w:szCs w:val="26"/>
        </w:rPr>
        <w:t>ity</w:t>
      </w:r>
      <w:r w:rsidRPr="00973303">
        <w:rPr>
          <w:rFonts w:ascii="Palatino" w:hAnsi="Palatino" w:cs="Arial"/>
          <w:color w:val="000000" w:themeColor="text1"/>
          <w:sz w:val="26"/>
          <w:szCs w:val="26"/>
        </w:rPr>
        <w:t xml:space="preserve"> generation </w:t>
      </w:r>
      <w:r w:rsidRPr="00973303">
        <w:rPr>
          <w:rFonts w:ascii="Palatino" w:hAnsi="Palatino" w:cs="Arial"/>
          <w:color w:val="000000" w:themeColor="text1"/>
          <w:sz w:val="26"/>
          <w:szCs w:val="26"/>
          <w:u w:val="single"/>
        </w:rPr>
        <w:t>and</w:t>
      </w:r>
      <w:r w:rsidRPr="00973303">
        <w:rPr>
          <w:rFonts w:ascii="Palatino" w:hAnsi="Palatino" w:cs="Arial"/>
          <w:color w:val="000000" w:themeColor="text1"/>
          <w:sz w:val="26"/>
          <w:szCs w:val="26"/>
        </w:rPr>
        <w:t xml:space="preserve"> </w:t>
      </w:r>
      <w:r w:rsidRPr="00973303">
        <w:rPr>
          <w:rFonts w:ascii="Palatino" w:hAnsi="Palatino" w:cs="Arial"/>
          <w:strike/>
          <w:color w:val="000000" w:themeColor="text1"/>
          <w:sz w:val="26"/>
          <w:szCs w:val="26"/>
        </w:rPr>
        <w:t>that cannot be fully recovered through sales of these resources at</w:t>
      </w:r>
      <w:r w:rsidRPr="00973303">
        <w:rPr>
          <w:rFonts w:ascii="Palatino" w:hAnsi="Palatino" w:cs="Arial"/>
          <w:color w:val="000000" w:themeColor="text1"/>
          <w:sz w:val="26"/>
          <w:szCs w:val="26"/>
        </w:rPr>
        <w:t xml:space="preserve"> current market prices </w:t>
      </w:r>
      <w:r w:rsidRPr="00973303">
        <w:rPr>
          <w:rFonts w:ascii="Palatino" w:hAnsi="Palatino" w:cs="Arial"/>
          <w:color w:val="000000" w:themeColor="text1"/>
          <w:sz w:val="26"/>
          <w:szCs w:val="26"/>
          <w:u w:val="single"/>
        </w:rPr>
        <w:t>for the sale of those resources</w:t>
      </w:r>
      <w:r w:rsidRPr="00973303">
        <w:rPr>
          <w:rFonts w:ascii="Palatino" w:hAnsi="Palatino" w:cs="Arial"/>
          <w:color w:val="000000" w:themeColor="text1"/>
          <w:sz w:val="26"/>
          <w:szCs w:val="26"/>
        </w:rPr>
        <w:t xml:space="preserve">. </w:t>
      </w:r>
      <w:r w:rsidRPr="35ED4183" w:rsidR="40B70F4D">
        <w:rPr>
          <w:rFonts w:ascii="Palatino" w:hAnsi="Palatino" w:cs="Arial"/>
          <w:color w:val="000000" w:themeColor="text1"/>
          <w:sz w:val="26"/>
          <w:szCs w:val="26"/>
        </w:rPr>
        <w:t xml:space="preserve"> </w:t>
      </w:r>
    </w:p>
    <w:p w:rsidRPr="00973303" w:rsidR="00D6747C" w:rsidP="00973303" w:rsidRDefault="00D6747C" w14:paraId="14F5334A" w14:textId="2E30DFA1">
      <w:pPr>
        <w:keepNext/>
        <w:spacing w:line="360" w:lineRule="auto"/>
      </w:pPr>
      <w:r w:rsidRPr="00973303">
        <w:t xml:space="preserve">PG&amp;E’s comments support the changes to the PCIA definition proposed by SCE. </w:t>
      </w:r>
      <w:r w:rsidRPr="00973303" w:rsidDel="00E66C62">
        <w:t xml:space="preserve">PG&amp;E also </w:t>
      </w:r>
      <w:r w:rsidR="24419DEB">
        <w:t>states</w:t>
      </w:r>
      <w:r w:rsidRPr="00973303" w:rsidDel="00E66C62">
        <w:t xml:space="preserve"> that upgrades to its main and ancillary billing systems may impact its ability to implement the bill presentation modification by the end of 2021 deadline. If this occurs, </w:t>
      </w:r>
      <w:r w:rsidRPr="00973303" w:rsidDel="00E66C62" w:rsidR="004A678C">
        <w:t xml:space="preserve">PG&amp;E will submit a request for an </w:t>
      </w:r>
      <w:r w:rsidRPr="00973303" w:rsidDel="00E66C62" w:rsidR="27FDBE3C">
        <w:t>extension</w:t>
      </w:r>
      <w:r w:rsidRPr="00973303" w:rsidDel="00E66C62" w:rsidR="004A678C">
        <w:t xml:space="preserve"> of time to implement these modifications. </w:t>
      </w:r>
    </w:p>
    <w:p w:rsidR="57C65A6F" w:rsidP="57C65A6F" w:rsidRDefault="57C65A6F" w14:paraId="5061F5C9" w14:textId="49D2BB82">
      <w:pPr>
        <w:spacing w:line="360" w:lineRule="auto"/>
      </w:pPr>
    </w:p>
    <w:p w:rsidRPr="0000245B" w:rsidR="00CD51A8" w:rsidP="00973303" w:rsidRDefault="004B7062" w14:paraId="4AF34E6F" w14:textId="45041342">
      <w:pPr>
        <w:keepNext/>
        <w:spacing w:line="360" w:lineRule="auto"/>
      </w:pPr>
      <w:r w:rsidRPr="00973303">
        <w:lastRenderedPageBreak/>
        <w:t>Th</w:t>
      </w:r>
      <w:r w:rsidR="00BE417D">
        <w:t xml:space="preserve">ese </w:t>
      </w:r>
      <w:r w:rsidR="00EB0F59">
        <w:t xml:space="preserve">changes to the </w:t>
      </w:r>
      <w:r w:rsidR="7CAA1230">
        <w:t>language</w:t>
      </w:r>
      <w:r w:rsidR="00EB0F59">
        <w:t xml:space="preserve"> of the definition further </w:t>
      </w:r>
      <w:r w:rsidRPr="00973303" w:rsidR="007B6746">
        <w:t xml:space="preserve">our goal of providing a clear, easy to understand definition of the PCIA to customers. Therefore, we adopt </w:t>
      </w:r>
      <w:r w:rsidR="00EB0F59">
        <w:t>them</w:t>
      </w:r>
      <w:r w:rsidRPr="00973303" w:rsidR="003E3AB8">
        <w:t>.</w:t>
      </w:r>
      <w:r w:rsidRPr="00973303" w:rsidR="00845FF4">
        <w:t xml:space="preserve"> </w:t>
      </w:r>
    </w:p>
    <w:p w:rsidRPr="00973303" w:rsidR="00421EAC" w:rsidP="00973303" w:rsidRDefault="00421EAC" w14:paraId="67D8911B" w14:textId="77777777">
      <w:pPr>
        <w:keepNext/>
        <w:spacing w:line="360" w:lineRule="auto"/>
      </w:pPr>
    </w:p>
    <w:p w:rsidRPr="00973303" w:rsidR="00E66C62" w:rsidP="00973303" w:rsidRDefault="00EC75BA" w14:paraId="070A0A64" w14:textId="22DAA8DF">
      <w:pPr>
        <w:pStyle w:val="ListParagraph"/>
        <w:numPr>
          <w:ilvl w:val="0"/>
          <w:numId w:val="36"/>
        </w:numPr>
        <w:rPr>
          <w:rFonts w:cs="Arial"/>
          <w:color w:val="7F7F7F" w:themeColor="text1" w:themeTint="80"/>
          <w:szCs w:val="26"/>
        </w:rPr>
      </w:pPr>
      <w:r w:rsidRPr="00973303">
        <w:rPr>
          <w:b/>
          <w:bCs/>
          <w:i/>
          <w:iCs/>
        </w:rPr>
        <w:t>Comments o</w:t>
      </w:r>
      <w:r w:rsidRPr="00973303" w:rsidR="00FE10AD">
        <w:rPr>
          <w:b/>
          <w:bCs/>
          <w:i/>
          <w:iCs/>
        </w:rPr>
        <w:t>n whether th</w:t>
      </w:r>
      <w:r w:rsidRPr="00973303" w:rsidR="00862BB0">
        <w:rPr>
          <w:b/>
          <w:bCs/>
          <w:i/>
          <w:iCs/>
        </w:rPr>
        <w:t>is revision fully satisfies the requirements of D.20-03-019.</w:t>
      </w:r>
    </w:p>
    <w:p w:rsidR="00527D1E" w:rsidP="0089339F" w:rsidRDefault="00527D1E" w14:paraId="0DE10801" w14:textId="77777777">
      <w:pPr>
        <w:rPr>
          <w:rFonts w:cs="Arial"/>
          <w:color w:val="7F7F7F" w:themeColor="text1" w:themeTint="80"/>
          <w:szCs w:val="26"/>
          <w:highlight w:val="red"/>
        </w:rPr>
      </w:pPr>
    </w:p>
    <w:p w:rsidRPr="00973303" w:rsidR="00103B64" w:rsidP="00973303" w:rsidRDefault="004A678C" w14:paraId="62210422" w14:textId="42476E67">
      <w:pPr>
        <w:keepNext/>
        <w:spacing w:line="360" w:lineRule="auto"/>
      </w:pPr>
      <w:r w:rsidRPr="00973303">
        <w:t>The Joint Parties disagree with Finding 5</w:t>
      </w:r>
      <w:r w:rsidRPr="00973303" w:rsidR="00F1735D">
        <w:t xml:space="preserve"> of the Draft Resolution</w:t>
      </w:r>
      <w:r w:rsidRPr="00973303" w:rsidR="00C72FAB">
        <w:t>, that</w:t>
      </w:r>
      <w:r w:rsidR="001F0EB4">
        <w:t>:</w:t>
      </w:r>
      <w:r w:rsidRPr="00973303" w:rsidR="00C72FAB">
        <w:t xml:space="preserve"> </w:t>
      </w:r>
      <w:r w:rsidRPr="00973303">
        <w:t>“Further changes to bundled customer bills are</w:t>
      </w:r>
      <w:r w:rsidRPr="00973303" w:rsidR="00C72FAB">
        <w:t xml:space="preserve"> beyond</w:t>
      </w:r>
      <w:r w:rsidRPr="00973303">
        <w:t xml:space="preserve"> the scope of this resolution</w:t>
      </w:r>
      <w:r w:rsidRPr="00973303" w:rsidR="00840BD4">
        <w:t>.</w:t>
      </w:r>
      <w:r w:rsidRPr="00973303" w:rsidR="009561E1">
        <w:t xml:space="preserve"> The respective utilities’ General Rate Case Phase 2 proceedings are the appropriate venue to consider more extensive modifications to the utilities’ bill design.” </w:t>
      </w:r>
    </w:p>
    <w:p w:rsidR="003F1211" w:rsidP="00F0616C" w:rsidRDefault="003F1211" w14:paraId="15D911D9" w14:textId="77777777">
      <w:pPr>
        <w:keepNext/>
        <w:spacing w:line="360" w:lineRule="auto"/>
      </w:pPr>
    </w:p>
    <w:p w:rsidRPr="00973303" w:rsidR="002C59B0" w:rsidP="00973303" w:rsidRDefault="00D120B6" w14:paraId="562D9747" w14:textId="6B21A019">
      <w:pPr>
        <w:keepNext/>
        <w:spacing w:line="360" w:lineRule="auto"/>
      </w:pPr>
      <w:r w:rsidRPr="00973303">
        <w:t>The Joint Parties</w:t>
      </w:r>
      <w:r w:rsidRPr="00973303" w:rsidR="00590244">
        <w:t xml:space="preserve"> ask that the</w:t>
      </w:r>
      <w:r w:rsidRPr="00973303" w:rsidR="002C59B0">
        <w:t xml:space="preserve"> Commission clarify that</w:t>
      </w:r>
      <w:r w:rsidRPr="00973303" w:rsidR="006D1EC2">
        <w:t>:</w:t>
      </w:r>
    </w:p>
    <w:p w:rsidR="006D1EC2" w:rsidP="0089339F" w:rsidRDefault="006D1EC2" w14:paraId="37451CB9" w14:textId="77777777">
      <w:pPr>
        <w:rPr>
          <w:color w:val="7F7F7F" w:themeColor="text1" w:themeTint="80"/>
        </w:rPr>
      </w:pPr>
    </w:p>
    <w:p w:rsidRPr="00C21DF1" w:rsidR="009561E1" w:rsidP="002C59B0" w:rsidRDefault="76DA2746" w14:paraId="41E0A808" w14:textId="5A9F6C0D">
      <w:pPr>
        <w:pStyle w:val="ListParagraph"/>
        <w:numPr>
          <w:ilvl w:val="0"/>
          <w:numId w:val="34"/>
        </w:numPr>
        <w:rPr>
          <w:color w:val="000000" w:themeColor="text1"/>
        </w:rPr>
      </w:pPr>
      <w:r w:rsidRPr="00C21DF1">
        <w:rPr>
          <w:color w:val="000000" w:themeColor="text1"/>
        </w:rPr>
        <w:t>Disaggregating</w:t>
      </w:r>
      <w:r w:rsidRPr="00C21DF1" w:rsidR="3179D139">
        <w:rPr>
          <w:color w:val="000000" w:themeColor="text1"/>
        </w:rPr>
        <w:t xml:space="preserve"> the PCIA from tariffed generation </w:t>
      </w:r>
      <w:r w:rsidRPr="00C21DF1" w:rsidR="3179D139">
        <w:rPr>
          <w:i/>
          <w:iCs/>
          <w:color w:val="000000" w:themeColor="text1"/>
        </w:rPr>
        <w:t>rates</w:t>
      </w:r>
      <w:r w:rsidRPr="00C21DF1" w:rsidR="3179D139">
        <w:rPr>
          <w:color w:val="000000" w:themeColor="text1"/>
        </w:rPr>
        <w:t xml:space="preserve"> </w:t>
      </w:r>
      <w:r w:rsidRPr="00C21DF1" w:rsidR="2C2596A1">
        <w:rPr>
          <w:color w:val="000000" w:themeColor="text1"/>
        </w:rPr>
        <w:t xml:space="preserve">happens in </w:t>
      </w:r>
      <w:r w:rsidRPr="00C21DF1" w:rsidR="6C34414A">
        <w:rPr>
          <w:color w:val="000000" w:themeColor="text1"/>
        </w:rPr>
        <w:t>individual</w:t>
      </w:r>
      <w:r w:rsidRPr="00C21DF1" w:rsidR="2C2596A1">
        <w:rPr>
          <w:color w:val="000000" w:themeColor="text1"/>
        </w:rPr>
        <w:t xml:space="preserve"> </w:t>
      </w:r>
      <w:r w:rsidRPr="00C21DF1" w:rsidR="47C700DF">
        <w:rPr>
          <w:color w:val="000000" w:themeColor="text1"/>
        </w:rPr>
        <w:t>investor-owned utility (IOU) general rate cases (GRCs), however,</w:t>
      </w:r>
    </w:p>
    <w:p w:rsidRPr="00C21DF1" w:rsidR="0074278F" w:rsidP="002C59B0" w:rsidRDefault="0074278F" w14:paraId="768081BC" w14:textId="7F3A1DFE">
      <w:pPr>
        <w:pStyle w:val="ListParagraph"/>
        <w:numPr>
          <w:ilvl w:val="0"/>
          <w:numId w:val="34"/>
        </w:numPr>
        <w:rPr>
          <w:color w:val="000000" w:themeColor="text1"/>
        </w:rPr>
      </w:pPr>
      <w:r w:rsidRPr="00C21DF1">
        <w:rPr>
          <w:color w:val="000000" w:themeColor="text1"/>
        </w:rPr>
        <w:t xml:space="preserve">Establishing rules for </w:t>
      </w:r>
      <w:r w:rsidRPr="00C21DF1">
        <w:rPr>
          <w:i/>
          <w:iCs/>
          <w:color w:val="000000" w:themeColor="text1"/>
        </w:rPr>
        <w:t>all</w:t>
      </w:r>
      <w:r w:rsidRPr="00C21DF1">
        <w:rPr>
          <w:color w:val="000000" w:themeColor="text1"/>
        </w:rPr>
        <w:t xml:space="preserve"> IOUs on how the disaggregated </w:t>
      </w:r>
      <w:r w:rsidRPr="00C21DF1">
        <w:rPr>
          <w:i/>
          <w:iCs/>
          <w:color w:val="000000" w:themeColor="text1"/>
        </w:rPr>
        <w:t>rates</w:t>
      </w:r>
      <w:r w:rsidRPr="00C21DF1">
        <w:rPr>
          <w:color w:val="000000" w:themeColor="text1"/>
        </w:rPr>
        <w:t xml:space="preserve"> will be sho</w:t>
      </w:r>
      <w:r w:rsidRPr="00C21DF1" w:rsidR="2B19065F">
        <w:rPr>
          <w:color w:val="000000" w:themeColor="text1"/>
        </w:rPr>
        <w:t>wn</w:t>
      </w:r>
      <w:r w:rsidRPr="00C21DF1">
        <w:rPr>
          <w:color w:val="000000" w:themeColor="text1"/>
        </w:rPr>
        <w:t xml:space="preserve"> on </w:t>
      </w:r>
      <w:r w:rsidRPr="00C21DF1">
        <w:rPr>
          <w:i/>
          <w:iCs/>
          <w:color w:val="000000" w:themeColor="text1"/>
        </w:rPr>
        <w:t>bills</w:t>
      </w:r>
      <w:r w:rsidRPr="00C21DF1">
        <w:rPr>
          <w:color w:val="000000" w:themeColor="text1"/>
        </w:rPr>
        <w:t xml:space="preserve"> is properly addressed in the Power Charge Indifference Adjustment (PCIA)</w:t>
      </w:r>
      <w:r w:rsidRPr="00C21DF1" w:rsidR="0092221B">
        <w:rPr>
          <w:color w:val="000000" w:themeColor="text1"/>
        </w:rPr>
        <w:t xml:space="preserve"> rulemaking, and workshops will be set to do so.</w:t>
      </w:r>
    </w:p>
    <w:p w:rsidR="0092221B" w:rsidP="0092221B" w:rsidRDefault="0092221B" w14:paraId="6CC11740" w14:textId="77777777">
      <w:pPr>
        <w:rPr>
          <w:color w:val="7F7F7F" w:themeColor="text1" w:themeTint="80"/>
        </w:rPr>
      </w:pPr>
    </w:p>
    <w:p w:rsidR="00614DE9" w:rsidP="00973303" w:rsidRDefault="00530E51" w14:paraId="3F490EFE" w14:textId="36747BF6">
      <w:pPr>
        <w:keepNext/>
        <w:spacing w:line="360" w:lineRule="auto"/>
      </w:pPr>
      <w:r>
        <w:t>The Joint Parit</w:t>
      </w:r>
      <w:r w:rsidR="0CC5E898">
        <w:t>i</w:t>
      </w:r>
      <w:r>
        <w:t xml:space="preserve">es </w:t>
      </w:r>
      <w:r w:rsidR="00EA554F">
        <w:t>argue</w:t>
      </w:r>
      <w:r>
        <w:t xml:space="preserve"> that </w:t>
      </w:r>
      <w:r w:rsidR="22FEB1E1">
        <w:t xml:space="preserve">the </w:t>
      </w:r>
      <w:r>
        <w:t xml:space="preserve">issue of how to show the PCIA in customer bills are </w:t>
      </w:r>
      <w:r w:rsidR="0CB18E8D">
        <w:t xml:space="preserve">is </w:t>
      </w:r>
      <w:r>
        <w:t>scope</w:t>
      </w:r>
      <w:r w:rsidR="713B96BC">
        <w:t>d</w:t>
      </w:r>
      <w:r>
        <w:t xml:space="preserve"> in</w:t>
      </w:r>
      <w:r w:rsidR="29461374">
        <w:t>to</w:t>
      </w:r>
      <w:r>
        <w:t xml:space="preserve"> the PCIA rulemaking</w:t>
      </w:r>
      <w:r w:rsidR="377FF41B">
        <w:t>.</w:t>
      </w:r>
      <w:r>
        <w:t xml:space="preserve"> </w:t>
      </w:r>
      <w:r w:rsidR="0AFE4B4A">
        <w:t>T</w:t>
      </w:r>
      <w:r>
        <w:t xml:space="preserve">he Commission sought to address these issues in D.18-10-019 and D.20-03-019 and recognized that the problems with the PCIA presentation on bills are not unique to any one utility. </w:t>
      </w:r>
    </w:p>
    <w:p w:rsidR="0092221B" w:rsidP="00973303" w:rsidRDefault="00614DE9" w14:paraId="2FADD016" w14:textId="6FE327E4">
      <w:pPr>
        <w:keepNext/>
        <w:spacing w:line="360" w:lineRule="auto"/>
      </w:pPr>
      <w:r>
        <w:t>The Joint Parties ask that</w:t>
      </w:r>
      <w:r w:rsidR="00590244">
        <w:t xml:space="preserve"> </w:t>
      </w:r>
      <w:r w:rsidR="00956939">
        <w:t>the Energy Division should hold workshops</w:t>
      </w:r>
      <w:r w:rsidRPr="00614DE9">
        <w:t xml:space="preserve"> </w:t>
      </w:r>
      <w:r>
        <w:t xml:space="preserve">to develop a set of further bill and tariff changes during 2021 in coordination with general rate </w:t>
      </w:r>
      <w:r>
        <w:lastRenderedPageBreak/>
        <w:t>case proceedings,</w:t>
      </w:r>
      <w:r w:rsidRPr="00614DE9">
        <w:t xml:space="preserve"> </w:t>
      </w:r>
      <w:r>
        <w:t>as authorized by D.20-03-019 (OP2</w:t>
      </w:r>
      <w:proofErr w:type="gramStart"/>
      <w:r>
        <w:t>),  once</w:t>
      </w:r>
      <w:proofErr w:type="gramEnd"/>
      <w:r>
        <w:t xml:space="preserve"> the proposal in these advice letters is approved</w:t>
      </w:r>
      <w:r w:rsidR="00E669F5">
        <w:t>.</w:t>
      </w:r>
      <w:r w:rsidR="005C1FC4">
        <w:t xml:space="preserve"> </w:t>
      </w:r>
    </w:p>
    <w:p w:rsidRPr="00973303" w:rsidR="00E669F5" w:rsidP="00973303" w:rsidRDefault="00E669F5" w14:paraId="739BFF14" w14:textId="77777777">
      <w:pPr>
        <w:keepNext/>
        <w:spacing w:line="360" w:lineRule="auto"/>
      </w:pPr>
    </w:p>
    <w:p w:rsidR="00D21ADA" w:rsidP="00F0616C" w:rsidRDefault="00932D61" w14:paraId="10FA907E" w14:textId="12CF08B9">
      <w:pPr>
        <w:keepNext/>
        <w:spacing w:line="360" w:lineRule="auto"/>
      </w:pPr>
      <w:r>
        <w:t xml:space="preserve">We acknowledge </w:t>
      </w:r>
      <w:r w:rsidR="001C2C54">
        <w:t xml:space="preserve">the distinction </w:t>
      </w:r>
      <w:r w:rsidR="007716C5">
        <w:t>the Joint Parties make between</w:t>
      </w:r>
      <w:r w:rsidR="002F3E0F">
        <w:t xml:space="preserve"> changes to</w:t>
      </w:r>
      <w:r w:rsidR="007716C5">
        <w:t xml:space="preserve"> </w:t>
      </w:r>
      <w:r w:rsidR="007716C5">
        <w:rPr>
          <w:i/>
          <w:iCs/>
        </w:rPr>
        <w:t xml:space="preserve">rate design </w:t>
      </w:r>
      <w:r w:rsidR="007716C5">
        <w:t xml:space="preserve">and </w:t>
      </w:r>
      <w:r w:rsidR="001E2177">
        <w:rPr>
          <w:i/>
          <w:iCs/>
        </w:rPr>
        <w:t>bill presentation</w:t>
      </w:r>
      <w:r w:rsidR="002F3E0F">
        <w:t xml:space="preserve"> and agree that </w:t>
      </w:r>
      <w:r w:rsidR="009B14E7">
        <w:t xml:space="preserve">the GRC 2 is the proper venue to address </w:t>
      </w:r>
      <w:r w:rsidR="009B14E7">
        <w:rPr>
          <w:i/>
          <w:iCs/>
        </w:rPr>
        <w:t>rate</w:t>
      </w:r>
      <w:r w:rsidR="009B14E7">
        <w:t xml:space="preserve"> </w:t>
      </w:r>
      <w:r w:rsidR="00DF31E9">
        <w:rPr>
          <w:i/>
          <w:iCs/>
        </w:rPr>
        <w:t xml:space="preserve">design </w:t>
      </w:r>
      <w:r w:rsidR="00DF31E9">
        <w:t xml:space="preserve">changes, </w:t>
      </w:r>
      <w:r w:rsidR="00903682">
        <w:t>and not the venue for addressing “more extensive modifications to the utilities’ bill design</w:t>
      </w:r>
      <w:r w:rsidR="00F24EAF">
        <w:t>,” as stated in Finding 5 of the Draft Resolution</w:t>
      </w:r>
      <w:r w:rsidR="007E5766">
        <w:t>.</w:t>
      </w:r>
      <w:r w:rsidR="00D40150">
        <w:t xml:space="preserve"> We update Finding 5 </w:t>
      </w:r>
      <w:r w:rsidR="00DC374E">
        <w:t>to reflect this distinction.</w:t>
      </w:r>
    </w:p>
    <w:p w:rsidR="00D21ADA" w:rsidP="00F0616C" w:rsidRDefault="00D21ADA" w14:paraId="662EA021" w14:textId="77777777">
      <w:pPr>
        <w:keepNext/>
        <w:spacing w:line="360" w:lineRule="auto"/>
      </w:pPr>
    </w:p>
    <w:p w:rsidRPr="00CE1FF7" w:rsidR="00CE1FF7" w:rsidP="00F0616C" w:rsidRDefault="00657C63" w14:paraId="31DE9C11" w14:textId="2C8CC95F">
      <w:pPr>
        <w:keepNext/>
        <w:spacing w:line="360" w:lineRule="auto"/>
      </w:pPr>
      <w:r>
        <w:t xml:space="preserve">However, we disagree that D.20-03-019 requires </w:t>
      </w:r>
      <w:r w:rsidR="00D21ADA">
        <w:t>Energy Division</w:t>
      </w:r>
      <w:r>
        <w:t xml:space="preserve"> to </w:t>
      </w:r>
      <w:r w:rsidR="00FC067A">
        <w:t xml:space="preserve">hold a workshop or to </w:t>
      </w:r>
      <w:r>
        <w:t xml:space="preserve">consider further bill changes </w:t>
      </w:r>
      <w:r w:rsidR="00FC067A">
        <w:t xml:space="preserve">beyond what is approved in this resolution. </w:t>
      </w:r>
      <w:r w:rsidR="004A7129">
        <w:t xml:space="preserve">The </w:t>
      </w:r>
      <w:r w:rsidR="004A7129">
        <w:rPr>
          <w:i/>
          <w:iCs/>
        </w:rPr>
        <w:t>bill design</w:t>
      </w:r>
      <w:r w:rsidR="004A7129">
        <w:t xml:space="preserve"> changes approved in thi</w:t>
      </w:r>
      <w:r w:rsidR="000F4267">
        <w:t xml:space="preserve">s resolution </w:t>
      </w:r>
      <w:r w:rsidR="36631F14">
        <w:t>satisfy</w:t>
      </w:r>
      <w:r w:rsidR="000F4267">
        <w:t xml:space="preserve"> </w:t>
      </w:r>
      <w:r w:rsidR="009C41C6">
        <w:t>the</w:t>
      </w:r>
      <w:r w:rsidR="004A129A">
        <w:t xml:space="preserve"> requirements of O</w:t>
      </w:r>
      <w:r w:rsidR="002713DF">
        <w:t>rdering Paragraph 2</w:t>
      </w:r>
      <w:r w:rsidR="439AFF5A">
        <w:t>, which directed</w:t>
      </w:r>
      <w:r w:rsidR="002713DF">
        <w:t xml:space="preserve"> the utilities </w:t>
      </w:r>
      <w:r w:rsidR="2E4786F9">
        <w:t xml:space="preserve">to </w:t>
      </w:r>
      <w:r w:rsidR="002713DF">
        <w:t>propose, “</w:t>
      </w:r>
      <w:r w:rsidRPr="00642149" w:rsidR="004A129A">
        <w:t xml:space="preserve">bill </w:t>
      </w:r>
      <w:r w:rsidR="004A129A">
        <w:t xml:space="preserve">and tariff </w:t>
      </w:r>
      <w:r w:rsidRPr="00642149" w:rsidR="004A129A">
        <w:t xml:space="preserve">changes to show a </w:t>
      </w:r>
      <w:r w:rsidR="004A129A">
        <w:t>power charge indifference adjustment</w:t>
      </w:r>
      <w:r w:rsidRPr="00642149" w:rsidR="004A129A">
        <w:t xml:space="preserve"> line item in the</w:t>
      </w:r>
      <w:r w:rsidR="004A129A">
        <w:t>ir</w:t>
      </w:r>
      <w:r w:rsidRPr="00642149" w:rsidR="004A129A">
        <w:t xml:space="preserve"> </w:t>
      </w:r>
      <w:r w:rsidR="004A129A">
        <w:t xml:space="preserve">tariffs and </w:t>
      </w:r>
      <w:r w:rsidRPr="00642149" w:rsidR="004A129A">
        <w:t>bill summary table</w:t>
      </w:r>
      <w:r w:rsidR="004A129A">
        <w:t>s</w:t>
      </w:r>
      <w:r w:rsidRPr="00642149" w:rsidR="004A129A">
        <w:t xml:space="preserve"> on all customer bills</w:t>
      </w:r>
      <w:r w:rsidR="004A129A">
        <w:t>.</w:t>
      </w:r>
      <w:r w:rsidR="002713DF">
        <w:t xml:space="preserve">” </w:t>
      </w:r>
      <w:r w:rsidR="00A068DB">
        <w:t xml:space="preserve">While </w:t>
      </w:r>
      <w:r w:rsidR="00AB10DC">
        <w:t xml:space="preserve">future changes </w:t>
      </w:r>
      <w:r w:rsidR="00A068DB">
        <w:t xml:space="preserve">to </w:t>
      </w:r>
      <w:r w:rsidRPr="003A4F49" w:rsidR="00A068DB">
        <w:rPr>
          <w:i/>
          <w:iCs/>
        </w:rPr>
        <w:t>rate design</w:t>
      </w:r>
      <w:r w:rsidR="00A068DB">
        <w:t xml:space="preserve"> could create the need for </w:t>
      </w:r>
      <w:r w:rsidR="006901FD">
        <w:t xml:space="preserve">further modifications to </w:t>
      </w:r>
      <w:r w:rsidR="006901FD">
        <w:rPr>
          <w:i/>
          <w:iCs/>
        </w:rPr>
        <w:t>bill presentation,</w:t>
      </w:r>
      <w:r w:rsidR="006901FD">
        <w:t xml:space="preserve"> we </w:t>
      </w:r>
      <w:r w:rsidR="008A0AA3">
        <w:t xml:space="preserve">cannot predict or prejudge </w:t>
      </w:r>
      <w:r w:rsidR="00310362">
        <w:t xml:space="preserve">whether or when </w:t>
      </w:r>
      <w:r w:rsidR="008A0AA3">
        <w:t xml:space="preserve">those changes </w:t>
      </w:r>
      <w:r w:rsidR="006028DF">
        <w:t xml:space="preserve">might occur. We therefore decline to </w:t>
      </w:r>
      <w:r w:rsidR="006012F4">
        <w:t>require further actions</w:t>
      </w:r>
      <w:r w:rsidR="00E977AB">
        <w:t xml:space="preserve"> to address them. </w:t>
      </w:r>
      <w:r w:rsidR="008A0AA3">
        <w:t xml:space="preserve"> </w:t>
      </w:r>
      <w:r w:rsidR="00A068DB">
        <w:t xml:space="preserve"> </w:t>
      </w:r>
      <w:r w:rsidR="004A129A">
        <w:t xml:space="preserve">  </w:t>
      </w:r>
    </w:p>
    <w:p w:rsidR="0043624E" w:rsidP="00F0616C" w:rsidRDefault="0043624E" w14:paraId="3B483B46" w14:textId="77777777">
      <w:pPr>
        <w:keepNext/>
        <w:spacing w:line="360" w:lineRule="auto"/>
      </w:pPr>
    </w:p>
    <w:p w:rsidRPr="00AF3B25" w:rsidR="0069580F" w:rsidP="0069580F" w:rsidRDefault="0069580F" w14:paraId="37504050" w14:textId="77777777">
      <w:pPr>
        <w:spacing w:line="360" w:lineRule="auto"/>
      </w:pPr>
    </w:p>
    <w:p w:rsidR="00627A99" w:rsidP="00AF3B25" w:rsidRDefault="00CF17DE" w14:paraId="0AFA5488" w14:textId="3D40ACBE">
      <w:pPr>
        <w:pStyle w:val="Heading1"/>
      </w:pPr>
      <w:r w:rsidRPr="00016154">
        <w:t>Findings</w:t>
      </w:r>
    </w:p>
    <w:p w:rsidRPr="00AF3B25" w:rsidR="00300869" w:rsidP="0010197A" w:rsidRDefault="00991A38" w14:paraId="40840D1D" w14:textId="116B1E74">
      <w:pPr>
        <w:pStyle w:val="standard"/>
        <w:numPr>
          <w:ilvl w:val="0"/>
          <w:numId w:val="23"/>
        </w:numPr>
        <w:spacing w:before="120" w:after="120"/>
        <w:ind w:left="360"/>
        <w:rPr>
          <w:szCs w:val="26"/>
        </w:rPr>
      </w:pPr>
      <w:r w:rsidRPr="00AF3B25">
        <w:rPr>
          <w:szCs w:val="26"/>
        </w:rPr>
        <w:t>Adding a line item to bundled customer</w:t>
      </w:r>
      <w:r w:rsidRPr="00AF3B25" w:rsidR="009B56EC">
        <w:rPr>
          <w:szCs w:val="26"/>
        </w:rPr>
        <w:t xml:space="preserve"> bills</w:t>
      </w:r>
      <w:r w:rsidRPr="00AF3B25">
        <w:rPr>
          <w:szCs w:val="26"/>
        </w:rPr>
        <w:t xml:space="preserve"> </w:t>
      </w:r>
      <w:r w:rsidRPr="00AF3B25" w:rsidR="00BF025F">
        <w:rPr>
          <w:szCs w:val="26"/>
        </w:rPr>
        <w:t>that shows</w:t>
      </w:r>
      <w:r w:rsidRPr="00AF3B25" w:rsidR="0009162F">
        <w:rPr>
          <w:szCs w:val="26"/>
        </w:rPr>
        <w:t xml:space="preserve"> th</w:t>
      </w:r>
      <w:r w:rsidRPr="00AF3B25" w:rsidR="00F35018">
        <w:rPr>
          <w:szCs w:val="26"/>
        </w:rPr>
        <w:t xml:space="preserve">e portion of </w:t>
      </w:r>
      <w:r w:rsidRPr="00AF3B25" w:rsidR="005A7108">
        <w:rPr>
          <w:szCs w:val="26"/>
        </w:rPr>
        <w:t xml:space="preserve">generation charges </w:t>
      </w:r>
      <w:r w:rsidR="008326AE">
        <w:rPr>
          <w:szCs w:val="26"/>
        </w:rPr>
        <w:t>related to</w:t>
      </w:r>
      <w:r w:rsidRPr="00AF3B25" w:rsidR="00FA6A51">
        <w:rPr>
          <w:szCs w:val="26"/>
        </w:rPr>
        <w:t xml:space="preserve"> PCIA obligation</w:t>
      </w:r>
      <w:r w:rsidR="008326AE">
        <w:rPr>
          <w:szCs w:val="26"/>
        </w:rPr>
        <w:t>s</w:t>
      </w:r>
      <w:r w:rsidRPr="00AF3B25" w:rsidR="00FA6A51">
        <w:rPr>
          <w:szCs w:val="26"/>
        </w:rPr>
        <w:t xml:space="preserve"> reasonabl</w:t>
      </w:r>
      <w:r w:rsidRPr="00AF3B25" w:rsidR="00456E3C">
        <w:rPr>
          <w:szCs w:val="26"/>
        </w:rPr>
        <w:t>y fulfills the requirements of D. 20-03-019</w:t>
      </w:r>
      <w:r w:rsidRPr="00AF3B25" w:rsidR="007E6EB0">
        <w:rPr>
          <w:szCs w:val="26"/>
        </w:rPr>
        <w:t>.</w:t>
      </w:r>
    </w:p>
    <w:p w:rsidRPr="00AF3B25" w:rsidR="00456E3C" w:rsidP="0010197A" w:rsidRDefault="00DF7C7D" w14:paraId="69D441C3" w14:textId="2E9301E1">
      <w:pPr>
        <w:pStyle w:val="standard"/>
        <w:numPr>
          <w:ilvl w:val="0"/>
          <w:numId w:val="23"/>
        </w:numPr>
        <w:spacing w:before="120" w:after="120"/>
        <w:ind w:left="360"/>
        <w:rPr>
          <w:szCs w:val="26"/>
        </w:rPr>
      </w:pPr>
      <w:r w:rsidRPr="00AF3B25">
        <w:rPr>
          <w:szCs w:val="26"/>
        </w:rPr>
        <w:lastRenderedPageBreak/>
        <w:t xml:space="preserve">The </w:t>
      </w:r>
      <w:r w:rsidRPr="00AF3B25" w:rsidR="00422D13">
        <w:rPr>
          <w:szCs w:val="26"/>
        </w:rPr>
        <w:t xml:space="preserve">definition </w:t>
      </w:r>
      <w:r w:rsidRPr="00AF3B25" w:rsidR="003D017F">
        <w:rPr>
          <w:szCs w:val="26"/>
        </w:rPr>
        <w:t>of “PCIA”</w:t>
      </w:r>
      <w:r w:rsidRPr="00AF3B25" w:rsidR="001B56BD">
        <w:rPr>
          <w:szCs w:val="26"/>
        </w:rPr>
        <w:t xml:space="preserve"> </w:t>
      </w:r>
      <w:r w:rsidRPr="00AF3B25" w:rsidR="00422D13">
        <w:rPr>
          <w:szCs w:val="26"/>
        </w:rPr>
        <w:t xml:space="preserve">that the utilities propose </w:t>
      </w:r>
      <w:r w:rsidRPr="00AF3B25" w:rsidR="0063204E">
        <w:rPr>
          <w:szCs w:val="26"/>
        </w:rPr>
        <w:t xml:space="preserve">to include </w:t>
      </w:r>
      <w:r w:rsidRPr="00AF3B25" w:rsidR="00422D13">
        <w:rPr>
          <w:szCs w:val="26"/>
        </w:rPr>
        <w:t xml:space="preserve">on customer bills </w:t>
      </w:r>
      <w:r w:rsidR="00366BE0">
        <w:rPr>
          <w:szCs w:val="26"/>
        </w:rPr>
        <w:t>should be modified</w:t>
      </w:r>
      <w:r w:rsidRPr="00AF3B25" w:rsidR="0052219F">
        <w:rPr>
          <w:szCs w:val="26"/>
        </w:rPr>
        <w:t xml:space="preserve"> to </w:t>
      </w:r>
      <w:r w:rsidRPr="00AF3B25" w:rsidR="002E01ED">
        <w:rPr>
          <w:szCs w:val="26"/>
        </w:rPr>
        <w:t xml:space="preserve">help </w:t>
      </w:r>
      <w:r w:rsidRPr="00AF3B25" w:rsidR="00BE7FC1">
        <w:rPr>
          <w:szCs w:val="26"/>
        </w:rPr>
        <w:t>customers understand the purpose of the PCIA line item</w:t>
      </w:r>
      <w:r w:rsidRPr="00AF3B25" w:rsidR="0063204E">
        <w:rPr>
          <w:szCs w:val="26"/>
        </w:rPr>
        <w:t>.</w:t>
      </w:r>
    </w:p>
    <w:p w:rsidRPr="00AF3B25" w:rsidR="006E492C" w:rsidP="0010197A" w:rsidRDefault="00925A5E" w14:paraId="13F33311" w14:textId="493C2A05">
      <w:pPr>
        <w:pStyle w:val="standard"/>
        <w:numPr>
          <w:ilvl w:val="0"/>
          <w:numId w:val="23"/>
        </w:numPr>
        <w:spacing w:before="120" w:after="120"/>
        <w:ind w:left="360"/>
        <w:rPr>
          <w:szCs w:val="26"/>
        </w:rPr>
      </w:pPr>
      <w:r w:rsidRPr="00AF3B25">
        <w:rPr>
          <w:szCs w:val="26"/>
        </w:rPr>
        <w:t xml:space="preserve">The </w:t>
      </w:r>
      <w:r w:rsidRPr="00AF3B25" w:rsidR="00F5508F">
        <w:rPr>
          <w:szCs w:val="26"/>
        </w:rPr>
        <w:t xml:space="preserve">changes PG&amp;E proposes to make to its CRS tariffs </w:t>
      </w:r>
      <w:r w:rsidRPr="00AF3B25" w:rsidR="000D2E45">
        <w:rPr>
          <w:szCs w:val="26"/>
        </w:rPr>
        <w:t>will make the utilities’ tariffs more comparable and</w:t>
      </w:r>
      <w:r w:rsidRPr="00AF3B25" w:rsidR="00F5508F">
        <w:rPr>
          <w:szCs w:val="26"/>
        </w:rPr>
        <w:t xml:space="preserve"> </w:t>
      </w:r>
      <w:r w:rsidRPr="00AF3B25" w:rsidR="00672939">
        <w:rPr>
          <w:szCs w:val="26"/>
        </w:rPr>
        <w:t>help make</w:t>
      </w:r>
      <w:r w:rsidRPr="00AF3B25" w:rsidR="00BE7023">
        <w:rPr>
          <w:szCs w:val="26"/>
        </w:rPr>
        <w:t xml:space="preserve"> departing load charges </w:t>
      </w:r>
      <w:r w:rsidRPr="00AF3B25" w:rsidR="00925E74">
        <w:rPr>
          <w:szCs w:val="26"/>
        </w:rPr>
        <w:t>more transparent to customers.</w:t>
      </w:r>
    </w:p>
    <w:p w:rsidRPr="00AF3B25" w:rsidR="00925E74" w:rsidP="0010197A" w:rsidRDefault="00EC5911" w14:paraId="603E7A53" w14:textId="72D2EBA3">
      <w:pPr>
        <w:pStyle w:val="standard"/>
        <w:numPr>
          <w:ilvl w:val="0"/>
          <w:numId w:val="23"/>
        </w:numPr>
        <w:spacing w:before="120" w:after="120"/>
        <w:ind w:left="360"/>
        <w:rPr>
          <w:szCs w:val="26"/>
        </w:rPr>
      </w:pPr>
      <w:r w:rsidRPr="00AF3B25">
        <w:rPr>
          <w:szCs w:val="26"/>
        </w:rPr>
        <w:t>Proposed</w:t>
      </w:r>
      <w:r w:rsidRPr="00AF3B25" w:rsidR="00925E74">
        <w:rPr>
          <w:szCs w:val="26"/>
        </w:rPr>
        <w:t xml:space="preserve"> changes </w:t>
      </w:r>
      <w:r w:rsidRPr="00AF3B25">
        <w:rPr>
          <w:szCs w:val="26"/>
        </w:rPr>
        <w:t>to the</w:t>
      </w:r>
      <w:r w:rsidRPr="00AF3B25" w:rsidR="00925E74">
        <w:rPr>
          <w:szCs w:val="26"/>
        </w:rPr>
        <w:t xml:space="preserve"> utilities</w:t>
      </w:r>
      <w:r w:rsidRPr="00AF3B25" w:rsidR="00780C4E">
        <w:rPr>
          <w:szCs w:val="26"/>
        </w:rPr>
        <w:t>’</w:t>
      </w:r>
      <w:r w:rsidRPr="00AF3B25" w:rsidR="00925E74">
        <w:rPr>
          <w:szCs w:val="26"/>
        </w:rPr>
        <w:t xml:space="preserve"> </w:t>
      </w:r>
      <w:r w:rsidRPr="00AF3B25" w:rsidR="00453FC2">
        <w:rPr>
          <w:szCs w:val="26"/>
        </w:rPr>
        <w:t>individual tariffs that explain how</w:t>
      </w:r>
      <w:r w:rsidRPr="00AF3B25" w:rsidR="00D15E49">
        <w:rPr>
          <w:szCs w:val="26"/>
        </w:rPr>
        <w:t xml:space="preserve"> the PCIA is recovered are reasonable</w:t>
      </w:r>
      <w:r w:rsidRPr="00AF3B25" w:rsidR="008F5FAC">
        <w:rPr>
          <w:szCs w:val="26"/>
        </w:rPr>
        <w:t xml:space="preserve"> and will </w:t>
      </w:r>
      <w:r w:rsidRPr="00AF3B25" w:rsidR="000E449B">
        <w:rPr>
          <w:szCs w:val="26"/>
        </w:rPr>
        <w:t>help customers better understand their bills.</w:t>
      </w:r>
    </w:p>
    <w:p w:rsidR="47BC224A" w:rsidP="00234092" w:rsidRDefault="0AA91DDB" w14:paraId="094A6AED" w14:textId="401A32F7">
      <w:pPr>
        <w:pStyle w:val="standard"/>
        <w:numPr>
          <w:ilvl w:val="0"/>
          <w:numId w:val="23"/>
        </w:numPr>
        <w:spacing w:before="120" w:after="120"/>
        <w:ind w:left="360"/>
        <w:rPr>
          <w:rFonts w:asciiTheme="majorHAnsi" w:hAnsiTheme="majorHAnsi"/>
          <w:b/>
          <w:bCs/>
          <w:color w:val="A6A6A6" w:themeColor="background1" w:themeShade="A6"/>
          <w:sz w:val="24"/>
          <w:szCs w:val="24"/>
        </w:rPr>
      </w:pPr>
      <w:r>
        <w:t>Changes</w:t>
      </w:r>
      <w:r w:rsidR="00905720">
        <w:t xml:space="preserve"> to </w:t>
      </w:r>
      <w:r w:rsidR="000B1C11">
        <w:t xml:space="preserve">bundled customer </w:t>
      </w:r>
      <w:r w:rsidR="00896560">
        <w:t xml:space="preserve">time-differentiated rate structures are a </w:t>
      </w:r>
      <w:r w:rsidR="3F7762C3">
        <w:t xml:space="preserve">rate design </w:t>
      </w:r>
      <w:r w:rsidR="00896560">
        <w:t xml:space="preserve">issue and </w:t>
      </w:r>
      <w:r w:rsidR="000B1C11">
        <w:t>are beyond the s</w:t>
      </w:r>
      <w:r w:rsidR="00C70A1E">
        <w:t xml:space="preserve">cope </w:t>
      </w:r>
      <w:r w:rsidR="00FE1A42">
        <w:t xml:space="preserve">of this resolution. </w:t>
      </w:r>
      <w:r w:rsidR="00BA2967">
        <w:t xml:space="preserve">The respective utilities’ </w:t>
      </w:r>
      <w:r w:rsidR="00851DB1">
        <w:t xml:space="preserve">General Rate Case </w:t>
      </w:r>
      <w:r w:rsidR="005628AC">
        <w:t xml:space="preserve">Phase 2 proceedings are the appropriate venue </w:t>
      </w:r>
      <w:r w:rsidR="00AB06FE">
        <w:t xml:space="preserve">to </w:t>
      </w:r>
      <w:proofErr w:type="gramStart"/>
      <w:r w:rsidR="00210DC6">
        <w:t xml:space="preserve">consider </w:t>
      </w:r>
      <w:r w:rsidR="00F60D7F">
        <w:t xml:space="preserve"> modifications</w:t>
      </w:r>
      <w:proofErr w:type="gramEnd"/>
      <w:r w:rsidR="00F60D7F">
        <w:t xml:space="preserve"> to the </w:t>
      </w:r>
      <w:r w:rsidR="003A1D5D">
        <w:t xml:space="preserve">utilities’ </w:t>
      </w:r>
      <w:r w:rsidR="00C66B34">
        <w:t xml:space="preserve">time-differentiated </w:t>
      </w:r>
      <w:r w:rsidR="06A4C57D">
        <w:t xml:space="preserve">rate </w:t>
      </w:r>
      <w:r w:rsidR="00C66B34">
        <w:t>structures</w:t>
      </w:r>
      <w:r w:rsidR="00845088">
        <w:t>.</w:t>
      </w:r>
      <w:r w:rsidR="00851DB1">
        <w:t xml:space="preserve"> </w:t>
      </w:r>
    </w:p>
    <w:p w:rsidRPr="0074235B" w:rsidR="00CF17DE" w:rsidP="00AF3B25" w:rsidRDefault="00CF17DE" w14:paraId="03EBB768" w14:textId="77777777">
      <w:pPr>
        <w:pStyle w:val="Heading1"/>
      </w:pPr>
      <w:proofErr w:type="gramStart"/>
      <w:r w:rsidRPr="0074235B">
        <w:t>Therefore</w:t>
      </w:r>
      <w:proofErr w:type="gramEnd"/>
      <w:r w:rsidRPr="0074235B">
        <w:t xml:space="preserve"> it is ordered that:</w:t>
      </w:r>
    </w:p>
    <w:p w:rsidRPr="006802F9" w:rsidR="006824A8" w:rsidP="00B67CC9" w:rsidRDefault="00326300" w14:paraId="1EBA0394" w14:textId="24354458">
      <w:pPr>
        <w:pStyle w:val="standard"/>
        <w:numPr>
          <w:ilvl w:val="0"/>
          <w:numId w:val="31"/>
        </w:numPr>
        <w:spacing w:before="120" w:after="120"/>
        <w:ind w:left="360"/>
      </w:pPr>
      <w:r>
        <w:t xml:space="preserve">The Joint Proposal put forward by </w:t>
      </w:r>
      <w:r w:rsidR="00F6029E">
        <w:t xml:space="preserve">SDG&amp;E, SCE, and PG&amp;E in </w:t>
      </w:r>
      <w:r w:rsidR="00CB755C">
        <w:t>Advice Letters 4302-G-G/5932-E, 4280-E, and 3600-E is adopted with modification</w:t>
      </w:r>
      <w:r w:rsidR="009425EA">
        <w:t xml:space="preserve"> to the </w:t>
      </w:r>
      <w:r w:rsidR="00AB24F1">
        <w:t>definition of the PCIA on customer bills</w:t>
      </w:r>
      <w:r w:rsidR="006F778F">
        <w:t>. The definition shall be:</w:t>
      </w:r>
      <w:r w:rsidR="00AB24F1">
        <w:t xml:space="preserve"> </w:t>
      </w:r>
      <w:r w:rsidRPr="07DFD98B" w:rsidR="006434F4">
        <w:rPr>
          <w:i/>
          <w:iCs/>
        </w:rPr>
        <w:t xml:space="preserve">The PCIA is a charge to ensure that both [utility] customers and those who have left [utility] service </w:t>
      </w:r>
      <w:r w:rsidRPr="07DFD98B" w:rsidR="009425EA">
        <w:rPr>
          <w:i/>
          <w:iCs/>
        </w:rPr>
        <w:t xml:space="preserve">to </w:t>
      </w:r>
      <w:r w:rsidRPr="07DFD98B" w:rsidR="00AC54F1">
        <w:rPr>
          <w:i/>
          <w:iCs/>
        </w:rPr>
        <w:t xml:space="preserve">purchase electricity </w:t>
      </w:r>
      <w:r w:rsidRPr="07DFD98B" w:rsidR="009425EA">
        <w:rPr>
          <w:i/>
          <w:iCs/>
        </w:rPr>
        <w:t xml:space="preserve">from </w:t>
      </w:r>
      <w:r w:rsidRPr="07DFD98B" w:rsidR="006434F4">
        <w:rPr>
          <w:i/>
          <w:iCs/>
        </w:rPr>
        <w:t xml:space="preserve">other providers pay for the above market costs for </w:t>
      </w:r>
      <w:r w:rsidRPr="07DFD98B" w:rsidR="00985F76">
        <w:rPr>
          <w:i/>
          <w:iCs/>
        </w:rPr>
        <w:t xml:space="preserve">electric </w:t>
      </w:r>
      <w:r w:rsidRPr="07DFD98B" w:rsidR="006434F4">
        <w:rPr>
          <w:i/>
          <w:iCs/>
        </w:rPr>
        <w:t xml:space="preserve">generation resources that were procured by [utility] on their behalf. </w:t>
      </w:r>
      <w:r w:rsidR="00C325DB">
        <w:rPr>
          <w:i/>
          <w:iCs/>
        </w:rPr>
        <w:t>‘</w:t>
      </w:r>
      <w:r w:rsidRPr="00B67CC9" w:rsidR="006434F4">
        <w:rPr>
          <w:i/>
          <w:iCs/>
        </w:rPr>
        <w:t>Above market</w:t>
      </w:r>
      <w:r w:rsidR="00C325DB">
        <w:rPr>
          <w:i/>
          <w:iCs/>
        </w:rPr>
        <w:t>’</w:t>
      </w:r>
      <w:r w:rsidRPr="00B67CC9" w:rsidR="006434F4">
        <w:rPr>
          <w:i/>
          <w:iCs/>
        </w:rPr>
        <w:t xml:space="preserve"> refers to </w:t>
      </w:r>
      <w:r w:rsidR="00C325DB">
        <w:rPr>
          <w:i/>
          <w:iCs/>
        </w:rPr>
        <w:t xml:space="preserve">the difference between what the utility pays </w:t>
      </w:r>
      <w:r w:rsidRPr="00B67CC9" w:rsidR="006434F4">
        <w:rPr>
          <w:i/>
          <w:iCs/>
        </w:rPr>
        <w:t xml:space="preserve">for </w:t>
      </w:r>
      <w:r w:rsidR="00C325DB">
        <w:rPr>
          <w:i/>
          <w:iCs/>
        </w:rPr>
        <w:t xml:space="preserve">electric </w:t>
      </w:r>
      <w:r w:rsidRPr="00B67CC9" w:rsidR="006434F4">
        <w:rPr>
          <w:i/>
          <w:iCs/>
        </w:rPr>
        <w:t xml:space="preserve">generation </w:t>
      </w:r>
      <w:r w:rsidR="00AA4C16">
        <w:rPr>
          <w:i/>
          <w:iCs/>
        </w:rPr>
        <w:t xml:space="preserve">and </w:t>
      </w:r>
      <w:r w:rsidRPr="00B67CC9" w:rsidR="006434F4">
        <w:rPr>
          <w:i/>
          <w:iCs/>
        </w:rPr>
        <w:t>current market price</w:t>
      </w:r>
      <w:r w:rsidR="00AA4C16">
        <w:rPr>
          <w:i/>
          <w:iCs/>
        </w:rPr>
        <w:t>s for the sale of those resources.</w:t>
      </w:r>
    </w:p>
    <w:p w:rsidRPr="00016154" w:rsidR="004B6A6D" w:rsidP="0010197A" w:rsidRDefault="004B6A6D" w14:paraId="4F1D1C79" w14:textId="77777777">
      <w:pPr>
        <w:tabs>
          <w:tab w:val="left" w:pos="720"/>
          <w:tab w:val="left" w:pos="1296"/>
          <w:tab w:val="left" w:pos="2016"/>
          <w:tab w:val="left" w:pos="2736"/>
          <w:tab w:val="left" w:pos="3456"/>
          <w:tab w:val="left" w:pos="4176"/>
          <w:tab w:val="left" w:pos="5760"/>
        </w:tabs>
        <w:spacing w:line="360" w:lineRule="auto"/>
        <w:rPr>
          <w:rFonts w:asciiTheme="majorHAnsi" w:hAnsiTheme="majorHAnsi"/>
          <w:color w:val="A6A6A6" w:themeColor="background1" w:themeShade="A6"/>
          <w:sz w:val="24"/>
          <w:szCs w:val="24"/>
        </w:rPr>
      </w:pPr>
    </w:p>
    <w:p w:rsidRPr="0074235B" w:rsidR="00CF17DE" w:rsidP="0010197A" w:rsidRDefault="00CF17DE" w14:paraId="37DEE6CF" w14:textId="264653C1">
      <w:pPr>
        <w:spacing w:line="360" w:lineRule="auto"/>
      </w:pPr>
      <w:r w:rsidRPr="0074235B">
        <w:lastRenderedPageBreak/>
        <w:t>This Resolution is effective today.</w:t>
      </w:r>
    </w:p>
    <w:p w:rsidRPr="0074235B" w:rsidR="00CB42C3" w:rsidP="0010197A" w:rsidRDefault="00CB42C3" w14:paraId="7D496AA3" w14:textId="77777777">
      <w:pPr>
        <w:spacing w:line="360" w:lineRule="auto"/>
      </w:pPr>
    </w:p>
    <w:p w:rsidRPr="0074235B" w:rsidR="00CF17DE" w:rsidP="0010197A" w:rsidRDefault="00CF17DE" w14:paraId="048CEE72" w14:textId="48CD7B9F">
      <w:pPr>
        <w:spacing w:line="360" w:lineRule="auto"/>
        <w:rPr>
          <w:snapToGrid w:val="0"/>
        </w:rPr>
      </w:pPr>
      <w:r w:rsidRPr="0074235B">
        <w:rPr>
          <w:snapToGrid w:val="0"/>
        </w:rPr>
        <w:t xml:space="preserve">I certify that the foregoing resolution was duly introduced, </w:t>
      </w:r>
      <w:proofErr w:type="gramStart"/>
      <w:r w:rsidRPr="0074235B">
        <w:rPr>
          <w:snapToGrid w:val="0"/>
        </w:rPr>
        <w:t>passed</w:t>
      </w:r>
      <w:proofErr w:type="gramEnd"/>
      <w:r w:rsidRPr="0074235B">
        <w:rPr>
          <w:snapToGrid w:val="0"/>
        </w:rPr>
        <w:t xml:space="preserve"> and adopted at a conference of the Public Utilities Commission of the State of California held on </w:t>
      </w:r>
      <w:r w:rsidR="00234092">
        <w:rPr>
          <w:snapToGrid w:val="0"/>
          <w:color w:val="000000" w:themeColor="text1"/>
        </w:rPr>
        <w:t>May 6</w:t>
      </w:r>
      <w:r w:rsidRPr="003A4F49" w:rsidR="00BF12C5">
        <w:rPr>
          <w:snapToGrid w:val="0"/>
          <w:color w:val="000000" w:themeColor="text1"/>
        </w:rPr>
        <w:t>, 2021</w:t>
      </w:r>
      <w:r w:rsidRPr="003A4F49">
        <w:rPr>
          <w:snapToGrid w:val="0"/>
          <w:color w:val="000000" w:themeColor="text1"/>
        </w:rPr>
        <w:t xml:space="preserve">; </w:t>
      </w:r>
      <w:r w:rsidRPr="0074235B">
        <w:rPr>
          <w:snapToGrid w:val="0"/>
        </w:rPr>
        <w:t>the following Commissioners voting favorably thereon:</w:t>
      </w:r>
    </w:p>
    <w:p w:rsidRPr="00016154" w:rsidR="00B16F69" w:rsidP="00B16F69" w:rsidRDefault="00B16F69" w14:paraId="7145604E" w14:textId="77777777">
      <w:pPr>
        <w:tabs>
          <w:tab w:val="left" w:pos="720"/>
          <w:tab w:val="left" w:pos="1152"/>
          <w:tab w:val="left" w:pos="1728"/>
          <w:tab w:val="left" w:pos="3168"/>
          <w:tab w:val="left" w:pos="5040"/>
        </w:tabs>
        <w:ind w:left="720" w:right="144"/>
        <w:rPr>
          <w:rFonts w:asciiTheme="majorHAnsi" w:hAnsiTheme="majorHAnsi"/>
          <w:sz w:val="24"/>
          <w:szCs w:val="24"/>
        </w:rPr>
      </w:pPr>
      <w:r w:rsidRPr="00016154">
        <w:rPr>
          <w:rFonts w:asciiTheme="majorHAnsi" w:hAnsiTheme="majorHAnsi"/>
          <w:sz w:val="24"/>
          <w:szCs w:val="24"/>
        </w:rPr>
        <w:tab/>
      </w:r>
      <w:r w:rsidRPr="00016154">
        <w:rPr>
          <w:rFonts w:asciiTheme="majorHAnsi" w:hAnsiTheme="majorHAnsi"/>
          <w:sz w:val="24"/>
          <w:szCs w:val="24"/>
        </w:rPr>
        <w:tab/>
      </w:r>
      <w:r w:rsidRPr="00016154">
        <w:rPr>
          <w:rFonts w:asciiTheme="majorHAnsi" w:hAnsiTheme="majorHAnsi"/>
          <w:sz w:val="24"/>
          <w:szCs w:val="24"/>
        </w:rPr>
        <w:tab/>
      </w:r>
      <w:r w:rsidRPr="00016154" w:rsidR="00CF17DE">
        <w:rPr>
          <w:rFonts w:asciiTheme="majorHAnsi" w:hAnsiTheme="majorHAnsi"/>
          <w:sz w:val="24"/>
          <w:szCs w:val="24"/>
        </w:rPr>
        <w:tab/>
      </w:r>
      <w:r w:rsidRPr="00016154" w:rsidR="00CF17DE">
        <w:rPr>
          <w:rFonts w:asciiTheme="majorHAnsi" w:hAnsiTheme="majorHAnsi"/>
          <w:sz w:val="24"/>
          <w:szCs w:val="24"/>
        </w:rPr>
        <w:tab/>
      </w:r>
      <w:r w:rsidRPr="00016154" w:rsidR="00CF17DE">
        <w:rPr>
          <w:rFonts w:asciiTheme="majorHAnsi" w:hAnsiTheme="majorHAnsi"/>
          <w:sz w:val="24"/>
          <w:szCs w:val="24"/>
        </w:rPr>
        <w:tab/>
      </w:r>
      <w:r w:rsidRPr="00016154" w:rsidR="00CF17DE">
        <w:rPr>
          <w:rFonts w:asciiTheme="majorHAnsi" w:hAnsiTheme="majorHAnsi"/>
          <w:sz w:val="24"/>
          <w:szCs w:val="24"/>
        </w:rPr>
        <w:tab/>
      </w:r>
      <w:r w:rsidRPr="00016154" w:rsidR="00CF17DE">
        <w:rPr>
          <w:rFonts w:asciiTheme="majorHAnsi" w:hAnsiTheme="majorHAnsi"/>
          <w:sz w:val="24"/>
          <w:szCs w:val="24"/>
        </w:rPr>
        <w:tab/>
      </w:r>
      <w:r w:rsidRPr="00016154" w:rsidR="00CF17DE">
        <w:rPr>
          <w:rFonts w:asciiTheme="majorHAnsi" w:hAnsiTheme="majorHAnsi"/>
          <w:sz w:val="24"/>
          <w:szCs w:val="24"/>
        </w:rPr>
        <w:tab/>
      </w:r>
      <w:r w:rsidRPr="00016154">
        <w:rPr>
          <w:rFonts w:asciiTheme="majorHAnsi" w:hAnsiTheme="majorHAnsi"/>
          <w:sz w:val="24"/>
          <w:szCs w:val="24"/>
        </w:rPr>
        <w:t xml:space="preserve">                                                                                                 </w:t>
      </w:r>
    </w:p>
    <w:p w:rsidRPr="00016154" w:rsidR="00B16F69" w:rsidP="00B16F69" w:rsidRDefault="00B16F69" w14:paraId="6258A97C" w14:textId="77777777">
      <w:pPr>
        <w:tabs>
          <w:tab w:val="left" w:pos="720"/>
          <w:tab w:val="left" w:pos="1152"/>
          <w:tab w:val="left" w:pos="1728"/>
          <w:tab w:val="left" w:pos="3168"/>
          <w:tab w:val="left" w:pos="5040"/>
        </w:tabs>
        <w:ind w:left="720" w:right="144"/>
        <w:rPr>
          <w:rFonts w:asciiTheme="majorHAnsi" w:hAnsiTheme="majorHAnsi"/>
          <w:sz w:val="24"/>
          <w:szCs w:val="24"/>
        </w:rPr>
      </w:pPr>
    </w:p>
    <w:p w:rsidRPr="008B4D71" w:rsidR="008B4D71" w:rsidP="008B4D71" w:rsidRDefault="00B16F69" w14:paraId="40912C66" w14:textId="10D0BFAB">
      <w:pPr>
        <w:tabs>
          <w:tab w:val="left" w:pos="720"/>
          <w:tab w:val="left" w:pos="1152"/>
          <w:tab w:val="left" w:pos="1728"/>
          <w:tab w:val="left" w:pos="3168"/>
          <w:tab w:val="left" w:pos="5040"/>
        </w:tabs>
        <w:ind w:right="144"/>
        <w:jc w:val="both"/>
        <w:rPr>
          <w:rFonts w:ascii="Palatino Linotype" w:hAnsi="Palatino Linotype"/>
          <w:i/>
          <w:iCs/>
          <w:szCs w:val="26"/>
          <w:u w:val="single"/>
        </w:rPr>
      </w:pPr>
      <w:r w:rsidRPr="00016154">
        <w:rPr>
          <w:rFonts w:asciiTheme="majorHAnsi" w:hAnsiTheme="majorHAnsi"/>
          <w:sz w:val="24"/>
          <w:szCs w:val="24"/>
        </w:rPr>
        <w:tab/>
      </w:r>
      <w:r w:rsidRPr="00016154">
        <w:rPr>
          <w:rFonts w:asciiTheme="majorHAnsi" w:hAnsiTheme="majorHAnsi"/>
          <w:sz w:val="24"/>
          <w:szCs w:val="24"/>
        </w:rPr>
        <w:tab/>
      </w:r>
      <w:r w:rsidR="008B4D71">
        <w:rPr>
          <w:rFonts w:asciiTheme="majorHAnsi" w:hAnsiTheme="majorHAnsi"/>
          <w:sz w:val="24"/>
          <w:szCs w:val="24"/>
        </w:rPr>
        <w:tab/>
      </w:r>
      <w:r w:rsidR="008B4D71">
        <w:rPr>
          <w:rFonts w:asciiTheme="majorHAnsi" w:hAnsiTheme="majorHAnsi"/>
          <w:sz w:val="24"/>
          <w:szCs w:val="24"/>
        </w:rPr>
        <w:tab/>
      </w:r>
      <w:r w:rsidR="008B4D71">
        <w:rPr>
          <w:rFonts w:asciiTheme="majorHAnsi" w:hAnsiTheme="majorHAnsi"/>
          <w:sz w:val="24"/>
          <w:szCs w:val="24"/>
        </w:rPr>
        <w:tab/>
      </w:r>
      <w:r w:rsidR="008B4D71">
        <w:rPr>
          <w:rFonts w:asciiTheme="majorHAnsi" w:hAnsiTheme="majorHAnsi"/>
          <w:sz w:val="24"/>
          <w:szCs w:val="24"/>
        </w:rPr>
        <w:tab/>
      </w:r>
      <w:r w:rsidRPr="008B4D71" w:rsidR="008B4D71">
        <w:rPr>
          <w:rFonts w:ascii="Palatino Linotype" w:hAnsi="Palatino Linotype"/>
          <w:i/>
          <w:iCs/>
          <w:szCs w:val="26"/>
          <w:u w:val="single"/>
        </w:rPr>
        <w:t>/s/ Rachel Peterson</w:t>
      </w:r>
    </w:p>
    <w:p w:rsidRPr="008B4D71" w:rsidR="008B4D71" w:rsidP="008B4D71" w:rsidRDefault="008B4D71" w14:paraId="1C61275D" w14:textId="77777777">
      <w:pPr>
        <w:autoSpaceDE w:val="0"/>
        <w:autoSpaceDN w:val="0"/>
        <w:adjustRightInd w:val="0"/>
        <w:rPr>
          <w:rFonts w:ascii="Palatino Linotype" w:hAnsi="Palatino Linotype" w:eastAsia="Calibri" w:cs="Book Antiqua"/>
          <w:color w:val="000000"/>
          <w:sz w:val="24"/>
          <w:szCs w:val="26"/>
        </w:rPr>
      </w:pPr>
      <w:r w:rsidRPr="008B4D71">
        <w:rPr>
          <w:rFonts w:ascii="Palatino Linotype" w:hAnsi="Palatino Linotype" w:eastAsia="Calibri" w:cs="Book Antiqua"/>
          <w:color w:val="000000"/>
          <w:sz w:val="24"/>
          <w:szCs w:val="26"/>
        </w:rPr>
        <w:tab/>
      </w:r>
      <w:r w:rsidRPr="008B4D71">
        <w:rPr>
          <w:rFonts w:ascii="Palatino Linotype" w:hAnsi="Palatino Linotype" w:eastAsia="Calibri" w:cs="Book Antiqua"/>
          <w:color w:val="000000"/>
          <w:sz w:val="24"/>
          <w:szCs w:val="26"/>
        </w:rPr>
        <w:tab/>
      </w:r>
      <w:r w:rsidRPr="008B4D71">
        <w:rPr>
          <w:rFonts w:ascii="Palatino Linotype" w:hAnsi="Palatino Linotype" w:eastAsia="Calibri" w:cs="Book Antiqua"/>
          <w:color w:val="000000"/>
          <w:sz w:val="24"/>
          <w:szCs w:val="26"/>
        </w:rPr>
        <w:tab/>
      </w:r>
      <w:r w:rsidRPr="008B4D71">
        <w:rPr>
          <w:rFonts w:ascii="Palatino Linotype" w:hAnsi="Palatino Linotype" w:eastAsia="Calibri" w:cs="Book Antiqua"/>
          <w:color w:val="000000"/>
          <w:sz w:val="24"/>
          <w:szCs w:val="26"/>
        </w:rPr>
        <w:tab/>
      </w:r>
      <w:r w:rsidRPr="008B4D71">
        <w:rPr>
          <w:rFonts w:ascii="Palatino Linotype" w:hAnsi="Palatino Linotype" w:eastAsia="Calibri" w:cs="Book Antiqua"/>
          <w:color w:val="000000"/>
          <w:sz w:val="24"/>
          <w:szCs w:val="26"/>
        </w:rPr>
        <w:tab/>
      </w:r>
      <w:r w:rsidRPr="008B4D71">
        <w:rPr>
          <w:rFonts w:ascii="Palatino Linotype" w:hAnsi="Palatino Linotype" w:eastAsia="Calibri" w:cs="Book Antiqua"/>
          <w:color w:val="000000"/>
          <w:sz w:val="24"/>
          <w:szCs w:val="26"/>
        </w:rPr>
        <w:tab/>
      </w:r>
      <w:r w:rsidRPr="008B4D71">
        <w:rPr>
          <w:rFonts w:ascii="Palatino Linotype" w:hAnsi="Palatino Linotype" w:eastAsia="Calibri" w:cs="Book Antiqua"/>
          <w:color w:val="000000"/>
          <w:sz w:val="24"/>
          <w:szCs w:val="26"/>
        </w:rPr>
        <w:tab/>
      </w:r>
      <w:r w:rsidRPr="008B4D71">
        <w:rPr>
          <w:rFonts w:ascii="Palatino Linotype" w:hAnsi="Palatino Linotype" w:eastAsia="Calibri" w:cs="Book Antiqua"/>
          <w:color w:val="000000"/>
          <w:sz w:val="24"/>
          <w:szCs w:val="26"/>
        </w:rPr>
        <w:tab/>
        <w:t>RACHEL PETERSON</w:t>
      </w:r>
    </w:p>
    <w:p w:rsidRPr="008B4D71" w:rsidR="008B4D71" w:rsidP="008B4D71" w:rsidRDefault="008B4D71" w14:paraId="562FDA40" w14:textId="77777777">
      <w:pPr>
        <w:autoSpaceDE w:val="0"/>
        <w:autoSpaceDN w:val="0"/>
        <w:adjustRightInd w:val="0"/>
        <w:rPr>
          <w:rFonts w:ascii="Palatino Linotype" w:hAnsi="Palatino Linotype" w:eastAsia="Calibri" w:cs="Book Antiqua"/>
          <w:color w:val="000000"/>
          <w:sz w:val="24"/>
          <w:szCs w:val="26"/>
        </w:rPr>
      </w:pPr>
      <w:r w:rsidRPr="008B4D71">
        <w:rPr>
          <w:rFonts w:ascii="Palatino Linotype" w:hAnsi="Palatino Linotype" w:eastAsia="Calibri" w:cs="Book Antiqua"/>
          <w:color w:val="000000"/>
          <w:sz w:val="24"/>
          <w:szCs w:val="26"/>
        </w:rPr>
        <w:tab/>
      </w:r>
      <w:r w:rsidRPr="008B4D71">
        <w:rPr>
          <w:rFonts w:ascii="Palatino Linotype" w:hAnsi="Palatino Linotype" w:eastAsia="Calibri" w:cs="Book Antiqua"/>
          <w:color w:val="000000"/>
          <w:sz w:val="24"/>
          <w:szCs w:val="26"/>
        </w:rPr>
        <w:tab/>
      </w:r>
      <w:r w:rsidRPr="008B4D71">
        <w:rPr>
          <w:rFonts w:ascii="Palatino Linotype" w:hAnsi="Palatino Linotype" w:eastAsia="Calibri" w:cs="Book Antiqua"/>
          <w:color w:val="000000"/>
          <w:sz w:val="24"/>
          <w:szCs w:val="26"/>
        </w:rPr>
        <w:tab/>
      </w:r>
      <w:r w:rsidRPr="008B4D71">
        <w:rPr>
          <w:rFonts w:ascii="Palatino Linotype" w:hAnsi="Palatino Linotype" w:eastAsia="Calibri" w:cs="Book Antiqua"/>
          <w:color w:val="000000"/>
          <w:sz w:val="24"/>
          <w:szCs w:val="26"/>
        </w:rPr>
        <w:tab/>
      </w:r>
      <w:r w:rsidRPr="008B4D71">
        <w:rPr>
          <w:rFonts w:ascii="Palatino Linotype" w:hAnsi="Palatino Linotype" w:eastAsia="Calibri" w:cs="Book Antiqua"/>
          <w:color w:val="000000"/>
          <w:sz w:val="24"/>
          <w:szCs w:val="26"/>
        </w:rPr>
        <w:tab/>
      </w:r>
      <w:r w:rsidRPr="008B4D71">
        <w:rPr>
          <w:rFonts w:ascii="Palatino Linotype" w:hAnsi="Palatino Linotype" w:eastAsia="Calibri" w:cs="Book Antiqua"/>
          <w:color w:val="000000"/>
          <w:sz w:val="24"/>
          <w:szCs w:val="26"/>
        </w:rPr>
        <w:tab/>
      </w:r>
      <w:r w:rsidRPr="008B4D71">
        <w:rPr>
          <w:rFonts w:ascii="Palatino Linotype" w:hAnsi="Palatino Linotype" w:eastAsia="Calibri" w:cs="Book Antiqua"/>
          <w:color w:val="000000"/>
          <w:sz w:val="24"/>
          <w:szCs w:val="26"/>
        </w:rPr>
        <w:tab/>
      </w:r>
      <w:r w:rsidRPr="008B4D71">
        <w:rPr>
          <w:rFonts w:ascii="Palatino Linotype" w:hAnsi="Palatino Linotype" w:eastAsia="Calibri" w:cs="Book Antiqua"/>
          <w:color w:val="000000"/>
          <w:sz w:val="24"/>
          <w:szCs w:val="26"/>
        </w:rPr>
        <w:tab/>
        <w:t>Executive Director</w:t>
      </w:r>
    </w:p>
    <w:p w:rsidRPr="008B4D71" w:rsidR="008B4D71" w:rsidP="008B4D71" w:rsidRDefault="008B4D71" w14:paraId="04D49D53" w14:textId="77777777">
      <w:pPr>
        <w:autoSpaceDE w:val="0"/>
        <w:autoSpaceDN w:val="0"/>
        <w:adjustRightInd w:val="0"/>
        <w:rPr>
          <w:rFonts w:ascii="Palatino Linotype" w:hAnsi="Palatino Linotype" w:eastAsia="Calibri" w:cs="Book Antiqua"/>
          <w:color w:val="000000"/>
          <w:sz w:val="24"/>
          <w:szCs w:val="26"/>
        </w:rPr>
      </w:pPr>
      <w:r w:rsidRPr="008B4D71">
        <w:rPr>
          <w:rFonts w:ascii="Palatino Linotype" w:hAnsi="Palatino Linotype" w:eastAsia="Calibri" w:cs="Book Antiqua"/>
          <w:color w:val="000000"/>
          <w:sz w:val="24"/>
          <w:szCs w:val="26"/>
        </w:rPr>
        <w:tab/>
      </w:r>
      <w:r w:rsidRPr="008B4D71">
        <w:rPr>
          <w:rFonts w:ascii="Palatino Linotype" w:hAnsi="Palatino Linotype" w:eastAsia="Calibri" w:cs="Book Antiqua"/>
          <w:color w:val="000000"/>
          <w:sz w:val="24"/>
          <w:szCs w:val="26"/>
        </w:rPr>
        <w:tab/>
      </w:r>
      <w:r w:rsidRPr="008B4D71">
        <w:rPr>
          <w:rFonts w:ascii="Palatino Linotype" w:hAnsi="Palatino Linotype" w:eastAsia="Calibri" w:cs="Book Antiqua"/>
          <w:color w:val="000000"/>
          <w:sz w:val="24"/>
          <w:szCs w:val="26"/>
        </w:rPr>
        <w:tab/>
      </w:r>
      <w:r w:rsidRPr="008B4D71">
        <w:rPr>
          <w:rFonts w:ascii="Palatino Linotype" w:hAnsi="Palatino Linotype" w:eastAsia="Calibri" w:cs="Book Antiqua"/>
          <w:color w:val="000000"/>
          <w:sz w:val="24"/>
          <w:szCs w:val="26"/>
        </w:rPr>
        <w:tab/>
      </w:r>
      <w:r w:rsidRPr="008B4D71">
        <w:rPr>
          <w:rFonts w:ascii="Palatino Linotype" w:hAnsi="Palatino Linotype" w:eastAsia="Calibri" w:cs="Book Antiqua"/>
          <w:color w:val="000000"/>
          <w:sz w:val="24"/>
          <w:szCs w:val="26"/>
        </w:rPr>
        <w:tab/>
      </w:r>
      <w:r w:rsidRPr="008B4D71">
        <w:rPr>
          <w:rFonts w:ascii="Palatino Linotype" w:hAnsi="Palatino Linotype" w:eastAsia="Calibri" w:cs="Book Antiqua"/>
          <w:color w:val="000000"/>
          <w:sz w:val="24"/>
          <w:szCs w:val="26"/>
        </w:rPr>
        <w:tab/>
      </w:r>
      <w:r w:rsidRPr="008B4D71">
        <w:rPr>
          <w:rFonts w:ascii="Palatino Linotype" w:hAnsi="Palatino Linotype" w:eastAsia="Calibri" w:cs="Book Antiqua"/>
          <w:color w:val="000000"/>
          <w:sz w:val="24"/>
          <w:szCs w:val="26"/>
        </w:rPr>
        <w:tab/>
      </w:r>
      <w:r w:rsidRPr="008B4D71">
        <w:rPr>
          <w:rFonts w:ascii="Palatino Linotype" w:hAnsi="Palatino Linotype" w:eastAsia="Calibri" w:cs="Book Antiqua"/>
          <w:color w:val="000000"/>
          <w:sz w:val="24"/>
          <w:szCs w:val="26"/>
        </w:rPr>
        <w:tab/>
      </w:r>
    </w:p>
    <w:p w:rsidRPr="008B4D71" w:rsidR="008B4D71" w:rsidP="008B4D71" w:rsidRDefault="008B4D71" w14:paraId="6BA424FC" w14:textId="77777777">
      <w:pPr>
        <w:autoSpaceDE w:val="0"/>
        <w:autoSpaceDN w:val="0"/>
        <w:adjustRightInd w:val="0"/>
        <w:ind w:left="5040" w:firstLine="720"/>
        <w:rPr>
          <w:rFonts w:ascii="Palatino Linotype" w:hAnsi="Palatino Linotype" w:eastAsia="Calibri" w:cs="Book Antiqua"/>
          <w:color w:val="000000"/>
          <w:sz w:val="24"/>
          <w:szCs w:val="26"/>
        </w:rPr>
      </w:pPr>
      <w:r w:rsidRPr="008B4D71">
        <w:rPr>
          <w:rFonts w:ascii="Palatino Linotype" w:hAnsi="Palatino Linotype" w:eastAsia="Calibri" w:cs="Book Antiqua"/>
          <w:color w:val="000000"/>
          <w:sz w:val="24"/>
          <w:szCs w:val="26"/>
        </w:rPr>
        <w:t>MARYBEL BATJER</w:t>
      </w:r>
    </w:p>
    <w:p w:rsidRPr="008B4D71" w:rsidR="008B4D71" w:rsidP="008B4D71" w:rsidRDefault="008B4D71" w14:paraId="132BBB5B" w14:textId="77777777">
      <w:pPr>
        <w:autoSpaceDE w:val="0"/>
        <w:autoSpaceDN w:val="0"/>
        <w:adjustRightInd w:val="0"/>
        <w:rPr>
          <w:rFonts w:ascii="Palatino Linotype" w:hAnsi="Palatino Linotype" w:eastAsia="Calibri" w:cs="Book Antiqua"/>
          <w:color w:val="000000"/>
          <w:sz w:val="24"/>
          <w:szCs w:val="26"/>
        </w:rPr>
      </w:pPr>
      <w:r w:rsidRPr="008B4D71">
        <w:rPr>
          <w:rFonts w:ascii="Palatino Linotype" w:hAnsi="Palatino Linotype" w:eastAsia="Calibri" w:cs="Book Antiqua"/>
          <w:color w:val="000000"/>
          <w:sz w:val="24"/>
          <w:szCs w:val="26"/>
        </w:rPr>
        <w:tab/>
      </w:r>
      <w:r w:rsidRPr="008B4D71">
        <w:rPr>
          <w:rFonts w:ascii="Palatino Linotype" w:hAnsi="Palatino Linotype" w:eastAsia="Calibri" w:cs="Book Antiqua"/>
          <w:color w:val="000000"/>
          <w:sz w:val="24"/>
          <w:szCs w:val="26"/>
        </w:rPr>
        <w:tab/>
      </w:r>
      <w:r w:rsidRPr="008B4D71">
        <w:rPr>
          <w:rFonts w:ascii="Palatino Linotype" w:hAnsi="Palatino Linotype" w:eastAsia="Calibri" w:cs="Book Antiqua"/>
          <w:color w:val="000000"/>
          <w:sz w:val="24"/>
          <w:szCs w:val="26"/>
        </w:rPr>
        <w:tab/>
      </w:r>
      <w:r w:rsidRPr="008B4D71">
        <w:rPr>
          <w:rFonts w:ascii="Palatino Linotype" w:hAnsi="Palatino Linotype" w:eastAsia="Calibri" w:cs="Book Antiqua"/>
          <w:color w:val="000000"/>
          <w:sz w:val="24"/>
          <w:szCs w:val="26"/>
        </w:rPr>
        <w:tab/>
      </w:r>
      <w:r w:rsidRPr="008B4D71">
        <w:rPr>
          <w:rFonts w:ascii="Palatino Linotype" w:hAnsi="Palatino Linotype" w:eastAsia="Calibri" w:cs="Book Antiqua"/>
          <w:color w:val="000000"/>
          <w:sz w:val="24"/>
          <w:szCs w:val="26"/>
        </w:rPr>
        <w:tab/>
        <w:t xml:space="preserve">      </w:t>
      </w:r>
      <w:r w:rsidRPr="008B4D71">
        <w:rPr>
          <w:rFonts w:ascii="Palatino Linotype" w:hAnsi="Palatino Linotype" w:eastAsia="Calibri" w:cs="Book Antiqua"/>
          <w:color w:val="000000"/>
          <w:sz w:val="24"/>
          <w:szCs w:val="26"/>
        </w:rPr>
        <w:tab/>
      </w:r>
      <w:r w:rsidRPr="008B4D71">
        <w:rPr>
          <w:rFonts w:ascii="Palatino Linotype" w:hAnsi="Palatino Linotype" w:eastAsia="Calibri" w:cs="Book Antiqua"/>
          <w:color w:val="000000"/>
          <w:sz w:val="24"/>
          <w:szCs w:val="26"/>
        </w:rPr>
        <w:tab/>
      </w:r>
      <w:r w:rsidRPr="008B4D71">
        <w:rPr>
          <w:rFonts w:ascii="Palatino Linotype" w:hAnsi="Palatino Linotype" w:eastAsia="Calibri" w:cs="Book Antiqua"/>
          <w:color w:val="000000"/>
          <w:sz w:val="24"/>
          <w:szCs w:val="26"/>
        </w:rPr>
        <w:tab/>
      </w:r>
      <w:r w:rsidRPr="008B4D71">
        <w:rPr>
          <w:rFonts w:ascii="Palatino Linotype" w:hAnsi="Palatino Linotype" w:eastAsia="Calibri" w:cs="Book Antiqua"/>
          <w:color w:val="000000"/>
          <w:sz w:val="24"/>
          <w:szCs w:val="26"/>
        </w:rPr>
        <w:tab/>
        <w:t>President</w:t>
      </w:r>
    </w:p>
    <w:p w:rsidRPr="008B4D71" w:rsidR="008B4D71" w:rsidP="008B4D71" w:rsidRDefault="008B4D71" w14:paraId="0FBF4371" w14:textId="77777777">
      <w:pPr>
        <w:autoSpaceDE w:val="0"/>
        <w:autoSpaceDN w:val="0"/>
        <w:adjustRightInd w:val="0"/>
        <w:rPr>
          <w:rFonts w:ascii="Palatino Linotype" w:hAnsi="Palatino Linotype" w:eastAsia="Calibri" w:cs="Book Antiqua"/>
          <w:color w:val="000000"/>
          <w:sz w:val="24"/>
          <w:szCs w:val="26"/>
        </w:rPr>
      </w:pPr>
      <w:r w:rsidRPr="008B4D71">
        <w:rPr>
          <w:rFonts w:ascii="Palatino Linotype" w:hAnsi="Palatino Linotype" w:eastAsia="Calibri" w:cs="Book Antiqua"/>
          <w:color w:val="000000"/>
          <w:sz w:val="24"/>
          <w:szCs w:val="26"/>
        </w:rPr>
        <w:tab/>
      </w:r>
      <w:r w:rsidRPr="008B4D71">
        <w:rPr>
          <w:rFonts w:ascii="Palatino Linotype" w:hAnsi="Palatino Linotype" w:eastAsia="Calibri" w:cs="Book Antiqua"/>
          <w:color w:val="000000"/>
          <w:sz w:val="24"/>
          <w:szCs w:val="26"/>
        </w:rPr>
        <w:tab/>
      </w:r>
      <w:r w:rsidRPr="008B4D71">
        <w:rPr>
          <w:rFonts w:ascii="Palatino Linotype" w:hAnsi="Palatino Linotype" w:eastAsia="Calibri" w:cs="Book Antiqua"/>
          <w:color w:val="000000"/>
          <w:sz w:val="24"/>
          <w:szCs w:val="26"/>
        </w:rPr>
        <w:tab/>
      </w:r>
      <w:r w:rsidRPr="008B4D71">
        <w:rPr>
          <w:rFonts w:ascii="Palatino Linotype" w:hAnsi="Palatino Linotype" w:eastAsia="Calibri" w:cs="Book Antiqua"/>
          <w:color w:val="000000"/>
          <w:sz w:val="24"/>
          <w:szCs w:val="26"/>
        </w:rPr>
        <w:tab/>
      </w:r>
      <w:r w:rsidRPr="008B4D71">
        <w:rPr>
          <w:rFonts w:ascii="Palatino Linotype" w:hAnsi="Palatino Linotype" w:eastAsia="Calibri" w:cs="Book Antiqua"/>
          <w:color w:val="000000"/>
          <w:sz w:val="24"/>
          <w:szCs w:val="26"/>
        </w:rPr>
        <w:tab/>
      </w:r>
      <w:r w:rsidRPr="008B4D71">
        <w:rPr>
          <w:rFonts w:ascii="Palatino Linotype" w:hAnsi="Palatino Linotype" w:eastAsia="Calibri" w:cs="Book Antiqua"/>
          <w:color w:val="000000"/>
          <w:sz w:val="24"/>
          <w:szCs w:val="26"/>
        </w:rPr>
        <w:tab/>
      </w:r>
      <w:r w:rsidRPr="008B4D71">
        <w:rPr>
          <w:rFonts w:ascii="Palatino Linotype" w:hAnsi="Palatino Linotype" w:eastAsia="Calibri" w:cs="Book Antiqua"/>
          <w:color w:val="000000"/>
          <w:sz w:val="24"/>
          <w:szCs w:val="26"/>
        </w:rPr>
        <w:tab/>
      </w:r>
      <w:r w:rsidRPr="008B4D71">
        <w:rPr>
          <w:rFonts w:ascii="Palatino Linotype" w:hAnsi="Palatino Linotype" w:eastAsia="Calibri" w:cs="Book Antiqua"/>
          <w:color w:val="000000"/>
          <w:sz w:val="24"/>
          <w:szCs w:val="26"/>
        </w:rPr>
        <w:tab/>
        <w:t xml:space="preserve">MARTHA GUZMAN ACEVES </w:t>
      </w:r>
    </w:p>
    <w:p w:rsidRPr="008B4D71" w:rsidR="008B4D71" w:rsidP="008B4D71" w:rsidRDefault="008B4D71" w14:paraId="378AEE10" w14:textId="77777777">
      <w:pPr>
        <w:autoSpaceDE w:val="0"/>
        <w:autoSpaceDN w:val="0"/>
        <w:adjustRightInd w:val="0"/>
        <w:ind w:left="5760"/>
        <w:rPr>
          <w:rFonts w:ascii="Palatino Linotype" w:hAnsi="Palatino Linotype" w:eastAsia="Calibri" w:cs="Book Antiqua"/>
          <w:color w:val="000000"/>
          <w:sz w:val="24"/>
          <w:szCs w:val="26"/>
        </w:rPr>
      </w:pPr>
      <w:r w:rsidRPr="008B4D71">
        <w:rPr>
          <w:rFonts w:ascii="Palatino Linotype" w:hAnsi="Palatino Linotype" w:eastAsia="Calibri" w:cs="Book Antiqua"/>
          <w:color w:val="000000"/>
          <w:sz w:val="24"/>
          <w:szCs w:val="26"/>
        </w:rPr>
        <w:t>CLIFFORD RECHTSCHAFFEN</w:t>
      </w:r>
    </w:p>
    <w:p w:rsidRPr="008B4D71" w:rsidR="008B4D71" w:rsidP="008B4D71" w:rsidRDefault="008B4D71" w14:paraId="67DBB580" w14:textId="77777777">
      <w:pPr>
        <w:autoSpaceDE w:val="0"/>
        <w:autoSpaceDN w:val="0"/>
        <w:adjustRightInd w:val="0"/>
        <w:ind w:left="5760"/>
        <w:rPr>
          <w:rFonts w:ascii="Palatino Linotype" w:hAnsi="Palatino Linotype" w:eastAsia="Calibri" w:cs="Book Antiqua"/>
          <w:color w:val="000000"/>
          <w:sz w:val="24"/>
          <w:szCs w:val="26"/>
        </w:rPr>
      </w:pPr>
      <w:r w:rsidRPr="008B4D71">
        <w:rPr>
          <w:rFonts w:ascii="Palatino Linotype" w:hAnsi="Palatino Linotype" w:eastAsia="Calibri" w:cs="Book Antiqua"/>
          <w:color w:val="000000"/>
          <w:sz w:val="24"/>
          <w:szCs w:val="26"/>
        </w:rPr>
        <w:t>GENEVIEVE SHIROMA</w:t>
      </w:r>
    </w:p>
    <w:p w:rsidRPr="008B4D71" w:rsidR="008B4D71" w:rsidP="008B4D71" w:rsidRDefault="008B4D71" w14:paraId="72CED998" w14:textId="77777777">
      <w:pPr>
        <w:autoSpaceDE w:val="0"/>
        <w:autoSpaceDN w:val="0"/>
        <w:adjustRightInd w:val="0"/>
        <w:ind w:left="5760"/>
        <w:rPr>
          <w:rFonts w:ascii="Palatino Linotype" w:hAnsi="Palatino Linotype" w:eastAsia="Calibri" w:cs="Book Antiqua"/>
          <w:color w:val="000000"/>
          <w:sz w:val="24"/>
          <w:szCs w:val="26"/>
        </w:rPr>
      </w:pPr>
      <w:r w:rsidRPr="008B4D71">
        <w:rPr>
          <w:rFonts w:ascii="Palatino Linotype" w:hAnsi="Palatino Linotype" w:eastAsia="Calibri" w:cs="Book Antiqua"/>
          <w:color w:val="000000"/>
          <w:sz w:val="24"/>
          <w:szCs w:val="26"/>
        </w:rPr>
        <w:t>DARCIE HOUCK</w:t>
      </w:r>
    </w:p>
    <w:p w:rsidRPr="008B4D71" w:rsidR="008B4D71" w:rsidP="008B4D71" w:rsidRDefault="008B4D71" w14:paraId="047EA438" w14:textId="77777777">
      <w:pPr>
        <w:autoSpaceDE w:val="0"/>
        <w:autoSpaceDN w:val="0"/>
        <w:adjustRightInd w:val="0"/>
        <w:rPr>
          <w:rFonts w:ascii="Palatino Linotype" w:hAnsi="Palatino Linotype" w:eastAsia="Calibri" w:cs="Book Antiqua"/>
          <w:color w:val="000000"/>
          <w:szCs w:val="26"/>
        </w:rPr>
      </w:pPr>
      <w:r w:rsidRPr="008B4D71">
        <w:rPr>
          <w:rFonts w:ascii="Palatino Linotype" w:hAnsi="Palatino Linotype" w:eastAsia="Calibri" w:cs="Book Antiqua"/>
          <w:color w:val="000000"/>
          <w:sz w:val="24"/>
          <w:szCs w:val="26"/>
        </w:rPr>
        <w:tab/>
      </w:r>
      <w:r w:rsidRPr="008B4D71">
        <w:rPr>
          <w:rFonts w:ascii="Palatino Linotype" w:hAnsi="Palatino Linotype" w:eastAsia="Calibri" w:cs="Book Antiqua"/>
          <w:color w:val="000000"/>
          <w:sz w:val="24"/>
          <w:szCs w:val="26"/>
        </w:rPr>
        <w:tab/>
      </w:r>
      <w:r w:rsidRPr="008B4D71">
        <w:rPr>
          <w:rFonts w:ascii="Palatino Linotype" w:hAnsi="Palatino Linotype" w:eastAsia="Calibri" w:cs="Book Antiqua"/>
          <w:color w:val="000000"/>
          <w:sz w:val="24"/>
          <w:szCs w:val="26"/>
        </w:rPr>
        <w:tab/>
      </w:r>
      <w:r w:rsidRPr="008B4D71">
        <w:rPr>
          <w:rFonts w:ascii="Palatino Linotype" w:hAnsi="Palatino Linotype" w:eastAsia="Calibri" w:cs="Book Antiqua"/>
          <w:color w:val="000000"/>
          <w:sz w:val="24"/>
          <w:szCs w:val="26"/>
        </w:rPr>
        <w:tab/>
      </w:r>
      <w:r w:rsidRPr="008B4D71">
        <w:rPr>
          <w:rFonts w:ascii="Palatino Linotype" w:hAnsi="Palatino Linotype" w:eastAsia="Calibri" w:cs="Book Antiqua"/>
          <w:color w:val="000000"/>
          <w:sz w:val="24"/>
          <w:szCs w:val="26"/>
        </w:rPr>
        <w:tab/>
      </w:r>
      <w:r w:rsidRPr="008B4D71">
        <w:rPr>
          <w:rFonts w:ascii="Palatino Linotype" w:hAnsi="Palatino Linotype" w:eastAsia="Calibri" w:cs="Book Antiqua"/>
          <w:color w:val="000000"/>
          <w:sz w:val="24"/>
          <w:szCs w:val="26"/>
        </w:rPr>
        <w:tab/>
      </w:r>
      <w:r w:rsidRPr="008B4D71">
        <w:rPr>
          <w:rFonts w:ascii="Palatino Linotype" w:hAnsi="Palatino Linotype" w:eastAsia="Calibri" w:cs="Book Antiqua"/>
          <w:color w:val="000000"/>
          <w:sz w:val="24"/>
          <w:szCs w:val="26"/>
        </w:rPr>
        <w:tab/>
        <w:t xml:space="preserve">       </w:t>
      </w:r>
      <w:r w:rsidRPr="008B4D71">
        <w:rPr>
          <w:rFonts w:ascii="Palatino Linotype" w:hAnsi="Palatino Linotype" w:eastAsia="Calibri" w:cs="Book Antiqua"/>
          <w:color w:val="000000"/>
          <w:sz w:val="24"/>
          <w:szCs w:val="26"/>
        </w:rPr>
        <w:tab/>
      </w:r>
      <w:r w:rsidRPr="008B4D71">
        <w:rPr>
          <w:rFonts w:ascii="Palatino Linotype" w:hAnsi="Palatino Linotype" w:eastAsia="Calibri" w:cs="Book Antiqua"/>
          <w:color w:val="000000"/>
          <w:sz w:val="24"/>
          <w:szCs w:val="26"/>
        </w:rPr>
        <w:tab/>
        <w:t>Commissioners</w:t>
      </w:r>
    </w:p>
    <w:p w:rsidRPr="008B4D71" w:rsidR="008B4D71" w:rsidP="008B4D71" w:rsidRDefault="008B4D71" w14:paraId="096E9F89" w14:textId="77777777">
      <w:pPr>
        <w:tabs>
          <w:tab w:val="left" w:pos="720"/>
          <w:tab w:val="left" w:pos="1152"/>
          <w:tab w:val="left" w:pos="1728"/>
          <w:tab w:val="left" w:pos="3168"/>
          <w:tab w:val="left" w:pos="5040"/>
        </w:tabs>
        <w:ind w:right="144"/>
        <w:rPr>
          <w:rFonts w:ascii="Palatino Linotype" w:hAnsi="Palatino Linotype"/>
        </w:rPr>
      </w:pPr>
    </w:p>
    <w:p w:rsidRPr="00016154" w:rsidR="00B16F69" w:rsidP="008B4D71" w:rsidRDefault="00B16F69" w14:paraId="4A28D638" w14:textId="73EAFE2B">
      <w:pPr>
        <w:tabs>
          <w:tab w:val="left" w:pos="720"/>
          <w:tab w:val="left" w:pos="1152"/>
          <w:tab w:val="left" w:pos="1728"/>
          <w:tab w:val="left" w:pos="3168"/>
          <w:tab w:val="left" w:pos="5040"/>
        </w:tabs>
        <w:ind w:left="720" w:right="144"/>
        <w:rPr>
          <w:rFonts w:asciiTheme="majorHAnsi" w:hAnsiTheme="majorHAnsi"/>
          <w:sz w:val="24"/>
          <w:szCs w:val="24"/>
        </w:rPr>
      </w:pPr>
    </w:p>
    <w:sectPr w:rsidRPr="00016154" w:rsidR="00B16F69">
      <w:headerReference w:type="default" r:id="rId11"/>
      <w:footerReference w:type="default" r:id="rId12"/>
      <w:headerReference w:type="first" r:id="rId13"/>
      <w:footerReference w:type="first" r:id="rId14"/>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86AFC" w14:textId="77777777" w:rsidR="001F47D0" w:rsidRDefault="001F47D0">
      <w:r>
        <w:separator/>
      </w:r>
    </w:p>
    <w:p w14:paraId="705D4B5E" w14:textId="77777777" w:rsidR="001F47D0" w:rsidRDefault="001F47D0"/>
  </w:endnote>
  <w:endnote w:type="continuationSeparator" w:id="0">
    <w:p w14:paraId="0475D63E" w14:textId="77777777" w:rsidR="001F47D0" w:rsidRDefault="001F47D0">
      <w:r>
        <w:continuationSeparator/>
      </w:r>
    </w:p>
    <w:p w14:paraId="37A8CB36" w14:textId="77777777" w:rsidR="001F47D0" w:rsidRDefault="001F47D0"/>
  </w:endnote>
  <w:endnote w:type="continuationNotice" w:id="1">
    <w:p w14:paraId="51F220AD" w14:textId="77777777" w:rsidR="001F47D0" w:rsidRDefault="001F47D0"/>
    <w:p w14:paraId="50DC80C3" w14:textId="77777777" w:rsidR="001F47D0" w:rsidRDefault="001F47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Palatino">
    <w:altName w:val="Segoe UI Historic"/>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2D11B" w14:textId="7156C2CF" w:rsidR="00CF17DE" w:rsidRDefault="00CF17DE" w:rsidP="00AC7E0D">
    <w:pPr>
      <w:pStyle w:val="Footer"/>
      <w:ind w:left="720"/>
    </w:pPr>
    <w:r>
      <w:rPr>
        <w:rStyle w:val="PageNumber"/>
      </w:rPr>
      <w:fldChar w:fldCharType="begin"/>
    </w:r>
    <w:r>
      <w:rPr>
        <w:rStyle w:val="PageNumber"/>
      </w:rPr>
      <w:instrText xml:space="preserve"> PAGE </w:instrText>
    </w:r>
    <w:r>
      <w:rPr>
        <w:rStyle w:val="PageNumber"/>
      </w:rPr>
      <w:fldChar w:fldCharType="separate"/>
    </w:r>
    <w:r w:rsidR="00946E2C">
      <w:rPr>
        <w:rStyle w:val="PageNumber"/>
        <w:noProof/>
      </w:rPr>
      <w:t>4</w:t>
    </w:r>
    <w:r>
      <w:rPr>
        <w:rStyle w:val="PageNumber"/>
      </w:rPr>
      <w:fldChar w:fldCharType="end"/>
    </w:r>
  </w:p>
  <w:p w14:paraId="49467434" w14:textId="77777777" w:rsidR="00234C11" w:rsidRDefault="00234C1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43D63" w14:textId="1C2886A2" w:rsidR="00CF17DE" w:rsidRDefault="005031F2" w:rsidP="005031F2">
    <w:pPr>
      <w:pStyle w:val="Footer"/>
      <w:tabs>
        <w:tab w:val="clear" w:pos="4320"/>
        <w:tab w:val="center" w:pos="4680"/>
      </w:tabs>
      <w:jc w:val="left"/>
    </w:pPr>
    <w:r w:rsidRPr="005031F2">
      <w:rPr>
        <w:rStyle w:val="PageNumber"/>
      </w:rPr>
      <w:t xml:space="preserve"> </w:t>
    </w:r>
    <w:r w:rsidR="00A76892" w:rsidRPr="00A76892">
      <w:rPr>
        <w:rStyle w:val="PageNumber"/>
      </w:rPr>
      <w:t>382858718</w:t>
    </w:r>
    <w:r>
      <w:rPr>
        <w:rStyle w:val="PageNumber"/>
      </w:rPr>
      <w:tab/>
    </w:r>
    <w:r w:rsidR="00CF17DE">
      <w:rPr>
        <w:rStyle w:val="PageNumber"/>
      </w:rPr>
      <w:fldChar w:fldCharType="begin"/>
    </w:r>
    <w:r w:rsidR="00CF17DE">
      <w:rPr>
        <w:rStyle w:val="PageNumber"/>
      </w:rPr>
      <w:instrText xml:space="preserve"> PAGE </w:instrText>
    </w:r>
    <w:r w:rsidR="00CF17DE">
      <w:rPr>
        <w:rStyle w:val="PageNumber"/>
      </w:rPr>
      <w:fldChar w:fldCharType="separate"/>
    </w:r>
    <w:r w:rsidR="00946E2C">
      <w:rPr>
        <w:rStyle w:val="PageNumber"/>
        <w:noProof/>
      </w:rPr>
      <w:t>1</w:t>
    </w:r>
    <w:r w:rsidR="00CF17DE">
      <w:rPr>
        <w:rStyle w:val="PageNumber"/>
      </w:rPr>
      <w:fldChar w:fldCharType="end"/>
    </w:r>
  </w:p>
  <w:p w14:paraId="05C136DA" w14:textId="77777777" w:rsidR="00234C11" w:rsidRDefault="00234C1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BA0FE" w14:textId="77777777" w:rsidR="001F47D0" w:rsidRDefault="001F47D0">
      <w:r>
        <w:separator/>
      </w:r>
    </w:p>
    <w:p w14:paraId="532C0338" w14:textId="77777777" w:rsidR="001F47D0" w:rsidRDefault="001F47D0"/>
  </w:footnote>
  <w:footnote w:type="continuationSeparator" w:id="0">
    <w:p w14:paraId="2234D8B4" w14:textId="77777777" w:rsidR="001F47D0" w:rsidRDefault="001F47D0">
      <w:r>
        <w:continuationSeparator/>
      </w:r>
    </w:p>
    <w:p w14:paraId="606A4383" w14:textId="77777777" w:rsidR="001F47D0" w:rsidRDefault="001F47D0"/>
  </w:footnote>
  <w:footnote w:type="continuationNotice" w:id="1">
    <w:p w14:paraId="6C849275" w14:textId="77777777" w:rsidR="001F47D0" w:rsidRDefault="001F47D0">
      <w:pPr>
        <w:rPr>
          <w:sz w:val="22"/>
        </w:rPr>
      </w:pPr>
    </w:p>
    <w:p w14:paraId="34F386DE" w14:textId="77777777" w:rsidR="001F47D0" w:rsidRDefault="001F47D0">
      <w:pPr>
        <w:jc w:val="right"/>
        <w:rPr>
          <w:sz w:val="22"/>
        </w:rPr>
      </w:pPr>
      <w:r>
        <w:rPr>
          <w:i/>
          <w:sz w:val="22"/>
        </w:rPr>
        <w:t xml:space="preserve">Footnote continued on next </w:t>
      </w:r>
      <w:proofErr w:type="gramStart"/>
      <w:r>
        <w:rPr>
          <w:i/>
          <w:sz w:val="22"/>
        </w:rPr>
        <w:t>page</w:t>
      </w:r>
      <w:proofErr w:type="gramEnd"/>
    </w:p>
    <w:p w14:paraId="7D89CFEE" w14:textId="77777777" w:rsidR="001F47D0" w:rsidRDefault="001F47D0"/>
  </w:footnote>
  <w:footnote w:id="2">
    <w:p w14:paraId="0A48E9DB" w14:textId="51E85363" w:rsidR="00D54275" w:rsidRDefault="00D54275" w:rsidP="007D0A27">
      <w:pPr>
        <w:pStyle w:val="FootnoteText"/>
        <w:numPr>
          <w:ilvl w:val="0"/>
          <w:numId w:val="0"/>
        </w:numPr>
      </w:pPr>
      <w:r>
        <w:rPr>
          <w:rStyle w:val="FootnoteReference"/>
        </w:rPr>
        <w:footnoteRef/>
      </w:r>
      <w:r>
        <w:t xml:space="preserve"> </w:t>
      </w:r>
      <w:r w:rsidRPr="007D0A27">
        <w:rPr>
          <w:sz w:val="20"/>
        </w:rPr>
        <w:t>D.20-03-019, OP 2</w:t>
      </w:r>
      <w:r>
        <w:t>.</w:t>
      </w:r>
    </w:p>
  </w:footnote>
  <w:footnote w:id="3">
    <w:p w14:paraId="7FEB158E" w14:textId="002B4873" w:rsidR="00552A89" w:rsidRDefault="00552A89" w:rsidP="009A6AB2">
      <w:pPr>
        <w:pStyle w:val="FootnoteText"/>
        <w:numPr>
          <w:ilvl w:val="0"/>
          <w:numId w:val="0"/>
        </w:numPr>
      </w:pPr>
      <w:r>
        <w:rPr>
          <w:rStyle w:val="FootnoteReference"/>
        </w:rPr>
        <w:footnoteRef/>
      </w:r>
      <w:r>
        <w:t xml:space="preserve"> CalCCA and DACC Response to the Joint IOU Advice Letters in Response to Decision 20-03-019 (September 21, 2020), p.3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8D349" w14:textId="725C6D21" w:rsidR="00CF17DE" w:rsidRPr="00A1450B" w:rsidRDefault="00CF17DE">
    <w:pPr>
      <w:pStyle w:val="Header"/>
      <w:tabs>
        <w:tab w:val="clear" w:pos="4320"/>
        <w:tab w:val="clear" w:pos="8640"/>
        <w:tab w:val="center" w:pos="4680"/>
        <w:tab w:val="right" w:pos="9180"/>
      </w:tabs>
    </w:pPr>
    <w:r w:rsidRPr="00A1450B">
      <w:t>Resolution</w:t>
    </w:r>
    <w:r w:rsidR="00BF12C5">
      <w:t xml:space="preserve"> E-5131</w:t>
    </w:r>
    <w:r w:rsidR="00C5378C">
      <w:tab/>
    </w:r>
    <w:r w:rsidR="00951F07">
      <w:tab/>
      <w:t>May 6, 2021</w:t>
    </w:r>
    <w:r w:rsidRPr="00A1450B">
      <w:tab/>
    </w:r>
  </w:p>
  <w:p w14:paraId="4F781D48" w14:textId="77777777" w:rsidR="00951F07" w:rsidRDefault="00951F07" w:rsidP="00951F07">
    <w:pPr>
      <w:pStyle w:val="Header"/>
      <w:tabs>
        <w:tab w:val="clear" w:pos="4320"/>
        <w:tab w:val="clear" w:pos="8640"/>
        <w:tab w:val="center" w:pos="4680"/>
        <w:tab w:val="right" w:pos="9180"/>
      </w:tabs>
    </w:pPr>
    <w:r>
      <w:t xml:space="preserve">PG&amp;E AL </w:t>
    </w:r>
    <w:r w:rsidRPr="00A1450B">
      <w:t xml:space="preserve">4302-G/5932-E, </w:t>
    </w:r>
    <w:r>
      <w:t xml:space="preserve">SCE AL </w:t>
    </w:r>
    <w:r w:rsidRPr="00A1450B">
      <w:t xml:space="preserve">4280-E, and </w:t>
    </w:r>
    <w:r>
      <w:t xml:space="preserve">SDG&amp;E </w:t>
    </w:r>
    <w:r w:rsidRPr="00A1450B">
      <w:t>AL 3600-E</w:t>
    </w:r>
    <w:r>
      <w:t>/AC3</w:t>
    </w:r>
  </w:p>
  <w:p w14:paraId="0DE5248C" w14:textId="77777777" w:rsidR="00234C11" w:rsidRDefault="00234C1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ADBC9" w14:textId="5D85A68E" w:rsidR="000C4210" w:rsidRDefault="00C5378C" w:rsidP="000C4210">
    <w:pPr>
      <w:pStyle w:val="Header"/>
      <w:jc w:val="right"/>
      <w:rPr>
        <w:rFonts w:ascii="Palatino Linotype" w:hAnsi="Palatino Linotype"/>
      </w:rPr>
    </w:pPr>
    <w:r>
      <w:tab/>
    </w:r>
    <w:r w:rsidR="000C4210">
      <w:t xml:space="preserve">Date of Issuance: May </w:t>
    </w:r>
    <w:r w:rsidR="009F0155">
      <w:t>7</w:t>
    </w:r>
    <w:r w:rsidR="000C4210">
      <w:t>, 2021</w:t>
    </w:r>
  </w:p>
  <w:p w14:paraId="3D4C48F9" w14:textId="729E7A4B" w:rsidR="00C5378C" w:rsidRDefault="00C537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77368"/>
    <w:multiLevelType w:val="multilevel"/>
    <w:tmpl w:val="4850AC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284EE3"/>
    <w:multiLevelType w:val="hybridMultilevel"/>
    <w:tmpl w:val="FFFFFFFF"/>
    <w:lvl w:ilvl="0" w:tplc="2C2C0FFE">
      <w:start w:val="1"/>
      <w:numFmt w:val="bullet"/>
      <w:lvlText w:val=""/>
      <w:lvlJc w:val="left"/>
      <w:pPr>
        <w:ind w:left="720" w:hanging="360"/>
      </w:pPr>
      <w:rPr>
        <w:rFonts w:ascii="Symbol" w:hAnsi="Symbol" w:hint="default"/>
      </w:rPr>
    </w:lvl>
    <w:lvl w:ilvl="1" w:tplc="C80C06A6">
      <w:start w:val="1"/>
      <w:numFmt w:val="bullet"/>
      <w:lvlText w:val="o"/>
      <w:lvlJc w:val="left"/>
      <w:pPr>
        <w:ind w:left="1440" w:hanging="360"/>
      </w:pPr>
      <w:rPr>
        <w:rFonts w:ascii="Courier New" w:hAnsi="Courier New" w:hint="default"/>
      </w:rPr>
    </w:lvl>
    <w:lvl w:ilvl="2" w:tplc="60C616CC">
      <w:start w:val="1"/>
      <w:numFmt w:val="bullet"/>
      <w:lvlText w:val=""/>
      <w:lvlJc w:val="left"/>
      <w:pPr>
        <w:ind w:left="2160" w:hanging="360"/>
      </w:pPr>
      <w:rPr>
        <w:rFonts w:ascii="Wingdings" w:hAnsi="Wingdings" w:hint="default"/>
      </w:rPr>
    </w:lvl>
    <w:lvl w:ilvl="3" w:tplc="F58A425A">
      <w:start w:val="1"/>
      <w:numFmt w:val="bullet"/>
      <w:lvlText w:val=""/>
      <w:lvlJc w:val="left"/>
      <w:pPr>
        <w:ind w:left="2880" w:hanging="360"/>
      </w:pPr>
      <w:rPr>
        <w:rFonts w:ascii="Symbol" w:hAnsi="Symbol" w:hint="default"/>
      </w:rPr>
    </w:lvl>
    <w:lvl w:ilvl="4" w:tplc="EB328BCC">
      <w:start w:val="1"/>
      <w:numFmt w:val="bullet"/>
      <w:lvlText w:val="o"/>
      <w:lvlJc w:val="left"/>
      <w:pPr>
        <w:ind w:left="3600" w:hanging="360"/>
      </w:pPr>
      <w:rPr>
        <w:rFonts w:ascii="Courier New" w:hAnsi="Courier New" w:hint="default"/>
      </w:rPr>
    </w:lvl>
    <w:lvl w:ilvl="5" w:tplc="B0D447B2">
      <w:start w:val="1"/>
      <w:numFmt w:val="bullet"/>
      <w:lvlText w:val=""/>
      <w:lvlJc w:val="left"/>
      <w:pPr>
        <w:ind w:left="4320" w:hanging="360"/>
      </w:pPr>
      <w:rPr>
        <w:rFonts w:ascii="Wingdings" w:hAnsi="Wingdings" w:hint="default"/>
      </w:rPr>
    </w:lvl>
    <w:lvl w:ilvl="6" w:tplc="C4BE3D60">
      <w:start w:val="1"/>
      <w:numFmt w:val="bullet"/>
      <w:lvlText w:val=""/>
      <w:lvlJc w:val="left"/>
      <w:pPr>
        <w:ind w:left="5040" w:hanging="360"/>
      </w:pPr>
      <w:rPr>
        <w:rFonts w:ascii="Symbol" w:hAnsi="Symbol" w:hint="default"/>
      </w:rPr>
    </w:lvl>
    <w:lvl w:ilvl="7" w:tplc="F62A5B52">
      <w:start w:val="1"/>
      <w:numFmt w:val="bullet"/>
      <w:lvlText w:val="o"/>
      <w:lvlJc w:val="left"/>
      <w:pPr>
        <w:ind w:left="5760" w:hanging="360"/>
      </w:pPr>
      <w:rPr>
        <w:rFonts w:ascii="Courier New" w:hAnsi="Courier New" w:hint="default"/>
      </w:rPr>
    </w:lvl>
    <w:lvl w:ilvl="8" w:tplc="E910CE3C">
      <w:start w:val="1"/>
      <w:numFmt w:val="bullet"/>
      <w:lvlText w:val=""/>
      <w:lvlJc w:val="left"/>
      <w:pPr>
        <w:ind w:left="6480" w:hanging="360"/>
      </w:pPr>
      <w:rPr>
        <w:rFonts w:ascii="Wingdings" w:hAnsi="Wingdings" w:hint="default"/>
      </w:rPr>
    </w:lvl>
  </w:abstractNum>
  <w:abstractNum w:abstractNumId="2" w15:restartNumberingAfterBreak="0">
    <w:nsid w:val="06EB05DD"/>
    <w:multiLevelType w:val="hybridMultilevel"/>
    <w:tmpl w:val="6C4651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1C329E"/>
    <w:multiLevelType w:val="hybridMultilevel"/>
    <w:tmpl w:val="6C4651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AE5E0A"/>
    <w:multiLevelType w:val="hybridMultilevel"/>
    <w:tmpl w:val="81622C8A"/>
    <w:lvl w:ilvl="0" w:tplc="DAC2F4BE">
      <w:start w:val="1"/>
      <w:numFmt w:val="upperLetter"/>
      <w:pStyle w:val="AListIndent"/>
      <w:lvlText w:val="%1. "/>
      <w:lvlJc w:val="left"/>
      <w:pPr>
        <w:tabs>
          <w:tab w:val="num" w:pos="1152"/>
        </w:tabs>
        <w:ind w:left="1152" w:hanging="432"/>
      </w:pPr>
      <w:rPr>
        <w:rFonts w:ascii="Courier" w:hAnsi="Courier" w:hint="default"/>
        <w:b w:val="0"/>
        <w:i w:val="0"/>
        <w:sz w:val="24"/>
      </w:rPr>
    </w:lvl>
    <w:lvl w:ilvl="1" w:tplc="E71CA192">
      <w:numFmt w:val="decimal"/>
      <w:lvlText w:val=""/>
      <w:lvlJc w:val="left"/>
    </w:lvl>
    <w:lvl w:ilvl="2" w:tplc="E49254E8">
      <w:numFmt w:val="decimal"/>
      <w:lvlText w:val=""/>
      <w:lvlJc w:val="left"/>
    </w:lvl>
    <w:lvl w:ilvl="3" w:tplc="D3AAE096">
      <w:numFmt w:val="decimal"/>
      <w:lvlText w:val=""/>
      <w:lvlJc w:val="left"/>
    </w:lvl>
    <w:lvl w:ilvl="4" w:tplc="611E59F2">
      <w:numFmt w:val="decimal"/>
      <w:lvlText w:val=""/>
      <w:lvlJc w:val="left"/>
    </w:lvl>
    <w:lvl w:ilvl="5" w:tplc="04081A92">
      <w:numFmt w:val="decimal"/>
      <w:lvlText w:val=""/>
      <w:lvlJc w:val="left"/>
    </w:lvl>
    <w:lvl w:ilvl="6" w:tplc="D5C0D37A">
      <w:numFmt w:val="decimal"/>
      <w:lvlText w:val=""/>
      <w:lvlJc w:val="left"/>
    </w:lvl>
    <w:lvl w:ilvl="7" w:tplc="75E66C76">
      <w:numFmt w:val="decimal"/>
      <w:lvlText w:val=""/>
      <w:lvlJc w:val="left"/>
    </w:lvl>
    <w:lvl w:ilvl="8" w:tplc="6D46B9A4">
      <w:numFmt w:val="decimal"/>
      <w:lvlText w:val=""/>
      <w:lvlJc w:val="left"/>
    </w:lvl>
  </w:abstractNum>
  <w:abstractNum w:abstractNumId="5" w15:restartNumberingAfterBreak="0">
    <w:nsid w:val="0BDB7819"/>
    <w:multiLevelType w:val="hybridMultilevel"/>
    <w:tmpl w:val="0409000F"/>
    <w:lvl w:ilvl="0" w:tplc="11FEA224">
      <w:start w:val="1"/>
      <w:numFmt w:val="decimal"/>
      <w:lvlText w:val="%1."/>
      <w:lvlJc w:val="left"/>
      <w:pPr>
        <w:tabs>
          <w:tab w:val="num" w:pos="360"/>
        </w:tabs>
        <w:ind w:left="360" w:hanging="360"/>
      </w:pPr>
    </w:lvl>
    <w:lvl w:ilvl="1" w:tplc="DB26C476">
      <w:numFmt w:val="decimal"/>
      <w:lvlText w:val=""/>
      <w:lvlJc w:val="left"/>
    </w:lvl>
    <w:lvl w:ilvl="2" w:tplc="7CE00620">
      <w:numFmt w:val="decimal"/>
      <w:lvlText w:val=""/>
      <w:lvlJc w:val="left"/>
    </w:lvl>
    <w:lvl w:ilvl="3" w:tplc="3EB650B4">
      <w:numFmt w:val="decimal"/>
      <w:lvlText w:val=""/>
      <w:lvlJc w:val="left"/>
    </w:lvl>
    <w:lvl w:ilvl="4" w:tplc="83A25C84">
      <w:numFmt w:val="decimal"/>
      <w:lvlText w:val=""/>
      <w:lvlJc w:val="left"/>
    </w:lvl>
    <w:lvl w:ilvl="5" w:tplc="A19EC5A2">
      <w:numFmt w:val="decimal"/>
      <w:lvlText w:val=""/>
      <w:lvlJc w:val="left"/>
    </w:lvl>
    <w:lvl w:ilvl="6" w:tplc="8F24FD34">
      <w:numFmt w:val="decimal"/>
      <w:lvlText w:val=""/>
      <w:lvlJc w:val="left"/>
    </w:lvl>
    <w:lvl w:ilvl="7" w:tplc="57D4BE34">
      <w:numFmt w:val="decimal"/>
      <w:lvlText w:val=""/>
      <w:lvlJc w:val="left"/>
    </w:lvl>
    <w:lvl w:ilvl="8" w:tplc="58F6402A">
      <w:numFmt w:val="decimal"/>
      <w:lvlText w:val=""/>
      <w:lvlJc w:val="left"/>
    </w:lvl>
  </w:abstractNum>
  <w:abstractNum w:abstractNumId="6" w15:restartNumberingAfterBreak="0">
    <w:nsid w:val="0E21470B"/>
    <w:multiLevelType w:val="hybridMultilevel"/>
    <w:tmpl w:val="56242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BB691E"/>
    <w:multiLevelType w:val="hybridMultilevel"/>
    <w:tmpl w:val="D424E4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0E3533"/>
    <w:multiLevelType w:val="hybridMultilevel"/>
    <w:tmpl w:val="2110E9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8E4A11"/>
    <w:multiLevelType w:val="hybridMultilevel"/>
    <w:tmpl w:val="FA726BD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9237998"/>
    <w:multiLevelType w:val="hybridMultilevel"/>
    <w:tmpl w:val="2F229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9477B0"/>
    <w:multiLevelType w:val="hybridMultilevel"/>
    <w:tmpl w:val="44FAA2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2" w15:restartNumberingAfterBreak="0">
    <w:nsid w:val="21480B1D"/>
    <w:multiLevelType w:val="hybridMultilevel"/>
    <w:tmpl w:val="88443944"/>
    <w:lvl w:ilvl="0" w:tplc="0C80EE5E">
      <w:start w:val="1"/>
      <w:numFmt w:val="decimal"/>
      <w:pStyle w:val="FootnoteText"/>
      <w:lvlText w:val="%1."/>
      <w:lvlJc w:val="left"/>
      <w:pPr>
        <w:tabs>
          <w:tab w:val="num" w:pos="360"/>
        </w:tabs>
        <w:ind w:left="360" w:hanging="360"/>
      </w:pPr>
      <w:rPr>
        <w:rFonts w:hint="default"/>
      </w:rPr>
    </w:lvl>
    <w:lvl w:ilvl="1" w:tplc="38AECCE4">
      <w:start w:val="1"/>
      <w:numFmt w:val="decimal"/>
      <w:pStyle w:val="Heading2"/>
      <w:isLgl/>
      <w:lvlText w:val="%1.%2"/>
      <w:lvlJc w:val="left"/>
      <w:pPr>
        <w:tabs>
          <w:tab w:val="num" w:pos="1215"/>
        </w:tabs>
        <w:ind w:left="1215" w:hanging="495"/>
      </w:pPr>
      <w:rPr>
        <w:rFonts w:hint="default"/>
      </w:rPr>
    </w:lvl>
    <w:lvl w:ilvl="2" w:tplc="E7F2E006">
      <w:start w:val="1"/>
      <w:numFmt w:val="decimal"/>
      <w:isLgl/>
      <w:lvlText w:val="%1.%2.%3"/>
      <w:lvlJc w:val="left"/>
      <w:pPr>
        <w:tabs>
          <w:tab w:val="num" w:pos="2160"/>
        </w:tabs>
        <w:ind w:left="2160" w:hanging="720"/>
      </w:pPr>
      <w:rPr>
        <w:rFonts w:hint="default"/>
      </w:rPr>
    </w:lvl>
    <w:lvl w:ilvl="3" w:tplc="055CF596">
      <w:start w:val="1"/>
      <w:numFmt w:val="decimalZero"/>
      <w:isLgl/>
      <w:lvlText w:val="%1.%2.%3.%4"/>
      <w:lvlJc w:val="left"/>
      <w:pPr>
        <w:tabs>
          <w:tab w:val="num" w:pos="2880"/>
        </w:tabs>
        <w:ind w:left="2880" w:hanging="720"/>
      </w:pPr>
      <w:rPr>
        <w:rFonts w:hint="default"/>
      </w:rPr>
    </w:lvl>
    <w:lvl w:ilvl="4" w:tplc="35345782">
      <w:start w:val="1"/>
      <w:numFmt w:val="decimal"/>
      <w:isLgl/>
      <w:lvlText w:val="%1.%2.%3.%4.%5"/>
      <w:lvlJc w:val="left"/>
      <w:pPr>
        <w:tabs>
          <w:tab w:val="num" w:pos="3960"/>
        </w:tabs>
        <w:ind w:left="3960" w:hanging="1080"/>
      </w:pPr>
      <w:rPr>
        <w:rFonts w:hint="default"/>
      </w:rPr>
    </w:lvl>
    <w:lvl w:ilvl="5" w:tplc="70E815B2">
      <w:start w:val="1"/>
      <w:numFmt w:val="decimal"/>
      <w:isLgl/>
      <w:lvlText w:val="%1.%2.%3.%4.%5.%6"/>
      <w:lvlJc w:val="left"/>
      <w:pPr>
        <w:tabs>
          <w:tab w:val="num" w:pos="5040"/>
        </w:tabs>
        <w:ind w:left="5040" w:hanging="1440"/>
      </w:pPr>
      <w:rPr>
        <w:rFonts w:hint="default"/>
      </w:rPr>
    </w:lvl>
    <w:lvl w:ilvl="6" w:tplc="BA84D1FC">
      <w:start w:val="1"/>
      <w:numFmt w:val="decimal"/>
      <w:isLgl/>
      <w:lvlText w:val="%1.%2.%3.%4.%5.%6.%7"/>
      <w:lvlJc w:val="left"/>
      <w:pPr>
        <w:tabs>
          <w:tab w:val="num" w:pos="5760"/>
        </w:tabs>
        <w:ind w:left="5760" w:hanging="1440"/>
      </w:pPr>
      <w:rPr>
        <w:rFonts w:hint="default"/>
      </w:rPr>
    </w:lvl>
    <w:lvl w:ilvl="7" w:tplc="6B54CE6A">
      <w:start w:val="1"/>
      <w:numFmt w:val="decimal"/>
      <w:isLgl/>
      <w:lvlText w:val="%1.%2.%3.%4.%5.%6.%7.%8"/>
      <w:lvlJc w:val="left"/>
      <w:pPr>
        <w:tabs>
          <w:tab w:val="num" w:pos="6840"/>
        </w:tabs>
        <w:ind w:left="6840" w:hanging="1800"/>
      </w:pPr>
      <w:rPr>
        <w:rFonts w:hint="default"/>
      </w:rPr>
    </w:lvl>
    <w:lvl w:ilvl="8" w:tplc="58368B14">
      <w:start w:val="1"/>
      <w:numFmt w:val="decimal"/>
      <w:isLgl/>
      <w:lvlText w:val="%1.%2.%3.%4.%5.%6.%7.%8.%9"/>
      <w:lvlJc w:val="left"/>
      <w:pPr>
        <w:tabs>
          <w:tab w:val="num" w:pos="7560"/>
        </w:tabs>
        <w:ind w:left="7560" w:hanging="1800"/>
      </w:pPr>
      <w:rPr>
        <w:rFonts w:hint="default"/>
      </w:rPr>
    </w:lvl>
  </w:abstractNum>
  <w:abstractNum w:abstractNumId="13" w15:restartNumberingAfterBreak="0">
    <w:nsid w:val="26F8414F"/>
    <w:multiLevelType w:val="hybridMultilevel"/>
    <w:tmpl w:val="FA726BD4"/>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18F00AC"/>
    <w:multiLevelType w:val="hybridMultilevel"/>
    <w:tmpl w:val="CD388F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741A58"/>
    <w:multiLevelType w:val="hybridMultilevel"/>
    <w:tmpl w:val="BAE42F1C"/>
    <w:lvl w:ilvl="0" w:tplc="A83A61FA">
      <w:start w:val="1"/>
      <w:numFmt w:val="bullet"/>
      <w:lvlText w:val=""/>
      <w:lvlJc w:val="left"/>
      <w:pPr>
        <w:tabs>
          <w:tab w:val="num" w:pos="720"/>
        </w:tabs>
        <w:ind w:left="720" w:hanging="360"/>
      </w:pPr>
      <w:rPr>
        <w:rFonts w:ascii="Symbol" w:hAnsi="Symbol" w:hint="default"/>
        <w:sz w:val="20"/>
      </w:rPr>
    </w:lvl>
    <w:lvl w:ilvl="1" w:tplc="3072E3CC" w:tentative="1">
      <w:start w:val="1"/>
      <w:numFmt w:val="bullet"/>
      <w:lvlText w:val=""/>
      <w:lvlJc w:val="left"/>
      <w:pPr>
        <w:tabs>
          <w:tab w:val="num" w:pos="1440"/>
        </w:tabs>
        <w:ind w:left="1440" w:hanging="360"/>
      </w:pPr>
      <w:rPr>
        <w:rFonts w:ascii="Symbol" w:hAnsi="Symbol" w:hint="default"/>
        <w:sz w:val="20"/>
      </w:rPr>
    </w:lvl>
    <w:lvl w:ilvl="2" w:tplc="C7243882" w:tentative="1">
      <w:start w:val="1"/>
      <w:numFmt w:val="bullet"/>
      <w:lvlText w:val=""/>
      <w:lvlJc w:val="left"/>
      <w:pPr>
        <w:tabs>
          <w:tab w:val="num" w:pos="2160"/>
        </w:tabs>
        <w:ind w:left="2160" w:hanging="360"/>
      </w:pPr>
      <w:rPr>
        <w:rFonts w:ascii="Symbol" w:hAnsi="Symbol" w:hint="default"/>
        <w:sz w:val="20"/>
      </w:rPr>
    </w:lvl>
    <w:lvl w:ilvl="3" w:tplc="33023AAA" w:tentative="1">
      <w:start w:val="1"/>
      <w:numFmt w:val="bullet"/>
      <w:lvlText w:val=""/>
      <w:lvlJc w:val="left"/>
      <w:pPr>
        <w:tabs>
          <w:tab w:val="num" w:pos="2880"/>
        </w:tabs>
        <w:ind w:left="2880" w:hanging="360"/>
      </w:pPr>
      <w:rPr>
        <w:rFonts w:ascii="Symbol" w:hAnsi="Symbol" w:hint="default"/>
        <w:sz w:val="20"/>
      </w:rPr>
    </w:lvl>
    <w:lvl w:ilvl="4" w:tplc="E4B2472C" w:tentative="1">
      <w:start w:val="1"/>
      <w:numFmt w:val="bullet"/>
      <w:lvlText w:val=""/>
      <w:lvlJc w:val="left"/>
      <w:pPr>
        <w:tabs>
          <w:tab w:val="num" w:pos="3600"/>
        </w:tabs>
        <w:ind w:left="3600" w:hanging="360"/>
      </w:pPr>
      <w:rPr>
        <w:rFonts w:ascii="Symbol" w:hAnsi="Symbol" w:hint="default"/>
        <w:sz w:val="20"/>
      </w:rPr>
    </w:lvl>
    <w:lvl w:ilvl="5" w:tplc="E7CE7672" w:tentative="1">
      <w:start w:val="1"/>
      <w:numFmt w:val="bullet"/>
      <w:lvlText w:val=""/>
      <w:lvlJc w:val="left"/>
      <w:pPr>
        <w:tabs>
          <w:tab w:val="num" w:pos="4320"/>
        </w:tabs>
        <w:ind w:left="4320" w:hanging="360"/>
      </w:pPr>
      <w:rPr>
        <w:rFonts w:ascii="Symbol" w:hAnsi="Symbol" w:hint="default"/>
        <w:sz w:val="20"/>
      </w:rPr>
    </w:lvl>
    <w:lvl w:ilvl="6" w:tplc="8EA25374" w:tentative="1">
      <w:start w:val="1"/>
      <w:numFmt w:val="bullet"/>
      <w:lvlText w:val=""/>
      <w:lvlJc w:val="left"/>
      <w:pPr>
        <w:tabs>
          <w:tab w:val="num" w:pos="5040"/>
        </w:tabs>
        <w:ind w:left="5040" w:hanging="360"/>
      </w:pPr>
      <w:rPr>
        <w:rFonts w:ascii="Symbol" w:hAnsi="Symbol" w:hint="default"/>
        <w:sz w:val="20"/>
      </w:rPr>
    </w:lvl>
    <w:lvl w:ilvl="7" w:tplc="ED9C1972" w:tentative="1">
      <w:start w:val="1"/>
      <w:numFmt w:val="bullet"/>
      <w:lvlText w:val=""/>
      <w:lvlJc w:val="left"/>
      <w:pPr>
        <w:tabs>
          <w:tab w:val="num" w:pos="5760"/>
        </w:tabs>
        <w:ind w:left="5760" w:hanging="360"/>
      </w:pPr>
      <w:rPr>
        <w:rFonts w:ascii="Symbol" w:hAnsi="Symbol" w:hint="default"/>
        <w:sz w:val="20"/>
      </w:rPr>
    </w:lvl>
    <w:lvl w:ilvl="8" w:tplc="7020F0F0"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6687EA4"/>
    <w:multiLevelType w:val="hybridMultilevel"/>
    <w:tmpl w:val="67B4FF1C"/>
    <w:lvl w:ilvl="0" w:tplc="4DAACCA2">
      <w:start w:val="1"/>
      <w:numFmt w:val="decimal"/>
      <w:lvlText w:val="%1."/>
      <w:lvlJc w:val="left"/>
      <w:pPr>
        <w:tabs>
          <w:tab w:val="num" w:pos="360"/>
        </w:tabs>
        <w:ind w:left="360" w:hanging="360"/>
      </w:pPr>
    </w:lvl>
    <w:lvl w:ilvl="1" w:tplc="1A06BE5C" w:tentative="1">
      <w:start w:val="1"/>
      <w:numFmt w:val="decimal"/>
      <w:lvlText w:val="%2."/>
      <w:lvlJc w:val="left"/>
      <w:pPr>
        <w:tabs>
          <w:tab w:val="num" w:pos="1080"/>
        </w:tabs>
        <w:ind w:left="1080" w:hanging="360"/>
      </w:pPr>
    </w:lvl>
    <w:lvl w:ilvl="2" w:tplc="6478BB88" w:tentative="1">
      <w:start w:val="1"/>
      <w:numFmt w:val="decimal"/>
      <w:lvlText w:val="%3."/>
      <w:lvlJc w:val="left"/>
      <w:pPr>
        <w:tabs>
          <w:tab w:val="num" w:pos="1800"/>
        </w:tabs>
        <w:ind w:left="1800" w:hanging="360"/>
      </w:pPr>
    </w:lvl>
    <w:lvl w:ilvl="3" w:tplc="D3A64704" w:tentative="1">
      <w:start w:val="1"/>
      <w:numFmt w:val="decimal"/>
      <w:lvlText w:val="%4."/>
      <w:lvlJc w:val="left"/>
      <w:pPr>
        <w:tabs>
          <w:tab w:val="num" w:pos="2520"/>
        </w:tabs>
        <w:ind w:left="2520" w:hanging="360"/>
      </w:pPr>
    </w:lvl>
    <w:lvl w:ilvl="4" w:tplc="BA587BBA" w:tentative="1">
      <w:start w:val="1"/>
      <w:numFmt w:val="decimal"/>
      <w:lvlText w:val="%5."/>
      <w:lvlJc w:val="left"/>
      <w:pPr>
        <w:tabs>
          <w:tab w:val="num" w:pos="3240"/>
        </w:tabs>
        <w:ind w:left="3240" w:hanging="360"/>
      </w:pPr>
    </w:lvl>
    <w:lvl w:ilvl="5" w:tplc="FA761178" w:tentative="1">
      <w:start w:val="1"/>
      <w:numFmt w:val="decimal"/>
      <w:lvlText w:val="%6."/>
      <w:lvlJc w:val="left"/>
      <w:pPr>
        <w:tabs>
          <w:tab w:val="num" w:pos="3960"/>
        </w:tabs>
        <w:ind w:left="3960" w:hanging="360"/>
      </w:pPr>
    </w:lvl>
    <w:lvl w:ilvl="6" w:tplc="A96E63F2" w:tentative="1">
      <w:start w:val="1"/>
      <w:numFmt w:val="decimal"/>
      <w:lvlText w:val="%7."/>
      <w:lvlJc w:val="left"/>
      <w:pPr>
        <w:tabs>
          <w:tab w:val="num" w:pos="4680"/>
        </w:tabs>
        <w:ind w:left="4680" w:hanging="360"/>
      </w:pPr>
    </w:lvl>
    <w:lvl w:ilvl="7" w:tplc="984C3812" w:tentative="1">
      <w:start w:val="1"/>
      <w:numFmt w:val="decimal"/>
      <w:lvlText w:val="%8."/>
      <w:lvlJc w:val="left"/>
      <w:pPr>
        <w:tabs>
          <w:tab w:val="num" w:pos="5400"/>
        </w:tabs>
        <w:ind w:left="5400" w:hanging="360"/>
      </w:pPr>
    </w:lvl>
    <w:lvl w:ilvl="8" w:tplc="5442EF12" w:tentative="1">
      <w:start w:val="1"/>
      <w:numFmt w:val="decimal"/>
      <w:lvlText w:val="%9."/>
      <w:lvlJc w:val="left"/>
      <w:pPr>
        <w:tabs>
          <w:tab w:val="num" w:pos="6120"/>
        </w:tabs>
        <w:ind w:left="6120" w:hanging="360"/>
      </w:pPr>
    </w:lvl>
  </w:abstractNum>
  <w:abstractNum w:abstractNumId="17" w15:restartNumberingAfterBreak="0">
    <w:nsid w:val="3AE47D51"/>
    <w:multiLevelType w:val="hybridMultilevel"/>
    <w:tmpl w:val="6C4651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85364D"/>
    <w:multiLevelType w:val="hybridMultilevel"/>
    <w:tmpl w:val="EA60F9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154AD6"/>
    <w:multiLevelType w:val="hybridMultilevel"/>
    <w:tmpl w:val="2EEC9E8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D34417"/>
    <w:multiLevelType w:val="hybridMultilevel"/>
    <w:tmpl w:val="C28E5C40"/>
    <w:lvl w:ilvl="0" w:tplc="60BC8852">
      <w:start w:val="1"/>
      <w:numFmt w:val="decimal"/>
      <w:pStyle w:val="1ListIndent"/>
      <w:lvlText w:val="%1."/>
      <w:lvlJc w:val="left"/>
      <w:pPr>
        <w:tabs>
          <w:tab w:val="num" w:pos="360"/>
        </w:tabs>
        <w:ind w:left="360" w:hanging="360"/>
      </w:pPr>
    </w:lvl>
    <w:lvl w:ilvl="1" w:tplc="35D81E8A">
      <w:start w:val="1"/>
      <w:numFmt w:val="decimal"/>
      <w:lvlText w:val="%1.%2."/>
      <w:lvlJc w:val="left"/>
      <w:pPr>
        <w:tabs>
          <w:tab w:val="num" w:pos="792"/>
        </w:tabs>
        <w:ind w:left="792" w:hanging="432"/>
      </w:pPr>
    </w:lvl>
    <w:lvl w:ilvl="2" w:tplc="E63C434A">
      <w:start w:val="1"/>
      <w:numFmt w:val="decimal"/>
      <w:lvlText w:val="%1.%2.%3."/>
      <w:lvlJc w:val="left"/>
      <w:pPr>
        <w:tabs>
          <w:tab w:val="num" w:pos="1440"/>
        </w:tabs>
        <w:ind w:left="1224" w:hanging="504"/>
      </w:pPr>
    </w:lvl>
    <w:lvl w:ilvl="3" w:tplc="E5F219DC">
      <w:start w:val="1"/>
      <w:numFmt w:val="decimal"/>
      <w:lvlText w:val="%1.%2.%3.%4."/>
      <w:lvlJc w:val="left"/>
      <w:pPr>
        <w:tabs>
          <w:tab w:val="num" w:pos="2160"/>
        </w:tabs>
        <w:ind w:left="1728" w:hanging="648"/>
      </w:pPr>
    </w:lvl>
    <w:lvl w:ilvl="4" w:tplc="5956BFFE">
      <w:start w:val="1"/>
      <w:numFmt w:val="decimal"/>
      <w:lvlText w:val="%1.%2.%3.%4.%5."/>
      <w:lvlJc w:val="left"/>
      <w:pPr>
        <w:tabs>
          <w:tab w:val="num" w:pos="2520"/>
        </w:tabs>
        <w:ind w:left="2232" w:hanging="792"/>
      </w:pPr>
    </w:lvl>
    <w:lvl w:ilvl="5" w:tplc="E9501EEE">
      <w:start w:val="1"/>
      <w:numFmt w:val="decimal"/>
      <w:lvlText w:val="%1.%2.%3.%4.%5.%6."/>
      <w:lvlJc w:val="left"/>
      <w:pPr>
        <w:tabs>
          <w:tab w:val="num" w:pos="3240"/>
        </w:tabs>
        <w:ind w:left="2736" w:hanging="936"/>
      </w:pPr>
    </w:lvl>
    <w:lvl w:ilvl="6" w:tplc="FE325414">
      <w:start w:val="1"/>
      <w:numFmt w:val="decimal"/>
      <w:lvlText w:val="%1.%2.%3.%4.%5.%6.%7."/>
      <w:lvlJc w:val="left"/>
      <w:pPr>
        <w:tabs>
          <w:tab w:val="num" w:pos="3600"/>
        </w:tabs>
        <w:ind w:left="3240" w:hanging="1080"/>
      </w:pPr>
    </w:lvl>
    <w:lvl w:ilvl="7" w:tplc="F52EA9CA">
      <w:start w:val="1"/>
      <w:numFmt w:val="decimal"/>
      <w:lvlText w:val="%1.%2.%3.%4.%5.%6.%7.%8."/>
      <w:lvlJc w:val="left"/>
      <w:pPr>
        <w:tabs>
          <w:tab w:val="num" w:pos="4320"/>
        </w:tabs>
        <w:ind w:left="3744" w:hanging="1224"/>
      </w:pPr>
    </w:lvl>
    <w:lvl w:ilvl="8" w:tplc="16181B08">
      <w:start w:val="1"/>
      <w:numFmt w:val="decimal"/>
      <w:lvlText w:val="%1.%2.%3.%4.%5.%6.%7.%8.%9."/>
      <w:lvlJc w:val="left"/>
      <w:pPr>
        <w:tabs>
          <w:tab w:val="num" w:pos="4680"/>
        </w:tabs>
        <w:ind w:left="4320" w:hanging="1440"/>
      </w:pPr>
    </w:lvl>
  </w:abstractNum>
  <w:abstractNum w:abstractNumId="21" w15:restartNumberingAfterBreak="0">
    <w:nsid w:val="44DC795D"/>
    <w:multiLevelType w:val="hybridMultilevel"/>
    <w:tmpl w:val="28D85D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2B351F"/>
    <w:multiLevelType w:val="hybridMultilevel"/>
    <w:tmpl w:val="45FC49C2"/>
    <w:lvl w:ilvl="0" w:tplc="B3E01A52">
      <w:start w:val="1"/>
      <w:numFmt w:val="bullet"/>
      <w:lvlText w:val=""/>
      <w:lvlJc w:val="left"/>
      <w:pPr>
        <w:tabs>
          <w:tab w:val="num" w:pos="720"/>
        </w:tabs>
        <w:ind w:left="720" w:hanging="360"/>
      </w:pPr>
      <w:rPr>
        <w:rFonts w:ascii="Symbol" w:hAnsi="Symbol" w:hint="default"/>
        <w:sz w:val="20"/>
      </w:rPr>
    </w:lvl>
    <w:lvl w:ilvl="1" w:tplc="0714C418" w:tentative="1">
      <w:start w:val="1"/>
      <w:numFmt w:val="bullet"/>
      <w:lvlText w:val=""/>
      <w:lvlJc w:val="left"/>
      <w:pPr>
        <w:tabs>
          <w:tab w:val="num" w:pos="1440"/>
        </w:tabs>
        <w:ind w:left="1440" w:hanging="360"/>
      </w:pPr>
      <w:rPr>
        <w:rFonts w:ascii="Symbol" w:hAnsi="Symbol" w:hint="default"/>
        <w:sz w:val="20"/>
      </w:rPr>
    </w:lvl>
    <w:lvl w:ilvl="2" w:tplc="7FD6C134" w:tentative="1">
      <w:start w:val="1"/>
      <w:numFmt w:val="bullet"/>
      <w:lvlText w:val=""/>
      <w:lvlJc w:val="left"/>
      <w:pPr>
        <w:tabs>
          <w:tab w:val="num" w:pos="2160"/>
        </w:tabs>
        <w:ind w:left="2160" w:hanging="360"/>
      </w:pPr>
      <w:rPr>
        <w:rFonts w:ascii="Symbol" w:hAnsi="Symbol" w:hint="default"/>
        <w:sz w:val="20"/>
      </w:rPr>
    </w:lvl>
    <w:lvl w:ilvl="3" w:tplc="6E02C844" w:tentative="1">
      <w:start w:val="1"/>
      <w:numFmt w:val="bullet"/>
      <w:lvlText w:val=""/>
      <w:lvlJc w:val="left"/>
      <w:pPr>
        <w:tabs>
          <w:tab w:val="num" w:pos="2880"/>
        </w:tabs>
        <w:ind w:left="2880" w:hanging="360"/>
      </w:pPr>
      <w:rPr>
        <w:rFonts w:ascii="Symbol" w:hAnsi="Symbol" w:hint="default"/>
        <w:sz w:val="20"/>
      </w:rPr>
    </w:lvl>
    <w:lvl w:ilvl="4" w:tplc="8FD2E798" w:tentative="1">
      <w:start w:val="1"/>
      <w:numFmt w:val="bullet"/>
      <w:lvlText w:val=""/>
      <w:lvlJc w:val="left"/>
      <w:pPr>
        <w:tabs>
          <w:tab w:val="num" w:pos="3600"/>
        </w:tabs>
        <w:ind w:left="3600" w:hanging="360"/>
      </w:pPr>
      <w:rPr>
        <w:rFonts w:ascii="Symbol" w:hAnsi="Symbol" w:hint="default"/>
        <w:sz w:val="20"/>
      </w:rPr>
    </w:lvl>
    <w:lvl w:ilvl="5" w:tplc="44247F62" w:tentative="1">
      <w:start w:val="1"/>
      <w:numFmt w:val="bullet"/>
      <w:lvlText w:val=""/>
      <w:lvlJc w:val="left"/>
      <w:pPr>
        <w:tabs>
          <w:tab w:val="num" w:pos="4320"/>
        </w:tabs>
        <w:ind w:left="4320" w:hanging="360"/>
      </w:pPr>
      <w:rPr>
        <w:rFonts w:ascii="Symbol" w:hAnsi="Symbol" w:hint="default"/>
        <w:sz w:val="20"/>
      </w:rPr>
    </w:lvl>
    <w:lvl w:ilvl="6" w:tplc="4E30166C" w:tentative="1">
      <w:start w:val="1"/>
      <w:numFmt w:val="bullet"/>
      <w:lvlText w:val=""/>
      <w:lvlJc w:val="left"/>
      <w:pPr>
        <w:tabs>
          <w:tab w:val="num" w:pos="5040"/>
        </w:tabs>
        <w:ind w:left="5040" w:hanging="360"/>
      </w:pPr>
      <w:rPr>
        <w:rFonts w:ascii="Symbol" w:hAnsi="Symbol" w:hint="default"/>
        <w:sz w:val="20"/>
      </w:rPr>
    </w:lvl>
    <w:lvl w:ilvl="7" w:tplc="9BCC5FA0" w:tentative="1">
      <w:start w:val="1"/>
      <w:numFmt w:val="bullet"/>
      <w:lvlText w:val=""/>
      <w:lvlJc w:val="left"/>
      <w:pPr>
        <w:tabs>
          <w:tab w:val="num" w:pos="5760"/>
        </w:tabs>
        <w:ind w:left="5760" w:hanging="360"/>
      </w:pPr>
      <w:rPr>
        <w:rFonts w:ascii="Symbol" w:hAnsi="Symbol" w:hint="default"/>
        <w:sz w:val="20"/>
      </w:rPr>
    </w:lvl>
    <w:lvl w:ilvl="8" w:tplc="06E6007A"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48A6B54"/>
    <w:multiLevelType w:val="hybridMultilevel"/>
    <w:tmpl w:val="8EB65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49260D"/>
    <w:multiLevelType w:val="hybridMultilevel"/>
    <w:tmpl w:val="E2B257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2565C7"/>
    <w:multiLevelType w:val="hybridMultilevel"/>
    <w:tmpl w:val="B4D29030"/>
    <w:lvl w:ilvl="0" w:tplc="8A5C9076">
      <w:start w:val="1"/>
      <w:numFmt w:val="decimal"/>
      <w:lvlText w:val="%1."/>
      <w:lvlJc w:val="left"/>
      <w:pPr>
        <w:tabs>
          <w:tab w:val="num" w:pos="420"/>
        </w:tabs>
        <w:ind w:left="420" w:hanging="420"/>
      </w:pPr>
      <w:rPr>
        <w:rFonts w:hint="default"/>
      </w:rPr>
    </w:lvl>
    <w:lvl w:ilvl="1" w:tplc="8D3CAF8A">
      <w:numFmt w:val="decimal"/>
      <w:lvlText w:val=""/>
      <w:lvlJc w:val="left"/>
    </w:lvl>
    <w:lvl w:ilvl="2" w:tplc="DC6255D6">
      <w:numFmt w:val="decimal"/>
      <w:lvlText w:val=""/>
      <w:lvlJc w:val="left"/>
    </w:lvl>
    <w:lvl w:ilvl="3" w:tplc="49C2196C">
      <w:numFmt w:val="decimal"/>
      <w:lvlText w:val=""/>
      <w:lvlJc w:val="left"/>
    </w:lvl>
    <w:lvl w:ilvl="4" w:tplc="9076709E">
      <w:numFmt w:val="decimal"/>
      <w:lvlText w:val=""/>
      <w:lvlJc w:val="left"/>
    </w:lvl>
    <w:lvl w:ilvl="5" w:tplc="E062A834">
      <w:numFmt w:val="decimal"/>
      <w:lvlText w:val=""/>
      <w:lvlJc w:val="left"/>
    </w:lvl>
    <w:lvl w:ilvl="6" w:tplc="72A234AA">
      <w:numFmt w:val="decimal"/>
      <w:lvlText w:val=""/>
      <w:lvlJc w:val="left"/>
    </w:lvl>
    <w:lvl w:ilvl="7" w:tplc="DD3252A0">
      <w:numFmt w:val="decimal"/>
      <w:lvlText w:val=""/>
      <w:lvlJc w:val="left"/>
    </w:lvl>
    <w:lvl w:ilvl="8" w:tplc="2278CD7E">
      <w:numFmt w:val="decimal"/>
      <w:lvlText w:val=""/>
      <w:lvlJc w:val="left"/>
    </w:lvl>
  </w:abstractNum>
  <w:abstractNum w:abstractNumId="26" w15:restartNumberingAfterBreak="0">
    <w:nsid w:val="5B3B32E4"/>
    <w:multiLevelType w:val="hybridMultilevel"/>
    <w:tmpl w:val="514AE7FA"/>
    <w:lvl w:ilvl="0" w:tplc="BCEE72C4">
      <w:start w:val="3232"/>
      <w:numFmt w:val="bullet"/>
      <w:lvlText w:val="•"/>
      <w:lvlJc w:val="left"/>
      <w:pPr>
        <w:ind w:left="720" w:hanging="360"/>
      </w:pPr>
      <w:rPr>
        <w:rFonts w:ascii="Palatino" w:eastAsia="Times New Roman" w:hAnsi="Palatin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9B2F78"/>
    <w:multiLevelType w:val="hybridMultilevel"/>
    <w:tmpl w:val="81D403FA"/>
    <w:lvl w:ilvl="0" w:tplc="A558C69A">
      <w:start w:val="1"/>
      <w:numFmt w:val="decimal"/>
      <w:lvlText w:val="%1."/>
      <w:lvlJc w:val="left"/>
      <w:pPr>
        <w:ind w:left="720" w:hanging="360"/>
      </w:pPr>
    </w:lvl>
    <w:lvl w:ilvl="1" w:tplc="9DFEC33C" w:tentative="1">
      <w:start w:val="1"/>
      <w:numFmt w:val="decimal"/>
      <w:lvlText w:val="%2."/>
      <w:lvlJc w:val="left"/>
      <w:pPr>
        <w:tabs>
          <w:tab w:val="num" w:pos="1440"/>
        </w:tabs>
        <w:ind w:left="1440" w:hanging="360"/>
      </w:pPr>
    </w:lvl>
    <w:lvl w:ilvl="2" w:tplc="87121E86" w:tentative="1">
      <w:start w:val="1"/>
      <w:numFmt w:val="decimal"/>
      <w:lvlText w:val="%3."/>
      <w:lvlJc w:val="left"/>
      <w:pPr>
        <w:tabs>
          <w:tab w:val="num" w:pos="2160"/>
        </w:tabs>
        <w:ind w:left="2160" w:hanging="360"/>
      </w:pPr>
    </w:lvl>
    <w:lvl w:ilvl="3" w:tplc="5B400FB0" w:tentative="1">
      <w:start w:val="1"/>
      <w:numFmt w:val="decimal"/>
      <w:lvlText w:val="%4."/>
      <w:lvlJc w:val="left"/>
      <w:pPr>
        <w:tabs>
          <w:tab w:val="num" w:pos="2880"/>
        </w:tabs>
        <w:ind w:left="2880" w:hanging="360"/>
      </w:pPr>
    </w:lvl>
    <w:lvl w:ilvl="4" w:tplc="34F4ECB0" w:tentative="1">
      <w:start w:val="1"/>
      <w:numFmt w:val="decimal"/>
      <w:lvlText w:val="%5."/>
      <w:lvlJc w:val="left"/>
      <w:pPr>
        <w:tabs>
          <w:tab w:val="num" w:pos="3600"/>
        </w:tabs>
        <w:ind w:left="3600" w:hanging="360"/>
      </w:pPr>
    </w:lvl>
    <w:lvl w:ilvl="5" w:tplc="D346AD50" w:tentative="1">
      <w:start w:val="1"/>
      <w:numFmt w:val="decimal"/>
      <w:lvlText w:val="%6."/>
      <w:lvlJc w:val="left"/>
      <w:pPr>
        <w:tabs>
          <w:tab w:val="num" w:pos="4320"/>
        </w:tabs>
        <w:ind w:left="4320" w:hanging="360"/>
      </w:pPr>
    </w:lvl>
    <w:lvl w:ilvl="6" w:tplc="7C4AC7C4" w:tentative="1">
      <w:start w:val="1"/>
      <w:numFmt w:val="decimal"/>
      <w:lvlText w:val="%7."/>
      <w:lvlJc w:val="left"/>
      <w:pPr>
        <w:tabs>
          <w:tab w:val="num" w:pos="5040"/>
        </w:tabs>
        <w:ind w:left="5040" w:hanging="360"/>
      </w:pPr>
    </w:lvl>
    <w:lvl w:ilvl="7" w:tplc="410A7EB4" w:tentative="1">
      <w:start w:val="1"/>
      <w:numFmt w:val="decimal"/>
      <w:lvlText w:val="%8."/>
      <w:lvlJc w:val="left"/>
      <w:pPr>
        <w:tabs>
          <w:tab w:val="num" w:pos="5760"/>
        </w:tabs>
        <w:ind w:left="5760" w:hanging="360"/>
      </w:pPr>
    </w:lvl>
    <w:lvl w:ilvl="8" w:tplc="2D1624C8" w:tentative="1">
      <w:start w:val="1"/>
      <w:numFmt w:val="decimal"/>
      <w:lvlText w:val="%9."/>
      <w:lvlJc w:val="left"/>
      <w:pPr>
        <w:tabs>
          <w:tab w:val="num" w:pos="6480"/>
        </w:tabs>
        <w:ind w:left="6480" w:hanging="360"/>
      </w:pPr>
    </w:lvl>
  </w:abstractNum>
  <w:abstractNum w:abstractNumId="28" w15:restartNumberingAfterBreak="0">
    <w:nsid w:val="6257013F"/>
    <w:multiLevelType w:val="hybridMultilevel"/>
    <w:tmpl w:val="6C4651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1F018F"/>
    <w:multiLevelType w:val="hybridMultilevel"/>
    <w:tmpl w:val="2EEC9E8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B84711"/>
    <w:multiLevelType w:val="hybridMultilevel"/>
    <w:tmpl w:val="3CA611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CCE74AF"/>
    <w:multiLevelType w:val="hybridMultilevel"/>
    <w:tmpl w:val="81D403FA"/>
    <w:lvl w:ilvl="0" w:tplc="E006E682">
      <w:start w:val="1"/>
      <w:numFmt w:val="decimal"/>
      <w:lvlText w:val="%1."/>
      <w:lvlJc w:val="left"/>
      <w:pPr>
        <w:ind w:left="720" w:hanging="360"/>
      </w:pPr>
    </w:lvl>
    <w:lvl w:ilvl="1" w:tplc="84E85340" w:tentative="1">
      <w:start w:val="1"/>
      <w:numFmt w:val="decimal"/>
      <w:lvlText w:val="%2."/>
      <w:lvlJc w:val="left"/>
      <w:pPr>
        <w:tabs>
          <w:tab w:val="num" w:pos="1440"/>
        </w:tabs>
        <w:ind w:left="1440" w:hanging="360"/>
      </w:pPr>
    </w:lvl>
    <w:lvl w:ilvl="2" w:tplc="4B06752E" w:tentative="1">
      <w:start w:val="1"/>
      <w:numFmt w:val="decimal"/>
      <w:lvlText w:val="%3."/>
      <w:lvlJc w:val="left"/>
      <w:pPr>
        <w:tabs>
          <w:tab w:val="num" w:pos="2160"/>
        </w:tabs>
        <w:ind w:left="2160" w:hanging="360"/>
      </w:pPr>
    </w:lvl>
    <w:lvl w:ilvl="3" w:tplc="BF580D46" w:tentative="1">
      <w:start w:val="1"/>
      <w:numFmt w:val="decimal"/>
      <w:lvlText w:val="%4."/>
      <w:lvlJc w:val="left"/>
      <w:pPr>
        <w:tabs>
          <w:tab w:val="num" w:pos="2880"/>
        </w:tabs>
        <w:ind w:left="2880" w:hanging="360"/>
      </w:pPr>
    </w:lvl>
    <w:lvl w:ilvl="4" w:tplc="9C9EE344" w:tentative="1">
      <w:start w:val="1"/>
      <w:numFmt w:val="decimal"/>
      <w:lvlText w:val="%5."/>
      <w:lvlJc w:val="left"/>
      <w:pPr>
        <w:tabs>
          <w:tab w:val="num" w:pos="3600"/>
        </w:tabs>
        <w:ind w:left="3600" w:hanging="360"/>
      </w:pPr>
    </w:lvl>
    <w:lvl w:ilvl="5" w:tplc="458C6134" w:tentative="1">
      <w:start w:val="1"/>
      <w:numFmt w:val="decimal"/>
      <w:lvlText w:val="%6."/>
      <w:lvlJc w:val="left"/>
      <w:pPr>
        <w:tabs>
          <w:tab w:val="num" w:pos="4320"/>
        </w:tabs>
        <w:ind w:left="4320" w:hanging="360"/>
      </w:pPr>
    </w:lvl>
    <w:lvl w:ilvl="6" w:tplc="A13287A4" w:tentative="1">
      <w:start w:val="1"/>
      <w:numFmt w:val="decimal"/>
      <w:lvlText w:val="%7."/>
      <w:lvlJc w:val="left"/>
      <w:pPr>
        <w:tabs>
          <w:tab w:val="num" w:pos="5040"/>
        </w:tabs>
        <w:ind w:left="5040" w:hanging="360"/>
      </w:pPr>
    </w:lvl>
    <w:lvl w:ilvl="7" w:tplc="0330B530" w:tentative="1">
      <w:start w:val="1"/>
      <w:numFmt w:val="decimal"/>
      <w:lvlText w:val="%8."/>
      <w:lvlJc w:val="left"/>
      <w:pPr>
        <w:tabs>
          <w:tab w:val="num" w:pos="5760"/>
        </w:tabs>
        <w:ind w:left="5760" w:hanging="360"/>
      </w:pPr>
    </w:lvl>
    <w:lvl w:ilvl="8" w:tplc="6E38ED1E" w:tentative="1">
      <w:start w:val="1"/>
      <w:numFmt w:val="decimal"/>
      <w:lvlText w:val="%9."/>
      <w:lvlJc w:val="left"/>
      <w:pPr>
        <w:tabs>
          <w:tab w:val="num" w:pos="6480"/>
        </w:tabs>
        <w:ind w:left="6480" w:hanging="360"/>
      </w:pPr>
    </w:lvl>
  </w:abstractNum>
  <w:abstractNum w:abstractNumId="32" w15:restartNumberingAfterBreak="0">
    <w:nsid w:val="6DB878D7"/>
    <w:multiLevelType w:val="hybridMultilevel"/>
    <w:tmpl w:val="3710EC1A"/>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3" w15:restartNumberingAfterBreak="0">
    <w:nsid w:val="6E3C3FEC"/>
    <w:multiLevelType w:val="hybridMultilevel"/>
    <w:tmpl w:val="F67EFD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E46B44"/>
    <w:multiLevelType w:val="hybridMultilevel"/>
    <w:tmpl w:val="C2B408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8B64C6"/>
    <w:multiLevelType w:val="hybridMultilevel"/>
    <w:tmpl w:val="A828893C"/>
    <w:lvl w:ilvl="0" w:tplc="B92E8EDA">
      <w:start w:val="1"/>
      <w:numFmt w:val="bullet"/>
      <w:lvlText w:val=""/>
      <w:lvlJc w:val="left"/>
      <w:pPr>
        <w:tabs>
          <w:tab w:val="num" w:pos="720"/>
        </w:tabs>
        <w:ind w:left="720" w:hanging="360"/>
      </w:pPr>
      <w:rPr>
        <w:rFonts w:ascii="Symbol" w:hAnsi="Symbol" w:hint="default"/>
        <w:sz w:val="20"/>
      </w:rPr>
    </w:lvl>
    <w:lvl w:ilvl="1" w:tplc="B7361E8C" w:tentative="1">
      <w:start w:val="1"/>
      <w:numFmt w:val="bullet"/>
      <w:lvlText w:val=""/>
      <w:lvlJc w:val="left"/>
      <w:pPr>
        <w:tabs>
          <w:tab w:val="num" w:pos="1440"/>
        </w:tabs>
        <w:ind w:left="1440" w:hanging="360"/>
      </w:pPr>
      <w:rPr>
        <w:rFonts w:ascii="Symbol" w:hAnsi="Symbol" w:hint="default"/>
        <w:sz w:val="20"/>
      </w:rPr>
    </w:lvl>
    <w:lvl w:ilvl="2" w:tplc="5F06E8B4" w:tentative="1">
      <w:start w:val="1"/>
      <w:numFmt w:val="bullet"/>
      <w:lvlText w:val=""/>
      <w:lvlJc w:val="left"/>
      <w:pPr>
        <w:tabs>
          <w:tab w:val="num" w:pos="2160"/>
        </w:tabs>
        <w:ind w:left="2160" w:hanging="360"/>
      </w:pPr>
      <w:rPr>
        <w:rFonts w:ascii="Symbol" w:hAnsi="Symbol" w:hint="default"/>
        <w:sz w:val="20"/>
      </w:rPr>
    </w:lvl>
    <w:lvl w:ilvl="3" w:tplc="FE268866" w:tentative="1">
      <w:start w:val="1"/>
      <w:numFmt w:val="bullet"/>
      <w:lvlText w:val=""/>
      <w:lvlJc w:val="left"/>
      <w:pPr>
        <w:tabs>
          <w:tab w:val="num" w:pos="2880"/>
        </w:tabs>
        <w:ind w:left="2880" w:hanging="360"/>
      </w:pPr>
      <w:rPr>
        <w:rFonts w:ascii="Symbol" w:hAnsi="Symbol" w:hint="default"/>
        <w:sz w:val="20"/>
      </w:rPr>
    </w:lvl>
    <w:lvl w:ilvl="4" w:tplc="56323830" w:tentative="1">
      <w:start w:val="1"/>
      <w:numFmt w:val="bullet"/>
      <w:lvlText w:val=""/>
      <w:lvlJc w:val="left"/>
      <w:pPr>
        <w:tabs>
          <w:tab w:val="num" w:pos="3600"/>
        </w:tabs>
        <w:ind w:left="3600" w:hanging="360"/>
      </w:pPr>
      <w:rPr>
        <w:rFonts w:ascii="Symbol" w:hAnsi="Symbol" w:hint="default"/>
        <w:sz w:val="20"/>
      </w:rPr>
    </w:lvl>
    <w:lvl w:ilvl="5" w:tplc="09D6AC2C" w:tentative="1">
      <w:start w:val="1"/>
      <w:numFmt w:val="bullet"/>
      <w:lvlText w:val=""/>
      <w:lvlJc w:val="left"/>
      <w:pPr>
        <w:tabs>
          <w:tab w:val="num" w:pos="4320"/>
        </w:tabs>
        <w:ind w:left="4320" w:hanging="360"/>
      </w:pPr>
      <w:rPr>
        <w:rFonts w:ascii="Symbol" w:hAnsi="Symbol" w:hint="default"/>
        <w:sz w:val="20"/>
      </w:rPr>
    </w:lvl>
    <w:lvl w:ilvl="6" w:tplc="9266B8B6" w:tentative="1">
      <w:start w:val="1"/>
      <w:numFmt w:val="bullet"/>
      <w:lvlText w:val=""/>
      <w:lvlJc w:val="left"/>
      <w:pPr>
        <w:tabs>
          <w:tab w:val="num" w:pos="5040"/>
        </w:tabs>
        <w:ind w:left="5040" w:hanging="360"/>
      </w:pPr>
      <w:rPr>
        <w:rFonts w:ascii="Symbol" w:hAnsi="Symbol" w:hint="default"/>
        <w:sz w:val="20"/>
      </w:rPr>
    </w:lvl>
    <w:lvl w:ilvl="7" w:tplc="8C40EA16" w:tentative="1">
      <w:start w:val="1"/>
      <w:numFmt w:val="bullet"/>
      <w:lvlText w:val=""/>
      <w:lvlJc w:val="left"/>
      <w:pPr>
        <w:tabs>
          <w:tab w:val="num" w:pos="5760"/>
        </w:tabs>
        <w:ind w:left="5760" w:hanging="360"/>
      </w:pPr>
      <w:rPr>
        <w:rFonts w:ascii="Symbol" w:hAnsi="Symbol" w:hint="default"/>
        <w:sz w:val="20"/>
      </w:rPr>
    </w:lvl>
    <w:lvl w:ilvl="8" w:tplc="D6089DB6"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E56713E"/>
    <w:multiLevelType w:val="hybridMultilevel"/>
    <w:tmpl w:val="455667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EF2545A"/>
    <w:multiLevelType w:val="hybridMultilevel"/>
    <w:tmpl w:val="A09616D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0"/>
  </w:num>
  <w:num w:numId="3">
    <w:abstractNumId w:val="12"/>
  </w:num>
  <w:num w:numId="4">
    <w:abstractNumId w:val="25"/>
  </w:num>
  <w:num w:numId="5">
    <w:abstractNumId w:val="5"/>
  </w:num>
  <w:num w:numId="6">
    <w:abstractNumId w:val="13"/>
  </w:num>
  <w:num w:numId="7">
    <w:abstractNumId w:val="30"/>
  </w:num>
  <w:num w:numId="8">
    <w:abstractNumId w:val="36"/>
  </w:num>
  <w:num w:numId="9">
    <w:abstractNumId w:val="10"/>
  </w:num>
  <w:num w:numId="10">
    <w:abstractNumId w:val="26"/>
  </w:num>
  <w:num w:numId="11">
    <w:abstractNumId w:val="8"/>
  </w:num>
  <w:num w:numId="12">
    <w:abstractNumId w:val="33"/>
  </w:num>
  <w:num w:numId="13">
    <w:abstractNumId w:val="11"/>
  </w:num>
  <w:num w:numId="14">
    <w:abstractNumId w:val="27"/>
  </w:num>
  <w:num w:numId="15">
    <w:abstractNumId w:val="31"/>
  </w:num>
  <w:num w:numId="16">
    <w:abstractNumId w:val="24"/>
  </w:num>
  <w:num w:numId="17">
    <w:abstractNumId w:val="21"/>
  </w:num>
  <w:num w:numId="18">
    <w:abstractNumId w:val="9"/>
  </w:num>
  <w:num w:numId="19">
    <w:abstractNumId w:val="35"/>
  </w:num>
  <w:num w:numId="20">
    <w:abstractNumId w:val="28"/>
  </w:num>
  <w:num w:numId="21">
    <w:abstractNumId w:val="7"/>
  </w:num>
  <w:num w:numId="22">
    <w:abstractNumId w:val="1"/>
  </w:num>
  <w:num w:numId="23">
    <w:abstractNumId w:val="19"/>
  </w:num>
  <w:num w:numId="24">
    <w:abstractNumId w:val="23"/>
  </w:num>
  <w:num w:numId="25">
    <w:abstractNumId w:val="29"/>
  </w:num>
  <w:num w:numId="26">
    <w:abstractNumId w:val="6"/>
  </w:num>
  <w:num w:numId="27">
    <w:abstractNumId w:val="37"/>
  </w:num>
  <w:num w:numId="28">
    <w:abstractNumId w:val="0"/>
  </w:num>
  <w:num w:numId="29">
    <w:abstractNumId w:val="22"/>
  </w:num>
  <w:num w:numId="30">
    <w:abstractNumId w:val="15"/>
  </w:num>
  <w:num w:numId="31">
    <w:abstractNumId w:val="32"/>
  </w:num>
  <w:num w:numId="32">
    <w:abstractNumId w:val="16"/>
  </w:num>
  <w:num w:numId="33">
    <w:abstractNumId w:val="2"/>
  </w:num>
  <w:num w:numId="34">
    <w:abstractNumId w:val="18"/>
  </w:num>
  <w:num w:numId="35">
    <w:abstractNumId w:val="34"/>
  </w:num>
  <w:num w:numId="36">
    <w:abstractNumId w:val="17"/>
  </w:num>
  <w:num w:numId="37">
    <w:abstractNumId w:val="3"/>
  </w:num>
  <w:num w:numId="38">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hideSpellingErrors/>
  <w:hideGrammaticalErrors/>
  <w:activeWritingStyle w:lang="en-US" w:vendorID="8" w:dllVersion="513" w:checkStyle="1" w:appName="MSWord"/>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D70"/>
    <w:rsid w:val="00000602"/>
    <w:rsid w:val="0000245B"/>
    <w:rsid w:val="00006A9A"/>
    <w:rsid w:val="000073A2"/>
    <w:rsid w:val="00010994"/>
    <w:rsid w:val="00012D45"/>
    <w:rsid w:val="00012DD8"/>
    <w:rsid w:val="000142A4"/>
    <w:rsid w:val="0001486F"/>
    <w:rsid w:val="00014E02"/>
    <w:rsid w:val="00016154"/>
    <w:rsid w:val="00016641"/>
    <w:rsid w:val="000179BE"/>
    <w:rsid w:val="00017ECB"/>
    <w:rsid w:val="000202D8"/>
    <w:rsid w:val="0002032B"/>
    <w:rsid w:val="000212F8"/>
    <w:rsid w:val="00021601"/>
    <w:rsid w:val="00023005"/>
    <w:rsid w:val="00023469"/>
    <w:rsid w:val="00024349"/>
    <w:rsid w:val="00024C89"/>
    <w:rsid w:val="00025444"/>
    <w:rsid w:val="00025975"/>
    <w:rsid w:val="0002619D"/>
    <w:rsid w:val="0002658E"/>
    <w:rsid w:val="00026727"/>
    <w:rsid w:val="00034CAF"/>
    <w:rsid w:val="00034DF7"/>
    <w:rsid w:val="00042B77"/>
    <w:rsid w:val="00045AB5"/>
    <w:rsid w:val="00050D86"/>
    <w:rsid w:val="00051659"/>
    <w:rsid w:val="000516AB"/>
    <w:rsid w:val="00052673"/>
    <w:rsid w:val="00053C74"/>
    <w:rsid w:val="00054294"/>
    <w:rsid w:val="000542FC"/>
    <w:rsid w:val="00055467"/>
    <w:rsid w:val="000573CF"/>
    <w:rsid w:val="000603AB"/>
    <w:rsid w:val="000617B7"/>
    <w:rsid w:val="00062C56"/>
    <w:rsid w:val="0006368B"/>
    <w:rsid w:val="00067382"/>
    <w:rsid w:val="000713CD"/>
    <w:rsid w:val="00072D12"/>
    <w:rsid w:val="00081952"/>
    <w:rsid w:val="000831F5"/>
    <w:rsid w:val="00083A69"/>
    <w:rsid w:val="0008454A"/>
    <w:rsid w:val="00085309"/>
    <w:rsid w:val="0009126C"/>
    <w:rsid w:val="0009162F"/>
    <w:rsid w:val="00097568"/>
    <w:rsid w:val="00097E79"/>
    <w:rsid w:val="000A55C2"/>
    <w:rsid w:val="000A7CE0"/>
    <w:rsid w:val="000B1C11"/>
    <w:rsid w:val="000B1F08"/>
    <w:rsid w:val="000B292C"/>
    <w:rsid w:val="000B3136"/>
    <w:rsid w:val="000B3A78"/>
    <w:rsid w:val="000B44F1"/>
    <w:rsid w:val="000B46C5"/>
    <w:rsid w:val="000B548C"/>
    <w:rsid w:val="000B59D9"/>
    <w:rsid w:val="000B5A0A"/>
    <w:rsid w:val="000B5D11"/>
    <w:rsid w:val="000B7FB3"/>
    <w:rsid w:val="000C0D85"/>
    <w:rsid w:val="000C0ED4"/>
    <w:rsid w:val="000C25A7"/>
    <w:rsid w:val="000C410B"/>
    <w:rsid w:val="000C4210"/>
    <w:rsid w:val="000C4D44"/>
    <w:rsid w:val="000C5CB4"/>
    <w:rsid w:val="000C6AA5"/>
    <w:rsid w:val="000D1E76"/>
    <w:rsid w:val="000D2E45"/>
    <w:rsid w:val="000D3726"/>
    <w:rsid w:val="000D3A75"/>
    <w:rsid w:val="000D44CE"/>
    <w:rsid w:val="000D61A6"/>
    <w:rsid w:val="000D63DD"/>
    <w:rsid w:val="000E0655"/>
    <w:rsid w:val="000E1C4C"/>
    <w:rsid w:val="000E28E9"/>
    <w:rsid w:val="000E2B53"/>
    <w:rsid w:val="000E4400"/>
    <w:rsid w:val="000E449B"/>
    <w:rsid w:val="000E565C"/>
    <w:rsid w:val="000F04FA"/>
    <w:rsid w:val="000F176E"/>
    <w:rsid w:val="000F4267"/>
    <w:rsid w:val="000F6739"/>
    <w:rsid w:val="000F72FC"/>
    <w:rsid w:val="000F7A4D"/>
    <w:rsid w:val="000F7FBC"/>
    <w:rsid w:val="0010055E"/>
    <w:rsid w:val="0010197A"/>
    <w:rsid w:val="00102094"/>
    <w:rsid w:val="001029E5"/>
    <w:rsid w:val="00102B10"/>
    <w:rsid w:val="00103B64"/>
    <w:rsid w:val="0010531E"/>
    <w:rsid w:val="001074DC"/>
    <w:rsid w:val="00110938"/>
    <w:rsid w:val="00112A4A"/>
    <w:rsid w:val="00113445"/>
    <w:rsid w:val="00114E64"/>
    <w:rsid w:val="00114FA0"/>
    <w:rsid w:val="0011614A"/>
    <w:rsid w:val="00116C11"/>
    <w:rsid w:val="00116DED"/>
    <w:rsid w:val="00116F28"/>
    <w:rsid w:val="00121F65"/>
    <w:rsid w:val="00123D91"/>
    <w:rsid w:val="00125667"/>
    <w:rsid w:val="00125DCB"/>
    <w:rsid w:val="00126381"/>
    <w:rsid w:val="00127D31"/>
    <w:rsid w:val="001339B9"/>
    <w:rsid w:val="00133F8E"/>
    <w:rsid w:val="00134FF8"/>
    <w:rsid w:val="00140272"/>
    <w:rsid w:val="00141779"/>
    <w:rsid w:val="00141C91"/>
    <w:rsid w:val="00142FB8"/>
    <w:rsid w:val="00144627"/>
    <w:rsid w:val="00145576"/>
    <w:rsid w:val="00145FE6"/>
    <w:rsid w:val="0014782E"/>
    <w:rsid w:val="00147854"/>
    <w:rsid w:val="001503CB"/>
    <w:rsid w:val="001503F8"/>
    <w:rsid w:val="00151383"/>
    <w:rsid w:val="00155663"/>
    <w:rsid w:val="0015789A"/>
    <w:rsid w:val="001610FF"/>
    <w:rsid w:val="00164AEE"/>
    <w:rsid w:val="00165280"/>
    <w:rsid w:val="00166A02"/>
    <w:rsid w:val="00171157"/>
    <w:rsid w:val="00171164"/>
    <w:rsid w:val="00171350"/>
    <w:rsid w:val="00174C79"/>
    <w:rsid w:val="0017558D"/>
    <w:rsid w:val="001775A3"/>
    <w:rsid w:val="001778ED"/>
    <w:rsid w:val="001802BC"/>
    <w:rsid w:val="00182BBB"/>
    <w:rsid w:val="0018327E"/>
    <w:rsid w:val="00183CA0"/>
    <w:rsid w:val="00185906"/>
    <w:rsid w:val="00185C5E"/>
    <w:rsid w:val="00186B4B"/>
    <w:rsid w:val="001875DC"/>
    <w:rsid w:val="00191C2F"/>
    <w:rsid w:val="00193F5D"/>
    <w:rsid w:val="001958BB"/>
    <w:rsid w:val="0019723F"/>
    <w:rsid w:val="00197ECD"/>
    <w:rsid w:val="001A00AB"/>
    <w:rsid w:val="001A03FB"/>
    <w:rsid w:val="001A39B2"/>
    <w:rsid w:val="001A3A47"/>
    <w:rsid w:val="001A493C"/>
    <w:rsid w:val="001A5506"/>
    <w:rsid w:val="001B2B4C"/>
    <w:rsid w:val="001B3579"/>
    <w:rsid w:val="001B56BD"/>
    <w:rsid w:val="001B5A27"/>
    <w:rsid w:val="001C0967"/>
    <w:rsid w:val="001C2C54"/>
    <w:rsid w:val="001C2E36"/>
    <w:rsid w:val="001C2F75"/>
    <w:rsid w:val="001C2FE8"/>
    <w:rsid w:val="001C3FB2"/>
    <w:rsid w:val="001C5618"/>
    <w:rsid w:val="001C69A6"/>
    <w:rsid w:val="001D0473"/>
    <w:rsid w:val="001D2168"/>
    <w:rsid w:val="001E0266"/>
    <w:rsid w:val="001E2177"/>
    <w:rsid w:val="001E22BF"/>
    <w:rsid w:val="001E36CB"/>
    <w:rsid w:val="001E3B5A"/>
    <w:rsid w:val="001E6606"/>
    <w:rsid w:val="001E6DFF"/>
    <w:rsid w:val="001E7CC9"/>
    <w:rsid w:val="001F024D"/>
    <w:rsid w:val="001F06BF"/>
    <w:rsid w:val="001F0EB4"/>
    <w:rsid w:val="001F11C1"/>
    <w:rsid w:val="001F1BB5"/>
    <w:rsid w:val="001F1D8D"/>
    <w:rsid w:val="001F25A7"/>
    <w:rsid w:val="001F2708"/>
    <w:rsid w:val="001F47D0"/>
    <w:rsid w:val="001F73CE"/>
    <w:rsid w:val="00202D76"/>
    <w:rsid w:val="0020407C"/>
    <w:rsid w:val="00205B79"/>
    <w:rsid w:val="002072AA"/>
    <w:rsid w:val="00207947"/>
    <w:rsid w:val="00210DC6"/>
    <w:rsid w:val="002114EA"/>
    <w:rsid w:val="00212024"/>
    <w:rsid w:val="00212712"/>
    <w:rsid w:val="002137DF"/>
    <w:rsid w:val="00214F96"/>
    <w:rsid w:val="002160BF"/>
    <w:rsid w:val="0021688B"/>
    <w:rsid w:val="002174C4"/>
    <w:rsid w:val="00221470"/>
    <w:rsid w:val="002240F1"/>
    <w:rsid w:val="002249EE"/>
    <w:rsid w:val="00224A53"/>
    <w:rsid w:val="00227E15"/>
    <w:rsid w:val="00230C78"/>
    <w:rsid w:val="0023276B"/>
    <w:rsid w:val="00234092"/>
    <w:rsid w:val="002346A6"/>
    <w:rsid w:val="00234C11"/>
    <w:rsid w:val="0023597B"/>
    <w:rsid w:val="00236882"/>
    <w:rsid w:val="0023725E"/>
    <w:rsid w:val="00237329"/>
    <w:rsid w:val="00237C4B"/>
    <w:rsid w:val="00237F36"/>
    <w:rsid w:val="00241424"/>
    <w:rsid w:val="002419A3"/>
    <w:rsid w:val="00241E91"/>
    <w:rsid w:val="0024459D"/>
    <w:rsid w:val="00245522"/>
    <w:rsid w:val="002468E1"/>
    <w:rsid w:val="0024707C"/>
    <w:rsid w:val="0024749F"/>
    <w:rsid w:val="00250D44"/>
    <w:rsid w:val="00251302"/>
    <w:rsid w:val="00251A85"/>
    <w:rsid w:val="00252899"/>
    <w:rsid w:val="002538DF"/>
    <w:rsid w:val="00253C72"/>
    <w:rsid w:val="002558C8"/>
    <w:rsid w:val="00255FB5"/>
    <w:rsid w:val="002575F9"/>
    <w:rsid w:val="00260AD6"/>
    <w:rsid w:val="00263F4B"/>
    <w:rsid w:val="00266735"/>
    <w:rsid w:val="002670F7"/>
    <w:rsid w:val="002679E5"/>
    <w:rsid w:val="00270340"/>
    <w:rsid w:val="002713DF"/>
    <w:rsid w:val="002745D2"/>
    <w:rsid w:val="00275040"/>
    <w:rsid w:val="00276518"/>
    <w:rsid w:val="0027688F"/>
    <w:rsid w:val="0028211E"/>
    <w:rsid w:val="002822D4"/>
    <w:rsid w:val="0028236F"/>
    <w:rsid w:val="00282D87"/>
    <w:rsid w:val="00285682"/>
    <w:rsid w:val="00286552"/>
    <w:rsid w:val="00287514"/>
    <w:rsid w:val="00287B6B"/>
    <w:rsid w:val="002A1623"/>
    <w:rsid w:val="002A5FD8"/>
    <w:rsid w:val="002A5FEB"/>
    <w:rsid w:val="002A7F8D"/>
    <w:rsid w:val="002B1CF1"/>
    <w:rsid w:val="002B3DB4"/>
    <w:rsid w:val="002B54D2"/>
    <w:rsid w:val="002B55F7"/>
    <w:rsid w:val="002B63D5"/>
    <w:rsid w:val="002C2065"/>
    <w:rsid w:val="002C20C2"/>
    <w:rsid w:val="002C2983"/>
    <w:rsid w:val="002C386A"/>
    <w:rsid w:val="002C508A"/>
    <w:rsid w:val="002C59B0"/>
    <w:rsid w:val="002C62CC"/>
    <w:rsid w:val="002D05DE"/>
    <w:rsid w:val="002D4235"/>
    <w:rsid w:val="002D6588"/>
    <w:rsid w:val="002D70D9"/>
    <w:rsid w:val="002D7AC4"/>
    <w:rsid w:val="002E01ED"/>
    <w:rsid w:val="002E02A6"/>
    <w:rsid w:val="002E2BC2"/>
    <w:rsid w:val="002E3816"/>
    <w:rsid w:val="002E5452"/>
    <w:rsid w:val="002F132F"/>
    <w:rsid w:val="002F26FE"/>
    <w:rsid w:val="002F3E0F"/>
    <w:rsid w:val="002F77E4"/>
    <w:rsid w:val="002F787E"/>
    <w:rsid w:val="002F7EBA"/>
    <w:rsid w:val="00300869"/>
    <w:rsid w:val="00303B8F"/>
    <w:rsid w:val="003052BB"/>
    <w:rsid w:val="00305A58"/>
    <w:rsid w:val="00306F17"/>
    <w:rsid w:val="003079B0"/>
    <w:rsid w:val="00307C1A"/>
    <w:rsid w:val="00310362"/>
    <w:rsid w:val="00310BF3"/>
    <w:rsid w:val="00315E73"/>
    <w:rsid w:val="003164B6"/>
    <w:rsid w:val="0032071E"/>
    <w:rsid w:val="003225F5"/>
    <w:rsid w:val="00324B94"/>
    <w:rsid w:val="00326300"/>
    <w:rsid w:val="003263F4"/>
    <w:rsid w:val="00326F50"/>
    <w:rsid w:val="00327633"/>
    <w:rsid w:val="00327F9E"/>
    <w:rsid w:val="00331005"/>
    <w:rsid w:val="00336437"/>
    <w:rsid w:val="00337179"/>
    <w:rsid w:val="003378C2"/>
    <w:rsid w:val="00337F28"/>
    <w:rsid w:val="00341DDB"/>
    <w:rsid w:val="00344B3F"/>
    <w:rsid w:val="00344BE6"/>
    <w:rsid w:val="00347604"/>
    <w:rsid w:val="00350E62"/>
    <w:rsid w:val="00350F54"/>
    <w:rsid w:val="00351D2D"/>
    <w:rsid w:val="00353704"/>
    <w:rsid w:val="00353A5E"/>
    <w:rsid w:val="003607DB"/>
    <w:rsid w:val="00360D9A"/>
    <w:rsid w:val="00361128"/>
    <w:rsid w:val="00361783"/>
    <w:rsid w:val="0036198C"/>
    <w:rsid w:val="00362D84"/>
    <w:rsid w:val="003633B2"/>
    <w:rsid w:val="00366BE0"/>
    <w:rsid w:val="00370766"/>
    <w:rsid w:val="00370D8A"/>
    <w:rsid w:val="00372483"/>
    <w:rsid w:val="0037293A"/>
    <w:rsid w:val="003744BD"/>
    <w:rsid w:val="00376835"/>
    <w:rsid w:val="00382266"/>
    <w:rsid w:val="00384792"/>
    <w:rsid w:val="00385C3C"/>
    <w:rsid w:val="00390605"/>
    <w:rsid w:val="00394B3A"/>
    <w:rsid w:val="0039515D"/>
    <w:rsid w:val="00395F3E"/>
    <w:rsid w:val="00396BAD"/>
    <w:rsid w:val="00397BE4"/>
    <w:rsid w:val="003A12BF"/>
    <w:rsid w:val="003A1D5D"/>
    <w:rsid w:val="003A4C10"/>
    <w:rsid w:val="003A4F49"/>
    <w:rsid w:val="003A6F19"/>
    <w:rsid w:val="003B16F9"/>
    <w:rsid w:val="003B1839"/>
    <w:rsid w:val="003B3360"/>
    <w:rsid w:val="003B36C2"/>
    <w:rsid w:val="003B588B"/>
    <w:rsid w:val="003B6F03"/>
    <w:rsid w:val="003C0D5E"/>
    <w:rsid w:val="003C3019"/>
    <w:rsid w:val="003C33FF"/>
    <w:rsid w:val="003C37A6"/>
    <w:rsid w:val="003C51E7"/>
    <w:rsid w:val="003C534B"/>
    <w:rsid w:val="003C5761"/>
    <w:rsid w:val="003C7640"/>
    <w:rsid w:val="003D017F"/>
    <w:rsid w:val="003D3600"/>
    <w:rsid w:val="003D4D20"/>
    <w:rsid w:val="003D4EA1"/>
    <w:rsid w:val="003D70A5"/>
    <w:rsid w:val="003E0458"/>
    <w:rsid w:val="003E27E3"/>
    <w:rsid w:val="003E3AB8"/>
    <w:rsid w:val="003E4FDF"/>
    <w:rsid w:val="003F1211"/>
    <w:rsid w:val="003F158A"/>
    <w:rsid w:val="003F1D3D"/>
    <w:rsid w:val="003F3BA2"/>
    <w:rsid w:val="003F6E5A"/>
    <w:rsid w:val="00400F6B"/>
    <w:rsid w:val="004109D6"/>
    <w:rsid w:val="00411247"/>
    <w:rsid w:val="00411862"/>
    <w:rsid w:val="00411D6C"/>
    <w:rsid w:val="00413110"/>
    <w:rsid w:val="004133D7"/>
    <w:rsid w:val="00414631"/>
    <w:rsid w:val="00415F25"/>
    <w:rsid w:val="004178F6"/>
    <w:rsid w:val="00421EAC"/>
    <w:rsid w:val="00422072"/>
    <w:rsid w:val="00422D13"/>
    <w:rsid w:val="00425A18"/>
    <w:rsid w:val="004261B1"/>
    <w:rsid w:val="0043070E"/>
    <w:rsid w:val="00430A77"/>
    <w:rsid w:val="004325D8"/>
    <w:rsid w:val="00433628"/>
    <w:rsid w:val="00435E6A"/>
    <w:rsid w:val="0043624E"/>
    <w:rsid w:val="0044040D"/>
    <w:rsid w:val="00440AB7"/>
    <w:rsid w:val="00441A6C"/>
    <w:rsid w:val="00443C5F"/>
    <w:rsid w:val="0044417E"/>
    <w:rsid w:val="00444AF4"/>
    <w:rsid w:val="0044529D"/>
    <w:rsid w:val="00445C78"/>
    <w:rsid w:val="0044721B"/>
    <w:rsid w:val="00447553"/>
    <w:rsid w:val="00447D26"/>
    <w:rsid w:val="00450361"/>
    <w:rsid w:val="00450CED"/>
    <w:rsid w:val="00450FE6"/>
    <w:rsid w:val="00452379"/>
    <w:rsid w:val="00453FC2"/>
    <w:rsid w:val="00456E3C"/>
    <w:rsid w:val="0046196E"/>
    <w:rsid w:val="00461D55"/>
    <w:rsid w:val="00462A8A"/>
    <w:rsid w:val="0046319A"/>
    <w:rsid w:val="00463380"/>
    <w:rsid w:val="00464E37"/>
    <w:rsid w:val="00465AEA"/>
    <w:rsid w:val="004677E1"/>
    <w:rsid w:val="00467956"/>
    <w:rsid w:val="00470B9B"/>
    <w:rsid w:val="0047166A"/>
    <w:rsid w:val="00474F87"/>
    <w:rsid w:val="00481F49"/>
    <w:rsid w:val="00485ABD"/>
    <w:rsid w:val="004905D3"/>
    <w:rsid w:val="004914F1"/>
    <w:rsid w:val="00497900"/>
    <w:rsid w:val="004A0C14"/>
    <w:rsid w:val="004A0CC6"/>
    <w:rsid w:val="004A129A"/>
    <w:rsid w:val="004A2B14"/>
    <w:rsid w:val="004A3520"/>
    <w:rsid w:val="004A678C"/>
    <w:rsid w:val="004A7129"/>
    <w:rsid w:val="004B0F0C"/>
    <w:rsid w:val="004B2E89"/>
    <w:rsid w:val="004B323A"/>
    <w:rsid w:val="004B368E"/>
    <w:rsid w:val="004B371D"/>
    <w:rsid w:val="004B6A6D"/>
    <w:rsid w:val="004B7062"/>
    <w:rsid w:val="004B7BCA"/>
    <w:rsid w:val="004C0704"/>
    <w:rsid w:val="004C3998"/>
    <w:rsid w:val="004C68DB"/>
    <w:rsid w:val="004C744B"/>
    <w:rsid w:val="004C7DDE"/>
    <w:rsid w:val="004D1903"/>
    <w:rsid w:val="004D3212"/>
    <w:rsid w:val="004D352B"/>
    <w:rsid w:val="004D48F0"/>
    <w:rsid w:val="004D60E1"/>
    <w:rsid w:val="004E0FDA"/>
    <w:rsid w:val="004E1191"/>
    <w:rsid w:val="004E2143"/>
    <w:rsid w:val="004E27C8"/>
    <w:rsid w:val="004E4E0E"/>
    <w:rsid w:val="004E7CE5"/>
    <w:rsid w:val="004F1C47"/>
    <w:rsid w:val="004F1FBF"/>
    <w:rsid w:val="004F3700"/>
    <w:rsid w:val="004F4850"/>
    <w:rsid w:val="004F52DC"/>
    <w:rsid w:val="004F60EA"/>
    <w:rsid w:val="004F6F56"/>
    <w:rsid w:val="004F7788"/>
    <w:rsid w:val="00501841"/>
    <w:rsid w:val="00501869"/>
    <w:rsid w:val="005024E1"/>
    <w:rsid w:val="00502CF4"/>
    <w:rsid w:val="005030FB"/>
    <w:rsid w:val="005031F2"/>
    <w:rsid w:val="0050455B"/>
    <w:rsid w:val="005065E9"/>
    <w:rsid w:val="00506D36"/>
    <w:rsid w:val="00507077"/>
    <w:rsid w:val="005113D4"/>
    <w:rsid w:val="005139F0"/>
    <w:rsid w:val="0051699A"/>
    <w:rsid w:val="00516F8D"/>
    <w:rsid w:val="0051719B"/>
    <w:rsid w:val="0052219F"/>
    <w:rsid w:val="005230D9"/>
    <w:rsid w:val="00523995"/>
    <w:rsid w:val="00524559"/>
    <w:rsid w:val="0052457B"/>
    <w:rsid w:val="00527D1E"/>
    <w:rsid w:val="005301F0"/>
    <w:rsid w:val="005301F3"/>
    <w:rsid w:val="00530E51"/>
    <w:rsid w:val="0053266A"/>
    <w:rsid w:val="00534679"/>
    <w:rsid w:val="00540C38"/>
    <w:rsid w:val="00542BC9"/>
    <w:rsid w:val="00543F3C"/>
    <w:rsid w:val="0054519D"/>
    <w:rsid w:val="00552A89"/>
    <w:rsid w:val="00552FB4"/>
    <w:rsid w:val="005564EA"/>
    <w:rsid w:val="005607B3"/>
    <w:rsid w:val="005628AC"/>
    <w:rsid w:val="0056410C"/>
    <w:rsid w:val="00565206"/>
    <w:rsid w:val="0057249E"/>
    <w:rsid w:val="005732CE"/>
    <w:rsid w:val="005756B9"/>
    <w:rsid w:val="0057644F"/>
    <w:rsid w:val="00576E00"/>
    <w:rsid w:val="0057794B"/>
    <w:rsid w:val="00577C4D"/>
    <w:rsid w:val="005805BF"/>
    <w:rsid w:val="00580CFB"/>
    <w:rsid w:val="00581E12"/>
    <w:rsid w:val="005831CE"/>
    <w:rsid w:val="0058356C"/>
    <w:rsid w:val="0058427B"/>
    <w:rsid w:val="00585777"/>
    <w:rsid w:val="005857E0"/>
    <w:rsid w:val="00585CAA"/>
    <w:rsid w:val="00587EBB"/>
    <w:rsid w:val="00590244"/>
    <w:rsid w:val="00590623"/>
    <w:rsid w:val="00593807"/>
    <w:rsid w:val="00594851"/>
    <w:rsid w:val="00595185"/>
    <w:rsid w:val="00595719"/>
    <w:rsid w:val="0059724F"/>
    <w:rsid w:val="005A01ED"/>
    <w:rsid w:val="005A1BA5"/>
    <w:rsid w:val="005A226B"/>
    <w:rsid w:val="005A281F"/>
    <w:rsid w:val="005A7108"/>
    <w:rsid w:val="005A7C9A"/>
    <w:rsid w:val="005B2EB5"/>
    <w:rsid w:val="005B3A23"/>
    <w:rsid w:val="005B60C0"/>
    <w:rsid w:val="005B6476"/>
    <w:rsid w:val="005C10A3"/>
    <w:rsid w:val="005C174E"/>
    <w:rsid w:val="005C1981"/>
    <w:rsid w:val="005C1FC4"/>
    <w:rsid w:val="005C2A74"/>
    <w:rsid w:val="005C34BC"/>
    <w:rsid w:val="005C3EE2"/>
    <w:rsid w:val="005C40F3"/>
    <w:rsid w:val="005C6433"/>
    <w:rsid w:val="005C6A26"/>
    <w:rsid w:val="005C6E7B"/>
    <w:rsid w:val="005D0127"/>
    <w:rsid w:val="005D2B30"/>
    <w:rsid w:val="005D35F6"/>
    <w:rsid w:val="005D37BB"/>
    <w:rsid w:val="005D49DF"/>
    <w:rsid w:val="005D54DC"/>
    <w:rsid w:val="005D5B9B"/>
    <w:rsid w:val="005D5ECA"/>
    <w:rsid w:val="005D68E7"/>
    <w:rsid w:val="005E2755"/>
    <w:rsid w:val="005E2DEF"/>
    <w:rsid w:val="005E4842"/>
    <w:rsid w:val="005E6425"/>
    <w:rsid w:val="005F15CF"/>
    <w:rsid w:val="005F1942"/>
    <w:rsid w:val="005F4C2E"/>
    <w:rsid w:val="005F5513"/>
    <w:rsid w:val="0060070C"/>
    <w:rsid w:val="006012F4"/>
    <w:rsid w:val="006019D8"/>
    <w:rsid w:val="00601D8C"/>
    <w:rsid w:val="006028DF"/>
    <w:rsid w:val="0060410B"/>
    <w:rsid w:val="00604620"/>
    <w:rsid w:val="00604988"/>
    <w:rsid w:val="00605CFB"/>
    <w:rsid w:val="006063D3"/>
    <w:rsid w:val="006067D7"/>
    <w:rsid w:val="00612A64"/>
    <w:rsid w:val="00613147"/>
    <w:rsid w:val="00613C9A"/>
    <w:rsid w:val="00614DE9"/>
    <w:rsid w:val="00614E0D"/>
    <w:rsid w:val="00615B37"/>
    <w:rsid w:val="00621B7D"/>
    <w:rsid w:val="00624EC9"/>
    <w:rsid w:val="006278AE"/>
    <w:rsid w:val="00627A99"/>
    <w:rsid w:val="00631F1E"/>
    <w:rsid w:val="0063204E"/>
    <w:rsid w:val="006324E1"/>
    <w:rsid w:val="00632FA6"/>
    <w:rsid w:val="00633769"/>
    <w:rsid w:val="0063659E"/>
    <w:rsid w:val="00636B70"/>
    <w:rsid w:val="00636E69"/>
    <w:rsid w:val="00636EA6"/>
    <w:rsid w:val="00637349"/>
    <w:rsid w:val="0064178E"/>
    <w:rsid w:val="00642D10"/>
    <w:rsid w:val="006434F4"/>
    <w:rsid w:val="00644B3A"/>
    <w:rsid w:val="00644F5C"/>
    <w:rsid w:val="00645A2C"/>
    <w:rsid w:val="00646632"/>
    <w:rsid w:val="0064759F"/>
    <w:rsid w:val="00651961"/>
    <w:rsid w:val="0065341F"/>
    <w:rsid w:val="0065379B"/>
    <w:rsid w:val="00654076"/>
    <w:rsid w:val="00657C63"/>
    <w:rsid w:val="00660607"/>
    <w:rsid w:val="006636F2"/>
    <w:rsid w:val="0066394F"/>
    <w:rsid w:val="00664119"/>
    <w:rsid w:val="00664B4F"/>
    <w:rsid w:val="006671E4"/>
    <w:rsid w:val="006706E3"/>
    <w:rsid w:val="00671C9D"/>
    <w:rsid w:val="00672939"/>
    <w:rsid w:val="00672FA2"/>
    <w:rsid w:val="00673C3F"/>
    <w:rsid w:val="00675577"/>
    <w:rsid w:val="006802F9"/>
    <w:rsid w:val="00680EE6"/>
    <w:rsid w:val="00680F6F"/>
    <w:rsid w:val="0068128F"/>
    <w:rsid w:val="00681543"/>
    <w:rsid w:val="006824A8"/>
    <w:rsid w:val="00682DA1"/>
    <w:rsid w:val="00682F6C"/>
    <w:rsid w:val="006843E5"/>
    <w:rsid w:val="00685E0F"/>
    <w:rsid w:val="00686794"/>
    <w:rsid w:val="00687C11"/>
    <w:rsid w:val="006901FD"/>
    <w:rsid w:val="0069240E"/>
    <w:rsid w:val="006924DF"/>
    <w:rsid w:val="0069467C"/>
    <w:rsid w:val="006947D2"/>
    <w:rsid w:val="00694D50"/>
    <w:rsid w:val="0069580F"/>
    <w:rsid w:val="0069631C"/>
    <w:rsid w:val="00697F00"/>
    <w:rsid w:val="006A169D"/>
    <w:rsid w:val="006A5598"/>
    <w:rsid w:val="006A57D0"/>
    <w:rsid w:val="006A5B2F"/>
    <w:rsid w:val="006A6AAF"/>
    <w:rsid w:val="006A710E"/>
    <w:rsid w:val="006B05EE"/>
    <w:rsid w:val="006B086A"/>
    <w:rsid w:val="006B1831"/>
    <w:rsid w:val="006B24CA"/>
    <w:rsid w:val="006B27DC"/>
    <w:rsid w:val="006B6D4F"/>
    <w:rsid w:val="006B7321"/>
    <w:rsid w:val="006B7F88"/>
    <w:rsid w:val="006B7F9C"/>
    <w:rsid w:val="006C0588"/>
    <w:rsid w:val="006C18E3"/>
    <w:rsid w:val="006C2358"/>
    <w:rsid w:val="006C2BA0"/>
    <w:rsid w:val="006C520D"/>
    <w:rsid w:val="006C663E"/>
    <w:rsid w:val="006C704F"/>
    <w:rsid w:val="006C7C15"/>
    <w:rsid w:val="006D010B"/>
    <w:rsid w:val="006D0218"/>
    <w:rsid w:val="006D1EC2"/>
    <w:rsid w:val="006D249E"/>
    <w:rsid w:val="006D3989"/>
    <w:rsid w:val="006E32B0"/>
    <w:rsid w:val="006E492C"/>
    <w:rsid w:val="006E5B55"/>
    <w:rsid w:val="006E6F90"/>
    <w:rsid w:val="006E74C2"/>
    <w:rsid w:val="006F24E4"/>
    <w:rsid w:val="006F2B37"/>
    <w:rsid w:val="006F4028"/>
    <w:rsid w:val="006F4464"/>
    <w:rsid w:val="006F4514"/>
    <w:rsid w:val="006F778F"/>
    <w:rsid w:val="007010EB"/>
    <w:rsid w:val="00701B03"/>
    <w:rsid w:val="00701ECF"/>
    <w:rsid w:val="00704825"/>
    <w:rsid w:val="00704F1E"/>
    <w:rsid w:val="00705905"/>
    <w:rsid w:val="00705D9A"/>
    <w:rsid w:val="00705F36"/>
    <w:rsid w:val="007070F4"/>
    <w:rsid w:val="007073D5"/>
    <w:rsid w:val="00707A86"/>
    <w:rsid w:val="00707F7F"/>
    <w:rsid w:val="00707F9B"/>
    <w:rsid w:val="0071038A"/>
    <w:rsid w:val="007104D0"/>
    <w:rsid w:val="00713646"/>
    <w:rsid w:val="0071494A"/>
    <w:rsid w:val="00715E54"/>
    <w:rsid w:val="00716BDB"/>
    <w:rsid w:val="007172A0"/>
    <w:rsid w:val="0071772B"/>
    <w:rsid w:val="007204A1"/>
    <w:rsid w:val="00723C1B"/>
    <w:rsid w:val="007247AC"/>
    <w:rsid w:val="00732942"/>
    <w:rsid w:val="00732C4A"/>
    <w:rsid w:val="00733839"/>
    <w:rsid w:val="007369DF"/>
    <w:rsid w:val="007374FD"/>
    <w:rsid w:val="0074235B"/>
    <w:rsid w:val="0074278F"/>
    <w:rsid w:val="00742CB7"/>
    <w:rsid w:val="00743882"/>
    <w:rsid w:val="00745013"/>
    <w:rsid w:val="007508CA"/>
    <w:rsid w:val="00753919"/>
    <w:rsid w:val="007567B3"/>
    <w:rsid w:val="00757CEC"/>
    <w:rsid w:val="00761468"/>
    <w:rsid w:val="00762C82"/>
    <w:rsid w:val="00764372"/>
    <w:rsid w:val="00766D11"/>
    <w:rsid w:val="007672BA"/>
    <w:rsid w:val="00767C52"/>
    <w:rsid w:val="007716C5"/>
    <w:rsid w:val="007731EE"/>
    <w:rsid w:val="0077546F"/>
    <w:rsid w:val="00775DCA"/>
    <w:rsid w:val="00780C4E"/>
    <w:rsid w:val="00781E56"/>
    <w:rsid w:val="00783165"/>
    <w:rsid w:val="0078427D"/>
    <w:rsid w:val="0078695F"/>
    <w:rsid w:val="00786E09"/>
    <w:rsid w:val="007873FA"/>
    <w:rsid w:val="00787513"/>
    <w:rsid w:val="00790E6B"/>
    <w:rsid w:val="00793302"/>
    <w:rsid w:val="007A0E5F"/>
    <w:rsid w:val="007A16F0"/>
    <w:rsid w:val="007A1786"/>
    <w:rsid w:val="007A21CD"/>
    <w:rsid w:val="007A281A"/>
    <w:rsid w:val="007A3271"/>
    <w:rsid w:val="007A3A95"/>
    <w:rsid w:val="007A3D99"/>
    <w:rsid w:val="007B1637"/>
    <w:rsid w:val="007B3B16"/>
    <w:rsid w:val="007B469E"/>
    <w:rsid w:val="007B65B9"/>
    <w:rsid w:val="007B6746"/>
    <w:rsid w:val="007C0C5F"/>
    <w:rsid w:val="007C4B66"/>
    <w:rsid w:val="007C6107"/>
    <w:rsid w:val="007D0A27"/>
    <w:rsid w:val="007D35CF"/>
    <w:rsid w:val="007D3D1F"/>
    <w:rsid w:val="007D578F"/>
    <w:rsid w:val="007D63F9"/>
    <w:rsid w:val="007D67CA"/>
    <w:rsid w:val="007D7642"/>
    <w:rsid w:val="007E01FF"/>
    <w:rsid w:val="007E03CC"/>
    <w:rsid w:val="007E0908"/>
    <w:rsid w:val="007E4A39"/>
    <w:rsid w:val="007E4C6B"/>
    <w:rsid w:val="007E4F28"/>
    <w:rsid w:val="007E5766"/>
    <w:rsid w:val="007E5853"/>
    <w:rsid w:val="007E6EB0"/>
    <w:rsid w:val="007F0BA6"/>
    <w:rsid w:val="007F15CF"/>
    <w:rsid w:val="007F3315"/>
    <w:rsid w:val="007F5018"/>
    <w:rsid w:val="007F5147"/>
    <w:rsid w:val="00801D70"/>
    <w:rsid w:val="0080365D"/>
    <w:rsid w:val="00803898"/>
    <w:rsid w:val="00804F26"/>
    <w:rsid w:val="0080552C"/>
    <w:rsid w:val="00805F3A"/>
    <w:rsid w:val="008114E3"/>
    <w:rsid w:val="00812411"/>
    <w:rsid w:val="00812413"/>
    <w:rsid w:val="0081499D"/>
    <w:rsid w:val="00815000"/>
    <w:rsid w:val="00815B15"/>
    <w:rsid w:val="00816AE0"/>
    <w:rsid w:val="00822061"/>
    <w:rsid w:val="008233FA"/>
    <w:rsid w:val="008244C0"/>
    <w:rsid w:val="00824E6C"/>
    <w:rsid w:val="00825DEA"/>
    <w:rsid w:val="00826181"/>
    <w:rsid w:val="00830559"/>
    <w:rsid w:val="008314D1"/>
    <w:rsid w:val="008315A5"/>
    <w:rsid w:val="008326AE"/>
    <w:rsid w:val="00833683"/>
    <w:rsid w:val="00833C1E"/>
    <w:rsid w:val="00835B74"/>
    <w:rsid w:val="008368DC"/>
    <w:rsid w:val="008370B6"/>
    <w:rsid w:val="00837838"/>
    <w:rsid w:val="00837B0E"/>
    <w:rsid w:val="00840BD4"/>
    <w:rsid w:val="00841C38"/>
    <w:rsid w:val="00842A8F"/>
    <w:rsid w:val="00842B8B"/>
    <w:rsid w:val="008432DE"/>
    <w:rsid w:val="008438E9"/>
    <w:rsid w:val="00843B40"/>
    <w:rsid w:val="00843E10"/>
    <w:rsid w:val="00845088"/>
    <w:rsid w:val="00845FF4"/>
    <w:rsid w:val="00847268"/>
    <w:rsid w:val="00847F54"/>
    <w:rsid w:val="00850CD3"/>
    <w:rsid w:val="00851DB1"/>
    <w:rsid w:val="008524FC"/>
    <w:rsid w:val="00857501"/>
    <w:rsid w:val="00862121"/>
    <w:rsid w:val="008622BF"/>
    <w:rsid w:val="00862B19"/>
    <w:rsid w:val="00862BB0"/>
    <w:rsid w:val="0086457C"/>
    <w:rsid w:val="008649CC"/>
    <w:rsid w:val="008655CD"/>
    <w:rsid w:val="008672A1"/>
    <w:rsid w:val="00870B91"/>
    <w:rsid w:val="00873784"/>
    <w:rsid w:val="008773A2"/>
    <w:rsid w:val="008811E7"/>
    <w:rsid w:val="00881F84"/>
    <w:rsid w:val="008820D2"/>
    <w:rsid w:val="008821F7"/>
    <w:rsid w:val="0088469F"/>
    <w:rsid w:val="00886839"/>
    <w:rsid w:val="00887F7D"/>
    <w:rsid w:val="008904C4"/>
    <w:rsid w:val="0089339F"/>
    <w:rsid w:val="0089353E"/>
    <w:rsid w:val="008940CE"/>
    <w:rsid w:val="008955A3"/>
    <w:rsid w:val="00896560"/>
    <w:rsid w:val="008A0AA3"/>
    <w:rsid w:val="008A11B9"/>
    <w:rsid w:val="008A2FB4"/>
    <w:rsid w:val="008A6676"/>
    <w:rsid w:val="008B0C83"/>
    <w:rsid w:val="008B11AF"/>
    <w:rsid w:val="008B1C95"/>
    <w:rsid w:val="008B2F75"/>
    <w:rsid w:val="008B4D71"/>
    <w:rsid w:val="008B4D80"/>
    <w:rsid w:val="008B6CD8"/>
    <w:rsid w:val="008B7189"/>
    <w:rsid w:val="008C0F0F"/>
    <w:rsid w:val="008C0F6E"/>
    <w:rsid w:val="008C25CB"/>
    <w:rsid w:val="008C337F"/>
    <w:rsid w:val="008C3D74"/>
    <w:rsid w:val="008C55F2"/>
    <w:rsid w:val="008C6BF6"/>
    <w:rsid w:val="008D2FC3"/>
    <w:rsid w:val="008D4BB8"/>
    <w:rsid w:val="008D5F72"/>
    <w:rsid w:val="008D6E25"/>
    <w:rsid w:val="008D76E3"/>
    <w:rsid w:val="008E1DD5"/>
    <w:rsid w:val="008E203E"/>
    <w:rsid w:val="008E2906"/>
    <w:rsid w:val="008E292D"/>
    <w:rsid w:val="008E4F6C"/>
    <w:rsid w:val="008E5118"/>
    <w:rsid w:val="008E6429"/>
    <w:rsid w:val="008E6797"/>
    <w:rsid w:val="008E69AE"/>
    <w:rsid w:val="008E7CCE"/>
    <w:rsid w:val="008F06E1"/>
    <w:rsid w:val="008F0C8C"/>
    <w:rsid w:val="008F2CCA"/>
    <w:rsid w:val="008F37E7"/>
    <w:rsid w:val="008F3912"/>
    <w:rsid w:val="008F59B5"/>
    <w:rsid w:val="008F5FAC"/>
    <w:rsid w:val="008F5FD6"/>
    <w:rsid w:val="008F69B8"/>
    <w:rsid w:val="008F7625"/>
    <w:rsid w:val="00900CDE"/>
    <w:rsid w:val="0090116E"/>
    <w:rsid w:val="00903272"/>
    <w:rsid w:val="00903644"/>
    <w:rsid w:val="00903682"/>
    <w:rsid w:val="00904A17"/>
    <w:rsid w:val="00905720"/>
    <w:rsid w:val="00906A60"/>
    <w:rsid w:val="0091071F"/>
    <w:rsid w:val="00911673"/>
    <w:rsid w:val="00914445"/>
    <w:rsid w:val="00914D77"/>
    <w:rsid w:val="009152B4"/>
    <w:rsid w:val="0091638B"/>
    <w:rsid w:val="009164DF"/>
    <w:rsid w:val="00917F97"/>
    <w:rsid w:val="00920EF4"/>
    <w:rsid w:val="0092221B"/>
    <w:rsid w:val="009243D5"/>
    <w:rsid w:val="009256BE"/>
    <w:rsid w:val="00925A5E"/>
    <w:rsid w:val="00925E74"/>
    <w:rsid w:val="00927101"/>
    <w:rsid w:val="00927DAE"/>
    <w:rsid w:val="00932097"/>
    <w:rsid w:val="00932D61"/>
    <w:rsid w:val="00933748"/>
    <w:rsid w:val="00934A4F"/>
    <w:rsid w:val="009357C6"/>
    <w:rsid w:val="00936703"/>
    <w:rsid w:val="00936EDE"/>
    <w:rsid w:val="0093748F"/>
    <w:rsid w:val="0094199E"/>
    <w:rsid w:val="009425EA"/>
    <w:rsid w:val="00944724"/>
    <w:rsid w:val="00944F33"/>
    <w:rsid w:val="00946E2C"/>
    <w:rsid w:val="00951F07"/>
    <w:rsid w:val="00952B62"/>
    <w:rsid w:val="00953D17"/>
    <w:rsid w:val="00954A33"/>
    <w:rsid w:val="009561E1"/>
    <w:rsid w:val="00956939"/>
    <w:rsid w:val="00956C94"/>
    <w:rsid w:val="00960FFC"/>
    <w:rsid w:val="009610ED"/>
    <w:rsid w:val="00961633"/>
    <w:rsid w:val="00964BB5"/>
    <w:rsid w:val="00966821"/>
    <w:rsid w:val="00967203"/>
    <w:rsid w:val="009679D7"/>
    <w:rsid w:val="00970A03"/>
    <w:rsid w:val="00971F32"/>
    <w:rsid w:val="00973303"/>
    <w:rsid w:val="0097389E"/>
    <w:rsid w:val="009747E3"/>
    <w:rsid w:val="009809B1"/>
    <w:rsid w:val="0098153F"/>
    <w:rsid w:val="009822F4"/>
    <w:rsid w:val="00983CC8"/>
    <w:rsid w:val="00984D11"/>
    <w:rsid w:val="00985E2C"/>
    <w:rsid w:val="00985F76"/>
    <w:rsid w:val="00986124"/>
    <w:rsid w:val="00986594"/>
    <w:rsid w:val="0098768D"/>
    <w:rsid w:val="009877B4"/>
    <w:rsid w:val="00991A38"/>
    <w:rsid w:val="009933EE"/>
    <w:rsid w:val="00994351"/>
    <w:rsid w:val="00996926"/>
    <w:rsid w:val="009A24A8"/>
    <w:rsid w:val="009A50E0"/>
    <w:rsid w:val="009A58AD"/>
    <w:rsid w:val="009A6A08"/>
    <w:rsid w:val="009A6AB2"/>
    <w:rsid w:val="009A7470"/>
    <w:rsid w:val="009B0175"/>
    <w:rsid w:val="009B01E3"/>
    <w:rsid w:val="009B027F"/>
    <w:rsid w:val="009B0370"/>
    <w:rsid w:val="009B0C85"/>
    <w:rsid w:val="009B14E7"/>
    <w:rsid w:val="009B25C1"/>
    <w:rsid w:val="009B2CDA"/>
    <w:rsid w:val="009B2E73"/>
    <w:rsid w:val="009B56EC"/>
    <w:rsid w:val="009B5CA7"/>
    <w:rsid w:val="009B6C82"/>
    <w:rsid w:val="009B7063"/>
    <w:rsid w:val="009C0E7B"/>
    <w:rsid w:val="009C37FB"/>
    <w:rsid w:val="009C41C6"/>
    <w:rsid w:val="009C50CD"/>
    <w:rsid w:val="009C6769"/>
    <w:rsid w:val="009C6B35"/>
    <w:rsid w:val="009D2A5C"/>
    <w:rsid w:val="009D3BC1"/>
    <w:rsid w:val="009D4E40"/>
    <w:rsid w:val="009D55C3"/>
    <w:rsid w:val="009D7160"/>
    <w:rsid w:val="009E0869"/>
    <w:rsid w:val="009E1755"/>
    <w:rsid w:val="009E1C7E"/>
    <w:rsid w:val="009E210D"/>
    <w:rsid w:val="009E2BBC"/>
    <w:rsid w:val="009E3335"/>
    <w:rsid w:val="009E3784"/>
    <w:rsid w:val="009E4EC3"/>
    <w:rsid w:val="009E7D41"/>
    <w:rsid w:val="009E7DB4"/>
    <w:rsid w:val="009F0155"/>
    <w:rsid w:val="009F2C23"/>
    <w:rsid w:val="009F4575"/>
    <w:rsid w:val="009F4FE5"/>
    <w:rsid w:val="009F63C3"/>
    <w:rsid w:val="009F7277"/>
    <w:rsid w:val="009F77D3"/>
    <w:rsid w:val="00A02CE6"/>
    <w:rsid w:val="00A046EB"/>
    <w:rsid w:val="00A04F1D"/>
    <w:rsid w:val="00A051B5"/>
    <w:rsid w:val="00A05EE4"/>
    <w:rsid w:val="00A068DB"/>
    <w:rsid w:val="00A06D85"/>
    <w:rsid w:val="00A1450B"/>
    <w:rsid w:val="00A1458A"/>
    <w:rsid w:val="00A1526C"/>
    <w:rsid w:val="00A16054"/>
    <w:rsid w:val="00A16219"/>
    <w:rsid w:val="00A171E1"/>
    <w:rsid w:val="00A21055"/>
    <w:rsid w:val="00A21844"/>
    <w:rsid w:val="00A218B6"/>
    <w:rsid w:val="00A24973"/>
    <w:rsid w:val="00A26393"/>
    <w:rsid w:val="00A31FB9"/>
    <w:rsid w:val="00A32525"/>
    <w:rsid w:val="00A33978"/>
    <w:rsid w:val="00A36155"/>
    <w:rsid w:val="00A40497"/>
    <w:rsid w:val="00A40BD2"/>
    <w:rsid w:val="00A42E71"/>
    <w:rsid w:val="00A43C0D"/>
    <w:rsid w:val="00A46DDB"/>
    <w:rsid w:val="00A50C73"/>
    <w:rsid w:val="00A50D00"/>
    <w:rsid w:val="00A531EC"/>
    <w:rsid w:val="00A53F3F"/>
    <w:rsid w:val="00A542E8"/>
    <w:rsid w:val="00A5590E"/>
    <w:rsid w:val="00A57889"/>
    <w:rsid w:val="00A57EFE"/>
    <w:rsid w:val="00A60201"/>
    <w:rsid w:val="00A61312"/>
    <w:rsid w:val="00A61847"/>
    <w:rsid w:val="00A6374F"/>
    <w:rsid w:val="00A63B23"/>
    <w:rsid w:val="00A73957"/>
    <w:rsid w:val="00A7395C"/>
    <w:rsid w:val="00A76892"/>
    <w:rsid w:val="00A81E4B"/>
    <w:rsid w:val="00A822BE"/>
    <w:rsid w:val="00A82F27"/>
    <w:rsid w:val="00A86B1C"/>
    <w:rsid w:val="00A86D43"/>
    <w:rsid w:val="00A87060"/>
    <w:rsid w:val="00A90A0F"/>
    <w:rsid w:val="00A91095"/>
    <w:rsid w:val="00A91403"/>
    <w:rsid w:val="00A919D8"/>
    <w:rsid w:val="00A91D53"/>
    <w:rsid w:val="00A92582"/>
    <w:rsid w:val="00A92AE2"/>
    <w:rsid w:val="00A94005"/>
    <w:rsid w:val="00A940C7"/>
    <w:rsid w:val="00A956B5"/>
    <w:rsid w:val="00A9639B"/>
    <w:rsid w:val="00A974F8"/>
    <w:rsid w:val="00AA19FF"/>
    <w:rsid w:val="00AA1EF2"/>
    <w:rsid w:val="00AA2EB2"/>
    <w:rsid w:val="00AA4C16"/>
    <w:rsid w:val="00AA551D"/>
    <w:rsid w:val="00AA5F96"/>
    <w:rsid w:val="00AB0199"/>
    <w:rsid w:val="00AB06FE"/>
    <w:rsid w:val="00AB10DC"/>
    <w:rsid w:val="00AB17C9"/>
    <w:rsid w:val="00AB19D7"/>
    <w:rsid w:val="00AB1AE0"/>
    <w:rsid w:val="00AB24F1"/>
    <w:rsid w:val="00AB388A"/>
    <w:rsid w:val="00AB4F41"/>
    <w:rsid w:val="00AB5792"/>
    <w:rsid w:val="00AB5F9E"/>
    <w:rsid w:val="00AC1A7A"/>
    <w:rsid w:val="00AC4940"/>
    <w:rsid w:val="00AC49A7"/>
    <w:rsid w:val="00AC54F1"/>
    <w:rsid w:val="00AC7203"/>
    <w:rsid w:val="00AC7E0D"/>
    <w:rsid w:val="00AD2448"/>
    <w:rsid w:val="00AD412D"/>
    <w:rsid w:val="00AD6F84"/>
    <w:rsid w:val="00AE1724"/>
    <w:rsid w:val="00AE2231"/>
    <w:rsid w:val="00AE42E6"/>
    <w:rsid w:val="00AE664C"/>
    <w:rsid w:val="00AE7565"/>
    <w:rsid w:val="00AF1DF6"/>
    <w:rsid w:val="00AF3483"/>
    <w:rsid w:val="00AF3B25"/>
    <w:rsid w:val="00AF4C13"/>
    <w:rsid w:val="00AF5A6B"/>
    <w:rsid w:val="00AF611F"/>
    <w:rsid w:val="00AF7618"/>
    <w:rsid w:val="00AF7DEB"/>
    <w:rsid w:val="00B0090C"/>
    <w:rsid w:val="00B038E3"/>
    <w:rsid w:val="00B03C53"/>
    <w:rsid w:val="00B04A3C"/>
    <w:rsid w:val="00B05A7C"/>
    <w:rsid w:val="00B061C7"/>
    <w:rsid w:val="00B0650C"/>
    <w:rsid w:val="00B06F89"/>
    <w:rsid w:val="00B07D85"/>
    <w:rsid w:val="00B07F8F"/>
    <w:rsid w:val="00B112B1"/>
    <w:rsid w:val="00B1137A"/>
    <w:rsid w:val="00B1154A"/>
    <w:rsid w:val="00B11A26"/>
    <w:rsid w:val="00B11BE3"/>
    <w:rsid w:val="00B15637"/>
    <w:rsid w:val="00B16B33"/>
    <w:rsid w:val="00B16F69"/>
    <w:rsid w:val="00B1765B"/>
    <w:rsid w:val="00B177AB"/>
    <w:rsid w:val="00B178F5"/>
    <w:rsid w:val="00B20AB3"/>
    <w:rsid w:val="00B21CEF"/>
    <w:rsid w:val="00B22C84"/>
    <w:rsid w:val="00B23782"/>
    <w:rsid w:val="00B239C9"/>
    <w:rsid w:val="00B25771"/>
    <w:rsid w:val="00B301E7"/>
    <w:rsid w:val="00B31DF1"/>
    <w:rsid w:val="00B31F7E"/>
    <w:rsid w:val="00B342CE"/>
    <w:rsid w:val="00B346C3"/>
    <w:rsid w:val="00B403FB"/>
    <w:rsid w:val="00B40A91"/>
    <w:rsid w:val="00B44D43"/>
    <w:rsid w:val="00B4608A"/>
    <w:rsid w:val="00B463E6"/>
    <w:rsid w:val="00B50ED9"/>
    <w:rsid w:val="00B51473"/>
    <w:rsid w:val="00B53268"/>
    <w:rsid w:val="00B54533"/>
    <w:rsid w:val="00B566FD"/>
    <w:rsid w:val="00B605E9"/>
    <w:rsid w:val="00B61034"/>
    <w:rsid w:val="00B642F3"/>
    <w:rsid w:val="00B6484D"/>
    <w:rsid w:val="00B6506D"/>
    <w:rsid w:val="00B652DF"/>
    <w:rsid w:val="00B65C91"/>
    <w:rsid w:val="00B67CC9"/>
    <w:rsid w:val="00B709B3"/>
    <w:rsid w:val="00B710F6"/>
    <w:rsid w:val="00B71428"/>
    <w:rsid w:val="00B71F5E"/>
    <w:rsid w:val="00B73CD5"/>
    <w:rsid w:val="00B7696B"/>
    <w:rsid w:val="00B77B71"/>
    <w:rsid w:val="00B80A18"/>
    <w:rsid w:val="00B80BE9"/>
    <w:rsid w:val="00B80C98"/>
    <w:rsid w:val="00B81ED6"/>
    <w:rsid w:val="00B8284C"/>
    <w:rsid w:val="00B834DB"/>
    <w:rsid w:val="00B83EAE"/>
    <w:rsid w:val="00B87E9E"/>
    <w:rsid w:val="00B90A6E"/>
    <w:rsid w:val="00B927B5"/>
    <w:rsid w:val="00B92B56"/>
    <w:rsid w:val="00B92D2F"/>
    <w:rsid w:val="00B936F9"/>
    <w:rsid w:val="00BA10FB"/>
    <w:rsid w:val="00BA2967"/>
    <w:rsid w:val="00BA32AD"/>
    <w:rsid w:val="00BA52F9"/>
    <w:rsid w:val="00BB0FD1"/>
    <w:rsid w:val="00BB2695"/>
    <w:rsid w:val="00BB2A9B"/>
    <w:rsid w:val="00BB2D80"/>
    <w:rsid w:val="00BB4853"/>
    <w:rsid w:val="00BB4A63"/>
    <w:rsid w:val="00BB6895"/>
    <w:rsid w:val="00BB781B"/>
    <w:rsid w:val="00BC023D"/>
    <w:rsid w:val="00BC12A7"/>
    <w:rsid w:val="00BC29D1"/>
    <w:rsid w:val="00BC3141"/>
    <w:rsid w:val="00BC47D0"/>
    <w:rsid w:val="00BD3718"/>
    <w:rsid w:val="00BD6255"/>
    <w:rsid w:val="00BD6DB5"/>
    <w:rsid w:val="00BD6FF5"/>
    <w:rsid w:val="00BE0024"/>
    <w:rsid w:val="00BE1822"/>
    <w:rsid w:val="00BE1AFB"/>
    <w:rsid w:val="00BE1DCE"/>
    <w:rsid w:val="00BE3369"/>
    <w:rsid w:val="00BE3ED3"/>
    <w:rsid w:val="00BE417D"/>
    <w:rsid w:val="00BE5D74"/>
    <w:rsid w:val="00BE7023"/>
    <w:rsid w:val="00BE7FC1"/>
    <w:rsid w:val="00BF025F"/>
    <w:rsid w:val="00BF09F9"/>
    <w:rsid w:val="00BF0C65"/>
    <w:rsid w:val="00BF12C5"/>
    <w:rsid w:val="00BF27E7"/>
    <w:rsid w:val="00BF3C0D"/>
    <w:rsid w:val="00BF4CD3"/>
    <w:rsid w:val="00BF7FFD"/>
    <w:rsid w:val="00C00651"/>
    <w:rsid w:val="00C02BC7"/>
    <w:rsid w:val="00C034B7"/>
    <w:rsid w:val="00C03688"/>
    <w:rsid w:val="00C07C08"/>
    <w:rsid w:val="00C12F50"/>
    <w:rsid w:val="00C20845"/>
    <w:rsid w:val="00C20B84"/>
    <w:rsid w:val="00C21DF1"/>
    <w:rsid w:val="00C23AA7"/>
    <w:rsid w:val="00C23BA4"/>
    <w:rsid w:val="00C23CAD"/>
    <w:rsid w:val="00C25172"/>
    <w:rsid w:val="00C25921"/>
    <w:rsid w:val="00C26C82"/>
    <w:rsid w:val="00C26CAD"/>
    <w:rsid w:val="00C325DB"/>
    <w:rsid w:val="00C33971"/>
    <w:rsid w:val="00C33F3B"/>
    <w:rsid w:val="00C365E7"/>
    <w:rsid w:val="00C3688C"/>
    <w:rsid w:val="00C36A54"/>
    <w:rsid w:val="00C40146"/>
    <w:rsid w:val="00C403DE"/>
    <w:rsid w:val="00C4072C"/>
    <w:rsid w:val="00C415C3"/>
    <w:rsid w:val="00C41910"/>
    <w:rsid w:val="00C4227B"/>
    <w:rsid w:val="00C45529"/>
    <w:rsid w:val="00C455A0"/>
    <w:rsid w:val="00C501BB"/>
    <w:rsid w:val="00C50BAD"/>
    <w:rsid w:val="00C52526"/>
    <w:rsid w:val="00C5378C"/>
    <w:rsid w:val="00C544F4"/>
    <w:rsid w:val="00C54A82"/>
    <w:rsid w:val="00C55D59"/>
    <w:rsid w:val="00C6177A"/>
    <w:rsid w:val="00C6232F"/>
    <w:rsid w:val="00C648B7"/>
    <w:rsid w:val="00C64FE7"/>
    <w:rsid w:val="00C66300"/>
    <w:rsid w:val="00C666F1"/>
    <w:rsid w:val="00C668D9"/>
    <w:rsid w:val="00C66A26"/>
    <w:rsid w:val="00C66B34"/>
    <w:rsid w:val="00C67375"/>
    <w:rsid w:val="00C67C8A"/>
    <w:rsid w:val="00C7000D"/>
    <w:rsid w:val="00C70A1E"/>
    <w:rsid w:val="00C70C5D"/>
    <w:rsid w:val="00C72FAB"/>
    <w:rsid w:val="00C73686"/>
    <w:rsid w:val="00C74F31"/>
    <w:rsid w:val="00C7568A"/>
    <w:rsid w:val="00C8015A"/>
    <w:rsid w:val="00C81169"/>
    <w:rsid w:val="00C81A2B"/>
    <w:rsid w:val="00C8635C"/>
    <w:rsid w:val="00C86C1D"/>
    <w:rsid w:val="00C9227C"/>
    <w:rsid w:val="00C92C37"/>
    <w:rsid w:val="00C9361B"/>
    <w:rsid w:val="00C945E4"/>
    <w:rsid w:val="00C9529A"/>
    <w:rsid w:val="00C95C6A"/>
    <w:rsid w:val="00C9667C"/>
    <w:rsid w:val="00C96DD4"/>
    <w:rsid w:val="00CA0E0E"/>
    <w:rsid w:val="00CA25DC"/>
    <w:rsid w:val="00CA28A1"/>
    <w:rsid w:val="00CA2904"/>
    <w:rsid w:val="00CA44D1"/>
    <w:rsid w:val="00CA58D9"/>
    <w:rsid w:val="00CB02E1"/>
    <w:rsid w:val="00CB23A2"/>
    <w:rsid w:val="00CB28EF"/>
    <w:rsid w:val="00CB42C3"/>
    <w:rsid w:val="00CB5CC0"/>
    <w:rsid w:val="00CB6635"/>
    <w:rsid w:val="00CB72A3"/>
    <w:rsid w:val="00CB755C"/>
    <w:rsid w:val="00CC2E97"/>
    <w:rsid w:val="00CC4BF6"/>
    <w:rsid w:val="00CC5664"/>
    <w:rsid w:val="00CC6899"/>
    <w:rsid w:val="00CD035D"/>
    <w:rsid w:val="00CD3D66"/>
    <w:rsid w:val="00CD51A8"/>
    <w:rsid w:val="00CD547E"/>
    <w:rsid w:val="00CD6890"/>
    <w:rsid w:val="00CD765F"/>
    <w:rsid w:val="00CD7FAC"/>
    <w:rsid w:val="00CE1FF7"/>
    <w:rsid w:val="00CE25E7"/>
    <w:rsid w:val="00CE2A60"/>
    <w:rsid w:val="00CE2D4C"/>
    <w:rsid w:val="00CE5383"/>
    <w:rsid w:val="00CF17DE"/>
    <w:rsid w:val="00CF2B28"/>
    <w:rsid w:val="00CF3035"/>
    <w:rsid w:val="00CF72FB"/>
    <w:rsid w:val="00CF7EB9"/>
    <w:rsid w:val="00D003EB"/>
    <w:rsid w:val="00D0484A"/>
    <w:rsid w:val="00D05605"/>
    <w:rsid w:val="00D07BC8"/>
    <w:rsid w:val="00D104F8"/>
    <w:rsid w:val="00D11580"/>
    <w:rsid w:val="00D120B6"/>
    <w:rsid w:val="00D137B9"/>
    <w:rsid w:val="00D13A35"/>
    <w:rsid w:val="00D15E49"/>
    <w:rsid w:val="00D20B44"/>
    <w:rsid w:val="00D20F6C"/>
    <w:rsid w:val="00D21ADA"/>
    <w:rsid w:val="00D249EA"/>
    <w:rsid w:val="00D24CE2"/>
    <w:rsid w:val="00D263F9"/>
    <w:rsid w:val="00D3030D"/>
    <w:rsid w:val="00D314C2"/>
    <w:rsid w:val="00D31991"/>
    <w:rsid w:val="00D3301B"/>
    <w:rsid w:val="00D340E3"/>
    <w:rsid w:val="00D3672A"/>
    <w:rsid w:val="00D40150"/>
    <w:rsid w:val="00D41ACF"/>
    <w:rsid w:val="00D422E8"/>
    <w:rsid w:val="00D42C87"/>
    <w:rsid w:val="00D4542E"/>
    <w:rsid w:val="00D47B0D"/>
    <w:rsid w:val="00D50D13"/>
    <w:rsid w:val="00D52BA7"/>
    <w:rsid w:val="00D52F2C"/>
    <w:rsid w:val="00D54275"/>
    <w:rsid w:val="00D5434E"/>
    <w:rsid w:val="00D55580"/>
    <w:rsid w:val="00D608F0"/>
    <w:rsid w:val="00D609C9"/>
    <w:rsid w:val="00D60E37"/>
    <w:rsid w:val="00D61748"/>
    <w:rsid w:val="00D624C8"/>
    <w:rsid w:val="00D63BB7"/>
    <w:rsid w:val="00D6429D"/>
    <w:rsid w:val="00D644FE"/>
    <w:rsid w:val="00D65205"/>
    <w:rsid w:val="00D6601E"/>
    <w:rsid w:val="00D6747C"/>
    <w:rsid w:val="00D67AB0"/>
    <w:rsid w:val="00D67DD3"/>
    <w:rsid w:val="00D70A1C"/>
    <w:rsid w:val="00D716D5"/>
    <w:rsid w:val="00D71CE5"/>
    <w:rsid w:val="00D72F2B"/>
    <w:rsid w:val="00D7376A"/>
    <w:rsid w:val="00D75378"/>
    <w:rsid w:val="00D75D1D"/>
    <w:rsid w:val="00D75E1F"/>
    <w:rsid w:val="00D77B7C"/>
    <w:rsid w:val="00D81CD0"/>
    <w:rsid w:val="00D81D59"/>
    <w:rsid w:val="00D822FD"/>
    <w:rsid w:val="00D85B67"/>
    <w:rsid w:val="00D86187"/>
    <w:rsid w:val="00D86EC3"/>
    <w:rsid w:val="00D86FB5"/>
    <w:rsid w:val="00D924FB"/>
    <w:rsid w:val="00D94356"/>
    <w:rsid w:val="00D95DAA"/>
    <w:rsid w:val="00D9730C"/>
    <w:rsid w:val="00D9785B"/>
    <w:rsid w:val="00D97C22"/>
    <w:rsid w:val="00DA2990"/>
    <w:rsid w:val="00DA4968"/>
    <w:rsid w:val="00DB08CE"/>
    <w:rsid w:val="00DB0994"/>
    <w:rsid w:val="00DB1F01"/>
    <w:rsid w:val="00DB359B"/>
    <w:rsid w:val="00DB5B20"/>
    <w:rsid w:val="00DB619F"/>
    <w:rsid w:val="00DB62E2"/>
    <w:rsid w:val="00DB6F2C"/>
    <w:rsid w:val="00DB7E6A"/>
    <w:rsid w:val="00DC097B"/>
    <w:rsid w:val="00DC0F7C"/>
    <w:rsid w:val="00DC374E"/>
    <w:rsid w:val="00DC377D"/>
    <w:rsid w:val="00DC48F0"/>
    <w:rsid w:val="00DC5A2B"/>
    <w:rsid w:val="00DC78E0"/>
    <w:rsid w:val="00DD53DC"/>
    <w:rsid w:val="00DE011D"/>
    <w:rsid w:val="00DE0C68"/>
    <w:rsid w:val="00DE659D"/>
    <w:rsid w:val="00DF1F45"/>
    <w:rsid w:val="00DF31E9"/>
    <w:rsid w:val="00DF34B0"/>
    <w:rsid w:val="00DF35CC"/>
    <w:rsid w:val="00DF3965"/>
    <w:rsid w:val="00DF563B"/>
    <w:rsid w:val="00DF69AA"/>
    <w:rsid w:val="00DF6D01"/>
    <w:rsid w:val="00DF6F2C"/>
    <w:rsid w:val="00DF7C7D"/>
    <w:rsid w:val="00E02127"/>
    <w:rsid w:val="00E03C0C"/>
    <w:rsid w:val="00E04FE0"/>
    <w:rsid w:val="00E050B9"/>
    <w:rsid w:val="00E0536F"/>
    <w:rsid w:val="00E065D3"/>
    <w:rsid w:val="00E070F2"/>
    <w:rsid w:val="00E070FA"/>
    <w:rsid w:val="00E0766E"/>
    <w:rsid w:val="00E106E5"/>
    <w:rsid w:val="00E10740"/>
    <w:rsid w:val="00E109F7"/>
    <w:rsid w:val="00E10BB1"/>
    <w:rsid w:val="00E10DB5"/>
    <w:rsid w:val="00E12330"/>
    <w:rsid w:val="00E1342F"/>
    <w:rsid w:val="00E13C81"/>
    <w:rsid w:val="00E17467"/>
    <w:rsid w:val="00E20B83"/>
    <w:rsid w:val="00E20E3E"/>
    <w:rsid w:val="00E24FBF"/>
    <w:rsid w:val="00E25A7B"/>
    <w:rsid w:val="00E27559"/>
    <w:rsid w:val="00E30FE2"/>
    <w:rsid w:val="00E337BF"/>
    <w:rsid w:val="00E3445D"/>
    <w:rsid w:val="00E3588F"/>
    <w:rsid w:val="00E362AD"/>
    <w:rsid w:val="00E368D1"/>
    <w:rsid w:val="00E414C4"/>
    <w:rsid w:val="00E415DA"/>
    <w:rsid w:val="00E423DB"/>
    <w:rsid w:val="00E444A1"/>
    <w:rsid w:val="00E46068"/>
    <w:rsid w:val="00E46169"/>
    <w:rsid w:val="00E47E9F"/>
    <w:rsid w:val="00E47FCA"/>
    <w:rsid w:val="00E5020B"/>
    <w:rsid w:val="00E52066"/>
    <w:rsid w:val="00E5616D"/>
    <w:rsid w:val="00E562DC"/>
    <w:rsid w:val="00E56DD1"/>
    <w:rsid w:val="00E56EE2"/>
    <w:rsid w:val="00E60478"/>
    <w:rsid w:val="00E61140"/>
    <w:rsid w:val="00E61F41"/>
    <w:rsid w:val="00E63C04"/>
    <w:rsid w:val="00E664D1"/>
    <w:rsid w:val="00E669F5"/>
    <w:rsid w:val="00E66C62"/>
    <w:rsid w:val="00E703C9"/>
    <w:rsid w:val="00E71C80"/>
    <w:rsid w:val="00E7394B"/>
    <w:rsid w:val="00E74B80"/>
    <w:rsid w:val="00E75918"/>
    <w:rsid w:val="00E75E49"/>
    <w:rsid w:val="00E8013F"/>
    <w:rsid w:val="00E80D26"/>
    <w:rsid w:val="00E811B4"/>
    <w:rsid w:val="00E81DE1"/>
    <w:rsid w:val="00E8586E"/>
    <w:rsid w:val="00E85A5E"/>
    <w:rsid w:val="00E875C2"/>
    <w:rsid w:val="00E87A4B"/>
    <w:rsid w:val="00E90132"/>
    <w:rsid w:val="00E928CF"/>
    <w:rsid w:val="00E93CB8"/>
    <w:rsid w:val="00E93F67"/>
    <w:rsid w:val="00E96121"/>
    <w:rsid w:val="00E977AB"/>
    <w:rsid w:val="00E97B67"/>
    <w:rsid w:val="00EA00A3"/>
    <w:rsid w:val="00EA402C"/>
    <w:rsid w:val="00EA554F"/>
    <w:rsid w:val="00EA5EBD"/>
    <w:rsid w:val="00EA7B22"/>
    <w:rsid w:val="00EB0244"/>
    <w:rsid w:val="00EB0F59"/>
    <w:rsid w:val="00EB37BA"/>
    <w:rsid w:val="00EB4210"/>
    <w:rsid w:val="00EB4620"/>
    <w:rsid w:val="00EB49D2"/>
    <w:rsid w:val="00EB783C"/>
    <w:rsid w:val="00EB785D"/>
    <w:rsid w:val="00EC44B4"/>
    <w:rsid w:val="00EC5911"/>
    <w:rsid w:val="00EC6404"/>
    <w:rsid w:val="00EC68B4"/>
    <w:rsid w:val="00EC691E"/>
    <w:rsid w:val="00EC75BA"/>
    <w:rsid w:val="00ED0019"/>
    <w:rsid w:val="00ED0571"/>
    <w:rsid w:val="00ED221F"/>
    <w:rsid w:val="00ED2A0E"/>
    <w:rsid w:val="00ED48B6"/>
    <w:rsid w:val="00ED51FD"/>
    <w:rsid w:val="00ED74E5"/>
    <w:rsid w:val="00EE0671"/>
    <w:rsid w:val="00EE09C2"/>
    <w:rsid w:val="00EE2E49"/>
    <w:rsid w:val="00EE4242"/>
    <w:rsid w:val="00EE5275"/>
    <w:rsid w:val="00EE690F"/>
    <w:rsid w:val="00EF0897"/>
    <w:rsid w:val="00EF0C22"/>
    <w:rsid w:val="00EF226F"/>
    <w:rsid w:val="00EF2E01"/>
    <w:rsid w:val="00EF39C2"/>
    <w:rsid w:val="00EF404B"/>
    <w:rsid w:val="00EF4A31"/>
    <w:rsid w:val="00EF5179"/>
    <w:rsid w:val="00EF61AC"/>
    <w:rsid w:val="00EF6502"/>
    <w:rsid w:val="00EF7166"/>
    <w:rsid w:val="00F00725"/>
    <w:rsid w:val="00F00AE2"/>
    <w:rsid w:val="00F01252"/>
    <w:rsid w:val="00F01A64"/>
    <w:rsid w:val="00F05677"/>
    <w:rsid w:val="00F0616C"/>
    <w:rsid w:val="00F07BD3"/>
    <w:rsid w:val="00F1089D"/>
    <w:rsid w:val="00F111C6"/>
    <w:rsid w:val="00F12D5A"/>
    <w:rsid w:val="00F17003"/>
    <w:rsid w:val="00F172A5"/>
    <w:rsid w:val="00F1735D"/>
    <w:rsid w:val="00F219FB"/>
    <w:rsid w:val="00F223E0"/>
    <w:rsid w:val="00F22F65"/>
    <w:rsid w:val="00F23679"/>
    <w:rsid w:val="00F24996"/>
    <w:rsid w:val="00F24EAF"/>
    <w:rsid w:val="00F2551D"/>
    <w:rsid w:val="00F25AA4"/>
    <w:rsid w:val="00F279C3"/>
    <w:rsid w:val="00F327E0"/>
    <w:rsid w:val="00F35018"/>
    <w:rsid w:val="00F3652B"/>
    <w:rsid w:val="00F3668B"/>
    <w:rsid w:val="00F40468"/>
    <w:rsid w:val="00F4085A"/>
    <w:rsid w:val="00F43CB8"/>
    <w:rsid w:val="00F44233"/>
    <w:rsid w:val="00F45E08"/>
    <w:rsid w:val="00F45F6E"/>
    <w:rsid w:val="00F50C3D"/>
    <w:rsid w:val="00F51F8B"/>
    <w:rsid w:val="00F52B16"/>
    <w:rsid w:val="00F53294"/>
    <w:rsid w:val="00F5508F"/>
    <w:rsid w:val="00F553B2"/>
    <w:rsid w:val="00F5551B"/>
    <w:rsid w:val="00F56A65"/>
    <w:rsid w:val="00F57243"/>
    <w:rsid w:val="00F6029E"/>
    <w:rsid w:val="00F6072C"/>
    <w:rsid w:val="00F6076E"/>
    <w:rsid w:val="00F60D7F"/>
    <w:rsid w:val="00F6105E"/>
    <w:rsid w:val="00F65561"/>
    <w:rsid w:val="00F658B3"/>
    <w:rsid w:val="00F66AEB"/>
    <w:rsid w:val="00F67A6A"/>
    <w:rsid w:val="00F7277F"/>
    <w:rsid w:val="00F734EC"/>
    <w:rsid w:val="00F73568"/>
    <w:rsid w:val="00F74141"/>
    <w:rsid w:val="00F74F75"/>
    <w:rsid w:val="00F75154"/>
    <w:rsid w:val="00F760EF"/>
    <w:rsid w:val="00F76C3E"/>
    <w:rsid w:val="00F778DE"/>
    <w:rsid w:val="00F80A46"/>
    <w:rsid w:val="00F84B2C"/>
    <w:rsid w:val="00F86556"/>
    <w:rsid w:val="00F87154"/>
    <w:rsid w:val="00F87328"/>
    <w:rsid w:val="00F931D4"/>
    <w:rsid w:val="00F931DF"/>
    <w:rsid w:val="00F94AC1"/>
    <w:rsid w:val="00F95D5C"/>
    <w:rsid w:val="00F96302"/>
    <w:rsid w:val="00F96F1C"/>
    <w:rsid w:val="00F97FA4"/>
    <w:rsid w:val="00FA0436"/>
    <w:rsid w:val="00FA0C94"/>
    <w:rsid w:val="00FA0D06"/>
    <w:rsid w:val="00FA189E"/>
    <w:rsid w:val="00FA21FB"/>
    <w:rsid w:val="00FA6A51"/>
    <w:rsid w:val="00FA764F"/>
    <w:rsid w:val="00FB0D6B"/>
    <w:rsid w:val="00FB14C9"/>
    <w:rsid w:val="00FB5468"/>
    <w:rsid w:val="00FB5AA7"/>
    <w:rsid w:val="00FB776F"/>
    <w:rsid w:val="00FC067A"/>
    <w:rsid w:val="00FC12E7"/>
    <w:rsid w:val="00FC45EC"/>
    <w:rsid w:val="00FC60F9"/>
    <w:rsid w:val="00FC6374"/>
    <w:rsid w:val="00FD1BE9"/>
    <w:rsid w:val="00FD1E3D"/>
    <w:rsid w:val="00FD436F"/>
    <w:rsid w:val="00FD4663"/>
    <w:rsid w:val="00FD55C2"/>
    <w:rsid w:val="00FD5DA2"/>
    <w:rsid w:val="00FD6860"/>
    <w:rsid w:val="00FD6BE7"/>
    <w:rsid w:val="00FD6EE1"/>
    <w:rsid w:val="00FD7781"/>
    <w:rsid w:val="00FE04AC"/>
    <w:rsid w:val="00FE10AD"/>
    <w:rsid w:val="00FE1A42"/>
    <w:rsid w:val="00FE1E02"/>
    <w:rsid w:val="00FE2404"/>
    <w:rsid w:val="00FE6CAC"/>
    <w:rsid w:val="00FE769B"/>
    <w:rsid w:val="00FF2C7F"/>
    <w:rsid w:val="00FF47D5"/>
    <w:rsid w:val="00FF4AFC"/>
    <w:rsid w:val="00FF5A9A"/>
    <w:rsid w:val="00FF7409"/>
    <w:rsid w:val="015B3E36"/>
    <w:rsid w:val="02FB871A"/>
    <w:rsid w:val="03549D76"/>
    <w:rsid w:val="041DE5D8"/>
    <w:rsid w:val="045FFCF7"/>
    <w:rsid w:val="06A4C57D"/>
    <w:rsid w:val="06BCA911"/>
    <w:rsid w:val="07729547"/>
    <w:rsid w:val="07B8856B"/>
    <w:rsid w:val="07DFD98B"/>
    <w:rsid w:val="07EAFF73"/>
    <w:rsid w:val="0805656F"/>
    <w:rsid w:val="085AD38D"/>
    <w:rsid w:val="09031A9F"/>
    <w:rsid w:val="0AA91DDB"/>
    <w:rsid w:val="0AF02C22"/>
    <w:rsid w:val="0AFE4B4A"/>
    <w:rsid w:val="0B63D146"/>
    <w:rsid w:val="0CB18E8D"/>
    <w:rsid w:val="0CC5E898"/>
    <w:rsid w:val="0EB77649"/>
    <w:rsid w:val="0EEB99F2"/>
    <w:rsid w:val="0F37814D"/>
    <w:rsid w:val="0FC6537F"/>
    <w:rsid w:val="0FE572BB"/>
    <w:rsid w:val="102E1BF7"/>
    <w:rsid w:val="116CC2F5"/>
    <w:rsid w:val="1248CC16"/>
    <w:rsid w:val="12EAF95A"/>
    <w:rsid w:val="14B8E3DE"/>
    <w:rsid w:val="1500B45C"/>
    <w:rsid w:val="15660800"/>
    <w:rsid w:val="159BB983"/>
    <w:rsid w:val="15DC898E"/>
    <w:rsid w:val="167DAC9F"/>
    <w:rsid w:val="1686EBC4"/>
    <w:rsid w:val="16EBCD24"/>
    <w:rsid w:val="17221DCC"/>
    <w:rsid w:val="18181F88"/>
    <w:rsid w:val="1A1EE034"/>
    <w:rsid w:val="1BAC35FB"/>
    <w:rsid w:val="1BE02633"/>
    <w:rsid w:val="1C33C344"/>
    <w:rsid w:val="1C5E0DD6"/>
    <w:rsid w:val="1D8D2961"/>
    <w:rsid w:val="1E8462BB"/>
    <w:rsid w:val="20239FA4"/>
    <w:rsid w:val="204011B9"/>
    <w:rsid w:val="220D285B"/>
    <w:rsid w:val="22FEB1E1"/>
    <w:rsid w:val="231E7366"/>
    <w:rsid w:val="2322F723"/>
    <w:rsid w:val="23558F32"/>
    <w:rsid w:val="24419DEB"/>
    <w:rsid w:val="25725E17"/>
    <w:rsid w:val="259451D9"/>
    <w:rsid w:val="2642A02D"/>
    <w:rsid w:val="275597D8"/>
    <w:rsid w:val="27E44FFE"/>
    <w:rsid w:val="27FDBE3C"/>
    <w:rsid w:val="28F0FE93"/>
    <w:rsid w:val="291B61C7"/>
    <w:rsid w:val="29461374"/>
    <w:rsid w:val="2A3F34CB"/>
    <w:rsid w:val="2A525A40"/>
    <w:rsid w:val="2ACB0C4C"/>
    <w:rsid w:val="2AEA52C2"/>
    <w:rsid w:val="2B19065F"/>
    <w:rsid w:val="2BEC093C"/>
    <w:rsid w:val="2C2596A1"/>
    <w:rsid w:val="2D7BB5C4"/>
    <w:rsid w:val="2E4786F9"/>
    <w:rsid w:val="2EC0BBAB"/>
    <w:rsid w:val="3077D484"/>
    <w:rsid w:val="3092D434"/>
    <w:rsid w:val="30BF9231"/>
    <w:rsid w:val="3179D139"/>
    <w:rsid w:val="3198A007"/>
    <w:rsid w:val="31B4645A"/>
    <w:rsid w:val="31B61D11"/>
    <w:rsid w:val="321ECE2A"/>
    <w:rsid w:val="3240A267"/>
    <w:rsid w:val="32A5AA5C"/>
    <w:rsid w:val="32A984A3"/>
    <w:rsid w:val="344DCFC1"/>
    <w:rsid w:val="347FD11F"/>
    <w:rsid w:val="35C7CBE5"/>
    <w:rsid w:val="35ED4183"/>
    <w:rsid w:val="36631F14"/>
    <w:rsid w:val="372DEDE5"/>
    <w:rsid w:val="377FF41B"/>
    <w:rsid w:val="379AD93F"/>
    <w:rsid w:val="39DE8538"/>
    <w:rsid w:val="3A453CEE"/>
    <w:rsid w:val="3A6026DE"/>
    <w:rsid w:val="3ACADEF5"/>
    <w:rsid w:val="3AE3CDED"/>
    <w:rsid w:val="3AF0767D"/>
    <w:rsid w:val="3BFBF73F"/>
    <w:rsid w:val="3CFFF8EA"/>
    <w:rsid w:val="3ECBBC25"/>
    <w:rsid w:val="3F66A84E"/>
    <w:rsid w:val="3F7762C3"/>
    <w:rsid w:val="409BDA00"/>
    <w:rsid w:val="40B70F4D"/>
    <w:rsid w:val="42056397"/>
    <w:rsid w:val="427FA7BE"/>
    <w:rsid w:val="439AFF5A"/>
    <w:rsid w:val="43BC814B"/>
    <w:rsid w:val="4421BF26"/>
    <w:rsid w:val="444FB8EC"/>
    <w:rsid w:val="445A032F"/>
    <w:rsid w:val="448897F4"/>
    <w:rsid w:val="44C38929"/>
    <w:rsid w:val="44D4BBCA"/>
    <w:rsid w:val="4620BB8F"/>
    <w:rsid w:val="469C0441"/>
    <w:rsid w:val="4781A483"/>
    <w:rsid w:val="47BC224A"/>
    <w:rsid w:val="47C700DF"/>
    <w:rsid w:val="47E6857E"/>
    <w:rsid w:val="49F692BA"/>
    <w:rsid w:val="49FAA997"/>
    <w:rsid w:val="4A1C7291"/>
    <w:rsid w:val="4A6CFD57"/>
    <w:rsid w:val="4A88801C"/>
    <w:rsid w:val="4A930667"/>
    <w:rsid w:val="4A9800D7"/>
    <w:rsid w:val="4ADCFBAE"/>
    <w:rsid w:val="4B72FE91"/>
    <w:rsid w:val="4C4D18DC"/>
    <w:rsid w:val="4C8F936D"/>
    <w:rsid w:val="4DE98E18"/>
    <w:rsid w:val="4EEAD806"/>
    <w:rsid w:val="4F39771E"/>
    <w:rsid w:val="4F8BAD4B"/>
    <w:rsid w:val="5047BD9D"/>
    <w:rsid w:val="50FE0D0F"/>
    <w:rsid w:val="53A9D2C0"/>
    <w:rsid w:val="5647B08A"/>
    <w:rsid w:val="564C8FF0"/>
    <w:rsid w:val="56E85F5F"/>
    <w:rsid w:val="56FE4FFC"/>
    <w:rsid w:val="576D08D1"/>
    <w:rsid w:val="57C65A6F"/>
    <w:rsid w:val="587A21AC"/>
    <w:rsid w:val="58C8DC79"/>
    <w:rsid w:val="594472F2"/>
    <w:rsid w:val="59630A49"/>
    <w:rsid w:val="5981089B"/>
    <w:rsid w:val="5A15F20D"/>
    <w:rsid w:val="5ACFFEA6"/>
    <w:rsid w:val="5B108D69"/>
    <w:rsid w:val="5B2A691B"/>
    <w:rsid w:val="5B38A4BC"/>
    <w:rsid w:val="5D29D80C"/>
    <w:rsid w:val="5E285EFF"/>
    <w:rsid w:val="5E3BDED5"/>
    <w:rsid w:val="5F92C513"/>
    <w:rsid w:val="5FE5457F"/>
    <w:rsid w:val="61541458"/>
    <w:rsid w:val="62CF7548"/>
    <w:rsid w:val="6643F71A"/>
    <w:rsid w:val="679C50AD"/>
    <w:rsid w:val="67E140AC"/>
    <w:rsid w:val="67F20161"/>
    <w:rsid w:val="680E733B"/>
    <w:rsid w:val="68386294"/>
    <w:rsid w:val="6A00BE11"/>
    <w:rsid w:val="6A0D0A1A"/>
    <w:rsid w:val="6C34414A"/>
    <w:rsid w:val="6C769824"/>
    <w:rsid w:val="6CF68785"/>
    <w:rsid w:val="6D110D9D"/>
    <w:rsid w:val="6D3F3725"/>
    <w:rsid w:val="6F8E3A35"/>
    <w:rsid w:val="6FF18D36"/>
    <w:rsid w:val="712B3182"/>
    <w:rsid w:val="713B96BC"/>
    <w:rsid w:val="71546DCA"/>
    <w:rsid w:val="7172BA36"/>
    <w:rsid w:val="71E1D7FD"/>
    <w:rsid w:val="73D8462F"/>
    <w:rsid w:val="7400C52A"/>
    <w:rsid w:val="76621277"/>
    <w:rsid w:val="7673C648"/>
    <w:rsid w:val="769FE064"/>
    <w:rsid w:val="76CCF10E"/>
    <w:rsid w:val="76DA2746"/>
    <w:rsid w:val="7806F193"/>
    <w:rsid w:val="79AB670A"/>
    <w:rsid w:val="79E844D8"/>
    <w:rsid w:val="7B19237C"/>
    <w:rsid w:val="7CAA1230"/>
    <w:rsid w:val="7CBFC7D5"/>
    <w:rsid w:val="7CCC8D2A"/>
    <w:rsid w:val="7CE82BDB"/>
    <w:rsid w:val="7D1498D5"/>
    <w:rsid w:val="7D5988D4"/>
    <w:rsid w:val="7DECBB0E"/>
    <w:rsid w:val="7EB06936"/>
    <w:rsid w:val="7F0E00C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D0C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Palatino" w:hAnsi="Palatino"/>
      <w:sz w:val="26"/>
    </w:rPr>
  </w:style>
  <w:style w:type="paragraph" w:styleId="Heading1">
    <w:name w:val="heading 1"/>
    <w:basedOn w:val="Normal"/>
    <w:next w:val="standard"/>
    <w:qFormat/>
    <w:rsid w:val="00E24FBF"/>
    <w:pPr>
      <w:keepNext/>
      <w:spacing w:before="120" w:after="240"/>
      <w:outlineLvl w:val="0"/>
    </w:pPr>
    <w:rPr>
      <w:rFonts w:ascii="Helvetica" w:hAnsi="Helvetica"/>
      <w:b/>
      <w:caps/>
      <w:color w:val="000000" w:themeColor="text1"/>
      <w:kern w:val="28"/>
      <w:szCs w:val="26"/>
      <w:u w:val="single"/>
    </w:rPr>
  </w:style>
  <w:style w:type="paragraph" w:styleId="Heading2">
    <w:name w:val="heading 2"/>
    <w:basedOn w:val="Normal"/>
    <w:next w:val="sub1"/>
    <w:qFormat/>
    <w:pPr>
      <w:keepNext/>
      <w:numPr>
        <w:ilvl w:val="1"/>
        <w:numId w:val="3"/>
      </w:numPr>
      <w:spacing w:before="120" w:after="120"/>
      <w:outlineLvl w:val="1"/>
    </w:pPr>
    <w:rPr>
      <w:rFonts w:ascii="Helvetica" w:hAnsi="Helvetica"/>
      <w:b/>
      <w:i/>
    </w:rPr>
  </w:style>
  <w:style w:type="paragraph" w:styleId="Heading3">
    <w:name w:val="heading 3"/>
    <w:basedOn w:val="Normal"/>
    <w:next w:val="sub2"/>
    <w:qFormat/>
    <w:pPr>
      <w:keepNext/>
      <w:spacing w:before="120" w:after="120"/>
      <w:ind w:firstLine="2160"/>
      <w:outlineLvl w:val="2"/>
    </w:pPr>
    <w:rPr>
      <w:rFonts w:ascii="Helvetica" w:hAnsi="Helvetica"/>
      <w:b/>
    </w:rPr>
  </w:style>
  <w:style w:type="paragraph" w:styleId="Heading4">
    <w:name w:val="heading 4"/>
    <w:basedOn w:val="NormalWeb"/>
    <w:next w:val="sub3"/>
    <w:qFormat/>
    <w:rsid w:val="00097E79"/>
    <w:pPr>
      <w:spacing w:line="360" w:lineRule="auto"/>
      <w:outlineLvl w:val="3"/>
    </w:pPr>
    <w:rPr>
      <w:rFonts w:ascii="Helvetica" w:hAnsi="Helvetica" w:cs="Arial"/>
      <w:b/>
      <w:bCs/>
      <w:sz w:val="26"/>
      <w:szCs w:val="26"/>
    </w:rPr>
  </w:style>
  <w:style w:type="paragraph" w:styleId="Heading5">
    <w:name w:val="heading 5"/>
    <w:basedOn w:val="Normal"/>
    <w:next w:val="sub4"/>
    <w:qFormat/>
    <w:pPr>
      <w:spacing w:before="120" w:after="120"/>
      <w:ind w:firstLine="3600"/>
      <w:outlineLvl w:val="4"/>
    </w:pPr>
    <w:rPr>
      <w:rFonts w:ascii="Helvetica" w:hAnsi="Helvetica"/>
      <w:b/>
    </w:rPr>
  </w:style>
  <w:style w:type="paragraph" w:styleId="Heading6">
    <w:name w:val="heading 6"/>
    <w:basedOn w:val="Normal"/>
    <w:next w:val="Normal"/>
    <w:qFormat/>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numPr>
        <w:numId w:val="3"/>
      </w:numPr>
      <w:spacing w:after="240"/>
    </w:pPr>
    <w:rPr>
      <w:sz w:val="24"/>
    </w:rPr>
  </w:style>
  <w:style w:type="paragraph" w:styleId="EndnoteText">
    <w:name w:val="endnote text"/>
    <w:basedOn w:val="Normal"/>
    <w:semiHidden/>
    <w:rPr>
      <w:sz w:val="20"/>
    </w:rPr>
  </w:style>
  <w:style w:type="paragraph" w:customStyle="1" w:styleId="standard">
    <w:name w:val="standard"/>
    <w:basedOn w:val="Normal"/>
    <w:pPr>
      <w:spacing w:line="360" w:lineRule="auto"/>
      <w:ind w:firstLine="720"/>
    </w:pPr>
  </w:style>
  <w:style w:type="paragraph" w:styleId="Subtitle">
    <w:name w:val="Subtitle"/>
    <w:basedOn w:val="Normal"/>
    <w:qFormat/>
    <w:pPr>
      <w:spacing w:after="60"/>
      <w:jc w:val="center"/>
    </w:pPr>
    <w:rPr>
      <w:rFonts w:ascii="Arial" w:hAnsi="Arial"/>
    </w:rPr>
  </w:style>
  <w:style w:type="paragraph" w:customStyle="1" w:styleId="Quote1">
    <w:name w:val="Quote1"/>
    <w:basedOn w:val="standard"/>
    <w:next w:val="standard"/>
    <w:pPr>
      <w:spacing w:before="120" w:after="240" w:line="240" w:lineRule="auto"/>
      <w:ind w:left="720" w:right="720" w:firstLine="0"/>
    </w:pPr>
  </w:style>
  <w:style w:type="paragraph" w:customStyle="1" w:styleId="Style1">
    <w:name w:val="Style1"/>
    <w:basedOn w:val="1ListIndent"/>
    <w:pPr>
      <w:numPr>
        <w:numId w:val="0"/>
      </w:numPr>
    </w:pPr>
  </w:style>
  <w:style w:type="paragraph" w:styleId="TOC4">
    <w:name w:val="toc 4"/>
    <w:basedOn w:val="Normal"/>
    <w:next w:val="Normal"/>
    <w:semiHidden/>
    <w:pPr>
      <w:tabs>
        <w:tab w:val="right" w:leader="dot" w:pos="9360"/>
      </w:tabs>
      <w:ind w:left="720"/>
    </w:pPr>
  </w:style>
  <w:style w:type="paragraph" w:customStyle="1" w:styleId="main">
    <w:name w:val="main"/>
    <w:basedOn w:val="Normal"/>
    <w:pPr>
      <w:jc w:val="center"/>
    </w:pPr>
    <w:rPr>
      <w:rFonts w:ascii="Helvetica" w:hAnsi="Helvetica"/>
      <w:b/>
    </w:rPr>
  </w:style>
  <w:style w:type="paragraph" w:customStyle="1" w:styleId="mainex">
    <w:name w:val="mainex"/>
    <w:basedOn w:val="main"/>
    <w:pPr>
      <w:keepNext/>
    </w:pPr>
    <w:rPr>
      <w:spacing w:val="120"/>
    </w:rPr>
  </w:style>
  <w:style w:type="paragraph" w:customStyle="1" w:styleId="num1">
    <w:name w:val="num1"/>
    <w:basedOn w:val="Normal"/>
    <w:pPr>
      <w:tabs>
        <w:tab w:val="left" w:pos="-720"/>
      </w:tabs>
      <w:suppressAutoHyphens/>
      <w:spacing w:after="240"/>
    </w:pPr>
  </w:style>
  <w:style w:type="paragraph" w:styleId="Header">
    <w:name w:val="header"/>
    <w:basedOn w:val="Normal"/>
    <w:link w:val="HeaderChar"/>
    <w:uiPriority w:val="99"/>
    <w:pPr>
      <w:widowControl w:val="0"/>
      <w:tabs>
        <w:tab w:val="center" w:pos="4320"/>
        <w:tab w:val="right" w:pos="8640"/>
      </w:tabs>
    </w:pPr>
  </w:style>
  <w:style w:type="paragraph" w:customStyle="1" w:styleId="num2">
    <w:name w:val="num2"/>
    <w:basedOn w:val="num1"/>
    <w:pPr>
      <w:ind w:firstLine="270"/>
    </w:pPr>
  </w:style>
  <w:style w:type="paragraph" w:styleId="Footer">
    <w:name w:val="footer"/>
    <w:basedOn w:val="Normal"/>
    <w:pPr>
      <w:tabs>
        <w:tab w:val="center" w:pos="4320"/>
        <w:tab w:val="right" w:pos="8640"/>
      </w:tabs>
      <w:jc w:val="center"/>
    </w:pPr>
  </w:style>
  <w:style w:type="paragraph" w:customStyle="1" w:styleId="sub1">
    <w:name w:val="sub1"/>
    <w:basedOn w:val="Normal"/>
    <w:pPr>
      <w:spacing w:line="360" w:lineRule="auto"/>
      <w:ind w:firstLine="1440"/>
    </w:pPr>
  </w:style>
  <w:style w:type="paragraph" w:customStyle="1" w:styleId="titlebar">
    <w:name w:val="title bar"/>
    <w:basedOn w:val="main"/>
    <w:pPr>
      <w:keepNext/>
      <w:suppressAutoHyphens/>
    </w:pPr>
  </w:style>
  <w:style w:type="character" w:styleId="PageNumber">
    <w:name w:val="page number"/>
    <w:basedOn w:val="DefaultParagraphFont"/>
  </w:style>
  <w:style w:type="paragraph" w:customStyle="1" w:styleId="sub2">
    <w:name w:val="sub2"/>
    <w:basedOn w:val="Normal"/>
    <w:pPr>
      <w:spacing w:line="360" w:lineRule="auto"/>
      <w:ind w:firstLine="2160"/>
    </w:pPr>
  </w:style>
  <w:style w:type="paragraph" w:customStyle="1" w:styleId="sub3">
    <w:name w:val="sub3"/>
    <w:basedOn w:val="Normal"/>
    <w:pPr>
      <w:spacing w:line="360" w:lineRule="auto"/>
      <w:ind w:firstLine="2880"/>
    </w:pPr>
  </w:style>
  <w:style w:type="paragraph" w:customStyle="1" w:styleId="sub4">
    <w:name w:val="sub4"/>
    <w:basedOn w:val="Normal"/>
    <w:pPr>
      <w:ind w:firstLine="3600"/>
    </w:pPr>
  </w:style>
  <w:style w:type="paragraph" w:customStyle="1" w:styleId="dummy">
    <w:name w:val="dummy"/>
    <w:basedOn w:val="Heading1"/>
    <w:pPr>
      <w:outlineLvl w:val="9"/>
    </w:pPr>
  </w:style>
  <w:style w:type="paragraph" w:customStyle="1" w:styleId="AListIndent">
    <w:name w:val="A. List Indent"/>
    <w:basedOn w:val="1ListIndent"/>
    <w:pPr>
      <w:numPr>
        <w:numId w:val="1"/>
      </w:numPr>
    </w:pPr>
  </w:style>
  <w:style w:type="character" w:styleId="EndnoteReference">
    <w:name w:val="endnote reference"/>
    <w:semiHidden/>
    <w:rPr>
      <w:vertAlign w:val="superscript"/>
    </w:rPr>
  </w:style>
  <w:style w:type="paragraph" w:customStyle="1" w:styleId="1ListIndent">
    <w:name w:val="1. List Indent"/>
    <w:basedOn w:val="num2"/>
    <w:pPr>
      <w:numPr>
        <w:numId w:val="2"/>
      </w:numPr>
    </w:pPr>
  </w:style>
  <w:style w:type="character" w:styleId="FootnoteReference">
    <w:name w:val="footnote reference"/>
    <w:semiHidden/>
    <w:rPr>
      <w:vertAlign w:val="superscript"/>
    </w:rPr>
  </w:style>
  <w:style w:type="paragraph" w:styleId="List">
    <w:name w:val="List"/>
    <w:basedOn w:val="Normal"/>
    <w:pPr>
      <w:ind w:left="360" w:hanging="360"/>
    </w:pPr>
    <w:rPr>
      <w:rFonts w:ascii="Times New Roman" w:hAnsi="Times New Roman"/>
      <w:sz w:val="24"/>
    </w:rPr>
  </w:style>
  <w:style w:type="paragraph" w:customStyle="1" w:styleId="Res-Caption">
    <w:name w:val="Res-Caption"/>
    <w:basedOn w:val="Normal"/>
    <w:pPr>
      <w:ind w:left="720" w:right="720"/>
    </w:pPr>
  </w:style>
  <w:style w:type="paragraph" w:customStyle="1" w:styleId="Res-TitleResolution">
    <w:name w:val="Res-Title (Resolution)"/>
    <w:basedOn w:val="main"/>
  </w:style>
  <w:style w:type="paragraph" w:customStyle="1" w:styleId="ALs">
    <w:name w:val="ALs"/>
    <w:basedOn w:val="Normal"/>
    <w:rPr>
      <w:rFonts w:ascii="Times New Roman" w:hAnsi="Times New Roman"/>
      <w:sz w:val="24"/>
    </w:rPr>
  </w:style>
  <w:style w:type="paragraph" w:styleId="ListParagraph">
    <w:name w:val="List Paragraph"/>
    <w:basedOn w:val="Normal"/>
    <w:uiPriority w:val="34"/>
    <w:qFormat/>
    <w:rsid w:val="003F6E5A"/>
    <w:pPr>
      <w:ind w:left="720"/>
      <w:contextualSpacing/>
    </w:pPr>
  </w:style>
  <w:style w:type="paragraph" w:styleId="BalloonText">
    <w:name w:val="Balloon Text"/>
    <w:basedOn w:val="Normal"/>
    <w:link w:val="BalloonTextChar"/>
    <w:rsid w:val="00D822FD"/>
    <w:rPr>
      <w:rFonts w:ascii="Segoe UI" w:hAnsi="Segoe UI" w:cs="Segoe UI"/>
      <w:sz w:val="18"/>
      <w:szCs w:val="18"/>
    </w:rPr>
  </w:style>
  <w:style w:type="character" w:customStyle="1" w:styleId="BalloonTextChar">
    <w:name w:val="Balloon Text Char"/>
    <w:basedOn w:val="DefaultParagraphFont"/>
    <w:link w:val="BalloonText"/>
    <w:rsid w:val="00D822FD"/>
    <w:rPr>
      <w:rFonts w:ascii="Segoe UI" w:hAnsi="Segoe UI" w:cs="Segoe UI"/>
      <w:sz w:val="18"/>
      <w:szCs w:val="18"/>
    </w:rPr>
  </w:style>
  <w:style w:type="character" w:styleId="Hyperlink">
    <w:name w:val="Hyperlink"/>
    <w:basedOn w:val="DefaultParagraphFont"/>
    <w:unhideWhenUsed/>
    <w:rsid w:val="00AC1A7A"/>
    <w:rPr>
      <w:color w:val="0000FF" w:themeColor="hyperlink"/>
      <w:u w:val="single"/>
    </w:rPr>
  </w:style>
  <w:style w:type="character" w:styleId="UnresolvedMention">
    <w:name w:val="Unresolved Mention"/>
    <w:basedOn w:val="DefaultParagraphFont"/>
    <w:uiPriority w:val="99"/>
    <w:unhideWhenUsed/>
    <w:rsid w:val="00AC1A7A"/>
    <w:rPr>
      <w:color w:val="605E5C"/>
      <w:shd w:val="clear" w:color="auto" w:fill="E1DFDD"/>
    </w:rPr>
  </w:style>
  <w:style w:type="character" w:styleId="CommentReference">
    <w:name w:val="annotation reference"/>
    <w:basedOn w:val="DefaultParagraphFont"/>
    <w:semiHidden/>
    <w:unhideWhenUsed/>
    <w:rsid w:val="00FC45EC"/>
    <w:rPr>
      <w:sz w:val="16"/>
      <w:szCs w:val="16"/>
    </w:rPr>
  </w:style>
  <w:style w:type="paragraph" w:styleId="CommentText">
    <w:name w:val="annotation text"/>
    <w:basedOn w:val="Normal"/>
    <w:link w:val="CommentTextChar"/>
    <w:semiHidden/>
    <w:unhideWhenUsed/>
    <w:rsid w:val="00FC45EC"/>
    <w:rPr>
      <w:sz w:val="20"/>
    </w:rPr>
  </w:style>
  <w:style w:type="character" w:customStyle="1" w:styleId="CommentTextChar">
    <w:name w:val="Comment Text Char"/>
    <w:basedOn w:val="DefaultParagraphFont"/>
    <w:link w:val="CommentText"/>
    <w:semiHidden/>
    <w:rsid w:val="00FC45EC"/>
    <w:rPr>
      <w:rFonts w:ascii="Palatino" w:hAnsi="Palatino"/>
    </w:rPr>
  </w:style>
  <w:style w:type="paragraph" w:styleId="CommentSubject">
    <w:name w:val="annotation subject"/>
    <w:basedOn w:val="CommentText"/>
    <w:next w:val="CommentText"/>
    <w:link w:val="CommentSubjectChar"/>
    <w:semiHidden/>
    <w:unhideWhenUsed/>
    <w:rsid w:val="00FC45EC"/>
    <w:rPr>
      <w:b/>
      <w:bCs/>
    </w:rPr>
  </w:style>
  <w:style w:type="character" w:customStyle="1" w:styleId="CommentSubjectChar">
    <w:name w:val="Comment Subject Char"/>
    <w:basedOn w:val="CommentTextChar"/>
    <w:link w:val="CommentSubject"/>
    <w:semiHidden/>
    <w:rsid w:val="00FC45EC"/>
    <w:rPr>
      <w:rFonts w:ascii="Palatino" w:hAnsi="Palatino"/>
      <w:b/>
      <w:bCs/>
    </w:rPr>
  </w:style>
  <w:style w:type="character" w:styleId="FollowedHyperlink">
    <w:name w:val="FollowedHyperlink"/>
    <w:basedOn w:val="DefaultParagraphFont"/>
    <w:semiHidden/>
    <w:unhideWhenUsed/>
    <w:rsid w:val="00C41910"/>
    <w:rPr>
      <w:color w:val="800080" w:themeColor="followedHyperlink"/>
      <w:u w:val="single"/>
    </w:rPr>
  </w:style>
  <w:style w:type="paragraph" w:customStyle="1" w:styleId="Default">
    <w:name w:val="Default"/>
    <w:rsid w:val="00B16F69"/>
    <w:pPr>
      <w:autoSpaceDE w:val="0"/>
      <w:autoSpaceDN w:val="0"/>
      <w:adjustRightInd w:val="0"/>
    </w:pPr>
    <w:rPr>
      <w:rFonts w:ascii="Book Antiqua" w:hAnsi="Book Antiqua" w:cs="Book Antiqua"/>
      <w:color w:val="000000"/>
      <w:sz w:val="24"/>
      <w:szCs w:val="24"/>
    </w:rPr>
  </w:style>
  <w:style w:type="paragraph" w:customStyle="1" w:styleId="Body">
    <w:name w:val="Body"/>
    <w:rsid w:val="00B16F69"/>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paragraph" w:styleId="NormalWeb">
    <w:name w:val="Normal (Web)"/>
    <w:basedOn w:val="Normal"/>
    <w:uiPriority w:val="99"/>
    <w:unhideWhenUsed/>
    <w:rsid w:val="00E75918"/>
    <w:pPr>
      <w:spacing w:before="100" w:beforeAutospacing="1" w:after="100" w:afterAutospacing="1"/>
    </w:pPr>
    <w:rPr>
      <w:rFonts w:ascii="Times New Roman" w:hAnsi="Times New Roman"/>
      <w:sz w:val="24"/>
      <w:szCs w:val="24"/>
    </w:rPr>
  </w:style>
  <w:style w:type="paragraph" w:styleId="Quote">
    <w:name w:val="Quote"/>
    <w:basedOn w:val="Normal"/>
    <w:next w:val="Normal"/>
    <w:link w:val="QuoteChar"/>
    <w:uiPriority w:val="29"/>
    <w:qFormat/>
    <w:rsid w:val="00EA402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A402C"/>
    <w:rPr>
      <w:rFonts w:ascii="Palatino" w:hAnsi="Palatino"/>
      <w:i/>
      <w:iCs/>
      <w:color w:val="404040" w:themeColor="text1" w:themeTint="BF"/>
      <w:sz w:val="26"/>
    </w:rPr>
  </w:style>
  <w:style w:type="paragraph" w:styleId="Revision">
    <w:name w:val="Revision"/>
    <w:hidden/>
    <w:uiPriority w:val="99"/>
    <w:semiHidden/>
    <w:rsid w:val="000D3726"/>
    <w:rPr>
      <w:rFonts w:ascii="Palatino" w:hAnsi="Palatino"/>
      <w:sz w:val="26"/>
    </w:rPr>
  </w:style>
  <w:style w:type="character" w:styleId="Mention">
    <w:name w:val="Mention"/>
    <w:basedOn w:val="DefaultParagraphFont"/>
    <w:uiPriority w:val="99"/>
    <w:unhideWhenUsed/>
    <w:rsid w:val="00370D8A"/>
    <w:rPr>
      <w:color w:val="2B579A"/>
      <w:shd w:val="clear" w:color="auto" w:fill="E1DFDD"/>
    </w:rPr>
  </w:style>
  <w:style w:type="character" w:customStyle="1" w:styleId="HeaderChar">
    <w:name w:val="Header Char"/>
    <w:basedOn w:val="DefaultParagraphFont"/>
    <w:link w:val="Header"/>
    <w:uiPriority w:val="99"/>
    <w:rsid w:val="00951F07"/>
    <w:rPr>
      <w:rFonts w:ascii="Palatino" w:hAnsi="Palatino"/>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57362">
      <w:bodyDiv w:val="1"/>
      <w:marLeft w:val="0"/>
      <w:marRight w:val="0"/>
      <w:marTop w:val="0"/>
      <w:marBottom w:val="0"/>
      <w:divBdr>
        <w:top w:val="none" w:sz="0" w:space="0" w:color="auto"/>
        <w:left w:val="none" w:sz="0" w:space="0" w:color="auto"/>
        <w:bottom w:val="none" w:sz="0" w:space="0" w:color="auto"/>
        <w:right w:val="none" w:sz="0" w:space="0" w:color="auto"/>
      </w:divBdr>
      <w:divsChild>
        <w:div w:id="952859967">
          <w:marLeft w:val="0"/>
          <w:marRight w:val="0"/>
          <w:marTop w:val="0"/>
          <w:marBottom w:val="0"/>
          <w:divBdr>
            <w:top w:val="none" w:sz="0" w:space="0" w:color="auto"/>
            <w:left w:val="none" w:sz="0" w:space="0" w:color="auto"/>
            <w:bottom w:val="none" w:sz="0" w:space="0" w:color="auto"/>
            <w:right w:val="none" w:sz="0" w:space="0" w:color="auto"/>
          </w:divBdr>
          <w:divsChild>
            <w:div w:id="198786881">
              <w:marLeft w:val="0"/>
              <w:marRight w:val="0"/>
              <w:marTop w:val="0"/>
              <w:marBottom w:val="0"/>
              <w:divBdr>
                <w:top w:val="none" w:sz="0" w:space="0" w:color="auto"/>
                <w:left w:val="none" w:sz="0" w:space="0" w:color="auto"/>
                <w:bottom w:val="none" w:sz="0" w:space="0" w:color="auto"/>
                <w:right w:val="none" w:sz="0" w:space="0" w:color="auto"/>
              </w:divBdr>
              <w:divsChild>
                <w:div w:id="54645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52364">
      <w:bodyDiv w:val="1"/>
      <w:marLeft w:val="0"/>
      <w:marRight w:val="0"/>
      <w:marTop w:val="0"/>
      <w:marBottom w:val="0"/>
      <w:divBdr>
        <w:top w:val="none" w:sz="0" w:space="0" w:color="auto"/>
        <w:left w:val="none" w:sz="0" w:space="0" w:color="auto"/>
        <w:bottom w:val="none" w:sz="0" w:space="0" w:color="auto"/>
        <w:right w:val="none" w:sz="0" w:space="0" w:color="auto"/>
      </w:divBdr>
      <w:divsChild>
        <w:div w:id="1838497156">
          <w:marLeft w:val="0"/>
          <w:marRight w:val="0"/>
          <w:marTop w:val="0"/>
          <w:marBottom w:val="0"/>
          <w:divBdr>
            <w:top w:val="none" w:sz="0" w:space="0" w:color="auto"/>
            <w:left w:val="none" w:sz="0" w:space="0" w:color="auto"/>
            <w:bottom w:val="none" w:sz="0" w:space="0" w:color="auto"/>
            <w:right w:val="none" w:sz="0" w:space="0" w:color="auto"/>
          </w:divBdr>
          <w:divsChild>
            <w:div w:id="648480494">
              <w:marLeft w:val="0"/>
              <w:marRight w:val="0"/>
              <w:marTop w:val="0"/>
              <w:marBottom w:val="0"/>
              <w:divBdr>
                <w:top w:val="none" w:sz="0" w:space="0" w:color="auto"/>
                <w:left w:val="none" w:sz="0" w:space="0" w:color="auto"/>
                <w:bottom w:val="none" w:sz="0" w:space="0" w:color="auto"/>
                <w:right w:val="none" w:sz="0" w:space="0" w:color="auto"/>
              </w:divBdr>
              <w:divsChild>
                <w:div w:id="74889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06956">
      <w:bodyDiv w:val="1"/>
      <w:marLeft w:val="0"/>
      <w:marRight w:val="0"/>
      <w:marTop w:val="0"/>
      <w:marBottom w:val="0"/>
      <w:divBdr>
        <w:top w:val="none" w:sz="0" w:space="0" w:color="auto"/>
        <w:left w:val="none" w:sz="0" w:space="0" w:color="auto"/>
        <w:bottom w:val="none" w:sz="0" w:space="0" w:color="auto"/>
        <w:right w:val="none" w:sz="0" w:space="0" w:color="auto"/>
      </w:divBdr>
      <w:divsChild>
        <w:div w:id="2101371067">
          <w:marLeft w:val="0"/>
          <w:marRight w:val="0"/>
          <w:marTop w:val="0"/>
          <w:marBottom w:val="0"/>
          <w:divBdr>
            <w:top w:val="none" w:sz="0" w:space="0" w:color="auto"/>
            <w:left w:val="none" w:sz="0" w:space="0" w:color="auto"/>
            <w:bottom w:val="none" w:sz="0" w:space="0" w:color="auto"/>
            <w:right w:val="none" w:sz="0" w:space="0" w:color="auto"/>
          </w:divBdr>
          <w:divsChild>
            <w:div w:id="1092043684">
              <w:marLeft w:val="0"/>
              <w:marRight w:val="0"/>
              <w:marTop w:val="0"/>
              <w:marBottom w:val="0"/>
              <w:divBdr>
                <w:top w:val="none" w:sz="0" w:space="0" w:color="auto"/>
                <w:left w:val="none" w:sz="0" w:space="0" w:color="auto"/>
                <w:bottom w:val="none" w:sz="0" w:space="0" w:color="auto"/>
                <w:right w:val="none" w:sz="0" w:space="0" w:color="auto"/>
              </w:divBdr>
              <w:divsChild>
                <w:div w:id="96358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65602">
      <w:bodyDiv w:val="1"/>
      <w:marLeft w:val="0"/>
      <w:marRight w:val="0"/>
      <w:marTop w:val="0"/>
      <w:marBottom w:val="0"/>
      <w:divBdr>
        <w:top w:val="none" w:sz="0" w:space="0" w:color="auto"/>
        <w:left w:val="none" w:sz="0" w:space="0" w:color="auto"/>
        <w:bottom w:val="none" w:sz="0" w:space="0" w:color="auto"/>
        <w:right w:val="none" w:sz="0" w:space="0" w:color="auto"/>
      </w:divBdr>
      <w:divsChild>
        <w:div w:id="1103647129">
          <w:marLeft w:val="0"/>
          <w:marRight w:val="0"/>
          <w:marTop w:val="0"/>
          <w:marBottom w:val="0"/>
          <w:divBdr>
            <w:top w:val="none" w:sz="0" w:space="0" w:color="auto"/>
            <w:left w:val="none" w:sz="0" w:space="0" w:color="auto"/>
            <w:bottom w:val="none" w:sz="0" w:space="0" w:color="auto"/>
            <w:right w:val="none" w:sz="0" w:space="0" w:color="auto"/>
          </w:divBdr>
          <w:divsChild>
            <w:div w:id="1785464841">
              <w:marLeft w:val="0"/>
              <w:marRight w:val="0"/>
              <w:marTop w:val="0"/>
              <w:marBottom w:val="0"/>
              <w:divBdr>
                <w:top w:val="none" w:sz="0" w:space="0" w:color="auto"/>
                <w:left w:val="none" w:sz="0" w:space="0" w:color="auto"/>
                <w:bottom w:val="none" w:sz="0" w:space="0" w:color="auto"/>
                <w:right w:val="none" w:sz="0" w:space="0" w:color="auto"/>
              </w:divBdr>
              <w:divsChild>
                <w:div w:id="42469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12598">
      <w:bodyDiv w:val="1"/>
      <w:marLeft w:val="0"/>
      <w:marRight w:val="0"/>
      <w:marTop w:val="0"/>
      <w:marBottom w:val="0"/>
      <w:divBdr>
        <w:top w:val="none" w:sz="0" w:space="0" w:color="auto"/>
        <w:left w:val="none" w:sz="0" w:space="0" w:color="auto"/>
        <w:bottom w:val="none" w:sz="0" w:space="0" w:color="auto"/>
        <w:right w:val="none" w:sz="0" w:space="0" w:color="auto"/>
      </w:divBdr>
      <w:divsChild>
        <w:div w:id="432552974">
          <w:marLeft w:val="0"/>
          <w:marRight w:val="0"/>
          <w:marTop w:val="0"/>
          <w:marBottom w:val="0"/>
          <w:divBdr>
            <w:top w:val="none" w:sz="0" w:space="0" w:color="auto"/>
            <w:left w:val="none" w:sz="0" w:space="0" w:color="auto"/>
            <w:bottom w:val="none" w:sz="0" w:space="0" w:color="auto"/>
            <w:right w:val="none" w:sz="0" w:space="0" w:color="auto"/>
          </w:divBdr>
          <w:divsChild>
            <w:div w:id="934483600">
              <w:marLeft w:val="0"/>
              <w:marRight w:val="0"/>
              <w:marTop w:val="0"/>
              <w:marBottom w:val="0"/>
              <w:divBdr>
                <w:top w:val="none" w:sz="0" w:space="0" w:color="auto"/>
                <w:left w:val="none" w:sz="0" w:space="0" w:color="auto"/>
                <w:bottom w:val="none" w:sz="0" w:space="0" w:color="auto"/>
                <w:right w:val="none" w:sz="0" w:space="0" w:color="auto"/>
              </w:divBdr>
              <w:divsChild>
                <w:div w:id="83545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82860">
      <w:bodyDiv w:val="1"/>
      <w:marLeft w:val="0"/>
      <w:marRight w:val="0"/>
      <w:marTop w:val="0"/>
      <w:marBottom w:val="0"/>
      <w:divBdr>
        <w:top w:val="none" w:sz="0" w:space="0" w:color="auto"/>
        <w:left w:val="none" w:sz="0" w:space="0" w:color="auto"/>
        <w:bottom w:val="none" w:sz="0" w:space="0" w:color="auto"/>
        <w:right w:val="none" w:sz="0" w:space="0" w:color="auto"/>
      </w:divBdr>
      <w:divsChild>
        <w:div w:id="1069812894">
          <w:marLeft w:val="0"/>
          <w:marRight w:val="0"/>
          <w:marTop w:val="0"/>
          <w:marBottom w:val="0"/>
          <w:divBdr>
            <w:top w:val="none" w:sz="0" w:space="0" w:color="auto"/>
            <w:left w:val="none" w:sz="0" w:space="0" w:color="auto"/>
            <w:bottom w:val="none" w:sz="0" w:space="0" w:color="auto"/>
            <w:right w:val="none" w:sz="0" w:space="0" w:color="auto"/>
          </w:divBdr>
          <w:divsChild>
            <w:div w:id="169563087">
              <w:marLeft w:val="0"/>
              <w:marRight w:val="0"/>
              <w:marTop w:val="0"/>
              <w:marBottom w:val="0"/>
              <w:divBdr>
                <w:top w:val="none" w:sz="0" w:space="0" w:color="auto"/>
                <w:left w:val="none" w:sz="0" w:space="0" w:color="auto"/>
                <w:bottom w:val="none" w:sz="0" w:space="0" w:color="auto"/>
                <w:right w:val="none" w:sz="0" w:space="0" w:color="auto"/>
              </w:divBdr>
              <w:divsChild>
                <w:div w:id="48767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97347">
      <w:bodyDiv w:val="1"/>
      <w:marLeft w:val="0"/>
      <w:marRight w:val="0"/>
      <w:marTop w:val="0"/>
      <w:marBottom w:val="0"/>
      <w:divBdr>
        <w:top w:val="none" w:sz="0" w:space="0" w:color="auto"/>
        <w:left w:val="none" w:sz="0" w:space="0" w:color="auto"/>
        <w:bottom w:val="none" w:sz="0" w:space="0" w:color="auto"/>
        <w:right w:val="none" w:sz="0" w:space="0" w:color="auto"/>
      </w:divBdr>
    </w:div>
    <w:div w:id="259291016">
      <w:bodyDiv w:val="1"/>
      <w:marLeft w:val="0"/>
      <w:marRight w:val="0"/>
      <w:marTop w:val="0"/>
      <w:marBottom w:val="0"/>
      <w:divBdr>
        <w:top w:val="none" w:sz="0" w:space="0" w:color="auto"/>
        <w:left w:val="none" w:sz="0" w:space="0" w:color="auto"/>
        <w:bottom w:val="none" w:sz="0" w:space="0" w:color="auto"/>
        <w:right w:val="none" w:sz="0" w:space="0" w:color="auto"/>
      </w:divBdr>
      <w:divsChild>
        <w:div w:id="1792674320">
          <w:marLeft w:val="0"/>
          <w:marRight w:val="0"/>
          <w:marTop w:val="0"/>
          <w:marBottom w:val="0"/>
          <w:divBdr>
            <w:top w:val="none" w:sz="0" w:space="0" w:color="auto"/>
            <w:left w:val="none" w:sz="0" w:space="0" w:color="auto"/>
            <w:bottom w:val="none" w:sz="0" w:space="0" w:color="auto"/>
            <w:right w:val="none" w:sz="0" w:space="0" w:color="auto"/>
          </w:divBdr>
          <w:divsChild>
            <w:div w:id="940379163">
              <w:marLeft w:val="0"/>
              <w:marRight w:val="0"/>
              <w:marTop w:val="0"/>
              <w:marBottom w:val="0"/>
              <w:divBdr>
                <w:top w:val="none" w:sz="0" w:space="0" w:color="auto"/>
                <w:left w:val="none" w:sz="0" w:space="0" w:color="auto"/>
                <w:bottom w:val="none" w:sz="0" w:space="0" w:color="auto"/>
                <w:right w:val="none" w:sz="0" w:space="0" w:color="auto"/>
              </w:divBdr>
              <w:divsChild>
                <w:div w:id="213686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491164">
      <w:bodyDiv w:val="1"/>
      <w:marLeft w:val="0"/>
      <w:marRight w:val="0"/>
      <w:marTop w:val="0"/>
      <w:marBottom w:val="0"/>
      <w:divBdr>
        <w:top w:val="none" w:sz="0" w:space="0" w:color="auto"/>
        <w:left w:val="none" w:sz="0" w:space="0" w:color="auto"/>
        <w:bottom w:val="none" w:sz="0" w:space="0" w:color="auto"/>
        <w:right w:val="none" w:sz="0" w:space="0" w:color="auto"/>
      </w:divBdr>
    </w:div>
    <w:div w:id="441925883">
      <w:bodyDiv w:val="1"/>
      <w:marLeft w:val="0"/>
      <w:marRight w:val="0"/>
      <w:marTop w:val="0"/>
      <w:marBottom w:val="0"/>
      <w:divBdr>
        <w:top w:val="none" w:sz="0" w:space="0" w:color="auto"/>
        <w:left w:val="none" w:sz="0" w:space="0" w:color="auto"/>
        <w:bottom w:val="none" w:sz="0" w:space="0" w:color="auto"/>
        <w:right w:val="none" w:sz="0" w:space="0" w:color="auto"/>
      </w:divBdr>
      <w:divsChild>
        <w:div w:id="203641862">
          <w:marLeft w:val="0"/>
          <w:marRight w:val="0"/>
          <w:marTop w:val="0"/>
          <w:marBottom w:val="0"/>
          <w:divBdr>
            <w:top w:val="none" w:sz="0" w:space="0" w:color="auto"/>
            <w:left w:val="none" w:sz="0" w:space="0" w:color="auto"/>
            <w:bottom w:val="none" w:sz="0" w:space="0" w:color="auto"/>
            <w:right w:val="none" w:sz="0" w:space="0" w:color="auto"/>
          </w:divBdr>
          <w:divsChild>
            <w:div w:id="605622824">
              <w:marLeft w:val="0"/>
              <w:marRight w:val="0"/>
              <w:marTop w:val="0"/>
              <w:marBottom w:val="0"/>
              <w:divBdr>
                <w:top w:val="none" w:sz="0" w:space="0" w:color="auto"/>
                <w:left w:val="none" w:sz="0" w:space="0" w:color="auto"/>
                <w:bottom w:val="none" w:sz="0" w:space="0" w:color="auto"/>
                <w:right w:val="none" w:sz="0" w:space="0" w:color="auto"/>
              </w:divBdr>
              <w:divsChild>
                <w:div w:id="91189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066808">
      <w:bodyDiv w:val="1"/>
      <w:marLeft w:val="0"/>
      <w:marRight w:val="0"/>
      <w:marTop w:val="0"/>
      <w:marBottom w:val="0"/>
      <w:divBdr>
        <w:top w:val="none" w:sz="0" w:space="0" w:color="auto"/>
        <w:left w:val="none" w:sz="0" w:space="0" w:color="auto"/>
        <w:bottom w:val="none" w:sz="0" w:space="0" w:color="auto"/>
        <w:right w:val="none" w:sz="0" w:space="0" w:color="auto"/>
      </w:divBdr>
      <w:divsChild>
        <w:div w:id="573664965">
          <w:marLeft w:val="0"/>
          <w:marRight w:val="0"/>
          <w:marTop w:val="0"/>
          <w:marBottom w:val="0"/>
          <w:divBdr>
            <w:top w:val="none" w:sz="0" w:space="0" w:color="auto"/>
            <w:left w:val="none" w:sz="0" w:space="0" w:color="auto"/>
            <w:bottom w:val="none" w:sz="0" w:space="0" w:color="auto"/>
            <w:right w:val="none" w:sz="0" w:space="0" w:color="auto"/>
          </w:divBdr>
          <w:divsChild>
            <w:div w:id="432165731">
              <w:marLeft w:val="0"/>
              <w:marRight w:val="0"/>
              <w:marTop w:val="0"/>
              <w:marBottom w:val="0"/>
              <w:divBdr>
                <w:top w:val="none" w:sz="0" w:space="0" w:color="auto"/>
                <w:left w:val="none" w:sz="0" w:space="0" w:color="auto"/>
                <w:bottom w:val="none" w:sz="0" w:space="0" w:color="auto"/>
                <w:right w:val="none" w:sz="0" w:space="0" w:color="auto"/>
              </w:divBdr>
              <w:divsChild>
                <w:div w:id="67581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657296">
      <w:bodyDiv w:val="1"/>
      <w:marLeft w:val="0"/>
      <w:marRight w:val="0"/>
      <w:marTop w:val="0"/>
      <w:marBottom w:val="0"/>
      <w:divBdr>
        <w:top w:val="none" w:sz="0" w:space="0" w:color="auto"/>
        <w:left w:val="none" w:sz="0" w:space="0" w:color="auto"/>
        <w:bottom w:val="none" w:sz="0" w:space="0" w:color="auto"/>
        <w:right w:val="none" w:sz="0" w:space="0" w:color="auto"/>
      </w:divBdr>
      <w:divsChild>
        <w:div w:id="1721513285">
          <w:marLeft w:val="0"/>
          <w:marRight w:val="0"/>
          <w:marTop w:val="0"/>
          <w:marBottom w:val="0"/>
          <w:divBdr>
            <w:top w:val="none" w:sz="0" w:space="0" w:color="auto"/>
            <w:left w:val="none" w:sz="0" w:space="0" w:color="auto"/>
            <w:bottom w:val="none" w:sz="0" w:space="0" w:color="auto"/>
            <w:right w:val="none" w:sz="0" w:space="0" w:color="auto"/>
          </w:divBdr>
          <w:divsChild>
            <w:div w:id="2101481592">
              <w:marLeft w:val="0"/>
              <w:marRight w:val="0"/>
              <w:marTop w:val="0"/>
              <w:marBottom w:val="0"/>
              <w:divBdr>
                <w:top w:val="none" w:sz="0" w:space="0" w:color="auto"/>
                <w:left w:val="none" w:sz="0" w:space="0" w:color="auto"/>
                <w:bottom w:val="none" w:sz="0" w:space="0" w:color="auto"/>
                <w:right w:val="none" w:sz="0" w:space="0" w:color="auto"/>
              </w:divBdr>
              <w:divsChild>
                <w:div w:id="32598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163195">
      <w:bodyDiv w:val="1"/>
      <w:marLeft w:val="0"/>
      <w:marRight w:val="0"/>
      <w:marTop w:val="0"/>
      <w:marBottom w:val="0"/>
      <w:divBdr>
        <w:top w:val="none" w:sz="0" w:space="0" w:color="auto"/>
        <w:left w:val="none" w:sz="0" w:space="0" w:color="auto"/>
        <w:bottom w:val="none" w:sz="0" w:space="0" w:color="auto"/>
        <w:right w:val="none" w:sz="0" w:space="0" w:color="auto"/>
      </w:divBdr>
      <w:divsChild>
        <w:div w:id="1400130716">
          <w:marLeft w:val="0"/>
          <w:marRight w:val="0"/>
          <w:marTop w:val="0"/>
          <w:marBottom w:val="0"/>
          <w:divBdr>
            <w:top w:val="none" w:sz="0" w:space="0" w:color="auto"/>
            <w:left w:val="none" w:sz="0" w:space="0" w:color="auto"/>
            <w:bottom w:val="none" w:sz="0" w:space="0" w:color="auto"/>
            <w:right w:val="none" w:sz="0" w:space="0" w:color="auto"/>
          </w:divBdr>
          <w:divsChild>
            <w:div w:id="362831817">
              <w:marLeft w:val="0"/>
              <w:marRight w:val="0"/>
              <w:marTop w:val="0"/>
              <w:marBottom w:val="0"/>
              <w:divBdr>
                <w:top w:val="none" w:sz="0" w:space="0" w:color="auto"/>
                <w:left w:val="none" w:sz="0" w:space="0" w:color="auto"/>
                <w:bottom w:val="none" w:sz="0" w:space="0" w:color="auto"/>
                <w:right w:val="none" w:sz="0" w:space="0" w:color="auto"/>
              </w:divBdr>
              <w:divsChild>
                <w:div w:id="146119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291582">
      <w:bodyDiv w:val="1"/>
      <w:marLeft w:val="0"/>
      <w:marRight w:val="0"/>
      <w:marTop w:val="0"/>
      <w:marBottom w:val="0"/>
      <w:divBdr>
        <w:top w:val="none" w:sz="0" w:space="0" w:color="auto"/>
        <w:left w:val="none" w:sz="0" w:space="0" w:color="auto"/>
        <w:bottom w:val="none" w:sz="0" w:space="0" w:color="auto"/>
        <w:right w:val="none" w:sz="0" w:space="0" w:color="auto"/>
      </w:divBdr>
    </w:div>
    <w:div w:id="751001905">
      <w:bodyDiv w:val="1"/>
      <w:marLeft w:val="0"/>
      <w:marRight w:val="0"/>
      <w:marTop w:val="0"/>
      <w:marBottom w:val="0"/>
      <w:divBdr>
        <w:top w:val="none" w:sz="0" w:space="0" w:color="auto"/>
        <w:left w:val="none" w:sz="0" w:space="0" w:color="auto"/>
        <w:bottom w:val="none" w:sz="0" w:space="0" w:color="auto"/>
        <w:right w:val="none" w:sz="0" w:space="0" w:color="auto"/>
      </w:divBdr>
      <w:divsChild>
        <w:div w:id="1265111896">
          <w:marLeft w:val="0"/>
          <w:marRight w:val="0"/>
          <w:marTop w:val="0"/>
          <w:marBottom w:val="0"/>
          <w:divBdr>
            <w:top w:val="none" w:sz="0" w:space="0" w:color="auto"/>
            <w:left w:val="none" w:sz="0" w:space="0" w:color="auto"/>
            <w:bottom w:val="none" w:sz="0" w:space="0" w:color="auto"/>
            <w:right w:val="none" w:sz="0" w:space="0" w:color="auto"/>
          </w:divBdr>
          <w:divsChild>
            <w:div w:id="1760323813">
              <w:marLeft w:val="0"/>
              <w:marRight w:val="0"/>
              <w:marTop w:val="0"/>
              <w:marBottom w:val="0"/>
              <w:divBdr>
                <w:top w:val="none" w:sz="0" w:space="0" w:color="auto"/>
                <w:left w:val="none" w:sz="0" w:space="0" w:color="auto"/>
                <w:bottom w:val="none" w:sz="0" w:space="0" w:color="auto"/>
                <w:right w:val="none" w:sz="0" w:space="0" w:color="auto"/>
              </w:divBdr>
              <w:divsChild>
                <w:div w:id="140864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622241">
      <w:bodyDiv w:val="1"/>
      <w:marLeft w:val="0"/>
      <w:marRight w:val="0"/>
      <w:marTop w:val="0"/>
      <w:marBottom w:val="0"/>
      <w:divBdr>
        <w:top w:val="none" w:sz="0" w:space="0" w:color="auto"/>
        <w:left w:val="none" w:sz="0" w:space="0" w:color="auto"/>
        <w:bottom w:val="none" w:sz="0" w:space="0" w:color="auto"/>
        <w:right w:val="none" w:sz="0" w:space="0" w:color="auto"/>
      </w:divBdr>
      <w:divsChild>
        <w:div w:id="1422994393">
          <w:marLeft w:val="0"/>
          <w:marRight w:val="0"/>
          <w:marTop w:val="0"/>
          <w:marBottom w:val="0"/>
          <w:divBdr>
            <w:top w:val="none" w:sz="0" w:space="0" w:color="auto"/>
            <w:left w:val="none" w:sz="0" w:space="0" w:color="auto"/>
            <w:bottom w:val="none" w:sz="0" w:space="0" w:color="auto"/>
            <w:right w:val="none" w:sz="0" w:space="0" w:color="auto"/>
          </w:divBdr>
          <w:divsChild>
            <w:div w:id="1181166157">
              <w:marLeft w:val="0"/>
              <w:marRight w:val="0"/>
              <w:marTop w:val="0"/>
              <w:marBottom w:val="0"/>
              <w:divBdr>
                <w:top w:val="none" w:sz="0" w:space="0" w:color="auto"/>
                <w:left w:val="none" w:sz="0" w:space="0" w:color="auto"/>
                <w:bottom w:val="none" w:sz="0" w:space="0" w:color="auto"/>
                <w:right w:val="none" w:sz="0" w:space="0" w:color="auto"/>
              </w:divBdr>
              <w:divsChild>
                <w:div w:id="58773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932271">
      <w:bodyDiv w:val="1"/>
      <w:marLeft w:val="0"/>
      <w:marRight w:val="0"/>
      <w:marTop w:val="0"/>
      <w:marBottom w:val="0"/>
      <w:divBdr>
        <w:top w:val="none" w:sz="0" w:space="0" w:color="auto"/>
        <w:left w:val="none" w:sz="0" w:space="0" w:color="auto"/>
        <w:bottom w:val="none" w:sz="0" w:space="0" w:color="auto"/>
        <w:right w:val="none" w:sz="0" w:space="0" w:color="auto"/>
      </w:divBdr>
      <w:divsChild>
        <w:div w:id="2120175910">
          <w:marLeft w:val="0"/>
          <w:marRight w:val="0"/>
          <w:marTop w:val="0"/>
          <w:marBottom w:val="0"/>
          <w:divBdr>
            <w:top w:val="none" w:sz="0" w:space="0" w:color="auto"/>
            <w:left w:val="none" w:sz="0" w:space="0" w:color="auto"/>
            <w:bottom w:val="none" w:sz="0" w:space="0" w:color="auto"/>
            <w:right w:val="none" w:sz="0" w:space="0" w:color="auto"/>
          </w:divBdr>
          <w:divsChild>
            <w:div w:id="1911693411">
              <w:marLeft w:val="0"/>
              <w:marRight w:val="0"/>
              <w:marTop w:val="0"/>
              <w:marBottom w:val="0"/>
              <w:divBdr>
                <w:top w:val="none" w:sz="0" w:space="0" w:color="auto"/>
                <w:left w:val="none" w:sz="0" w:space="0" w:color="auto"/>
                <w:bottom w:val="none" w:sz="0" w:space="0" w:color="auto"/>
                <w:right w:val="none" w:sz="0" w:space="0" w:color="auto"/>
              </w:divBdr>
              <w:divsChild>
                <w:div w:id="73362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139987">
      <w:bodyDiv w:val="1"/>
      <w:marLeft w:val="0"/>
      <w:marRight w:val="0"/>
      <w:marTop w:val="0"/>
      <w:marBottom w:val="0"/>
      <w:divBdr>
        <w:top w:val="none" w:sz="0" w:space="0" w:color="auto"/>
        <w:left w:val="none" w:sz="0" w:space="0" w:color="auto"/>
        <w:bottom w:val="none" w:sz="0" w:space="0" w:color="auto"/>
        <w:right w:val="none" w:sz="0" w:space="0" w:color="auto"/>
      </w:divBdr>
      <w:divsChild>
        <w:div w:id="1980652134">
          <w:marLeft w:val="0"/>
          <w:marRight w:val="0"/>
          <w:marTop w:val="0"/>
          <w:marBottom w:val="0"/>
          <w:divBdr>
            <w:top w:val="none" w:sz="0" w:space="0" w:color="auto"/>
            <w:left w:val="none" w:sz="0" w:space="0" w:color="auto"/>
            <w:bottom w:val="none" w:sz="0" w:space="0" w:color="auto"/>
            <w:right w:val="none" w:sz="0" w:space="0" w:color="auto"/>
          </w:divBdr>
          <w:divsChild>
            <w:div w:id="1010838828">
              <w:marLeft w:val="0"/>
              <w:marRight w:val="0"/>
              <w:marTop w:val="0"/>
              <w:marBottom w:val="0"/>
              <w:divBdr>
                <w:top w:val="none" w:sz="0" w:space="0" w:color="auto"/>
                <w:left w:val="none" w:sz="0" w:space="0" w:color="auto"/>
                <w:bottom w:val="none" w:sz="0" w:space="0" w:color="auto"/>
                <w:right w:val="none" w:sz="0" w:space="0" w:color="auto"/>
              </w:divBdr>
              <w:divsChild>
                <w:div w:id="87492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173816">
      <w:bodyDiv w:val="1"/>
      <w:marLeft w:val="0"/>
      <w:marRight w:val="0"/>
      <w:marTop w:val="0"/>
      <w:marBottom w:val="0"/>
      <w:divBdr>
        <w:top w:val="none" w:sz="0" w:space="0" w:color="auto"/>
        <w:left w:val="none" w:sz="0" w:space="0" w:color="auto"/>
        <w:bottom w:val="none" w:sz="0" w:space="0" w:color="auto"/>
        <w:right w:val="none" w:sz="0" w:space="0" w:color="auto"/>
      </w:divBdr>
      <w:divsChild>
        <w:div w:id="1721899031">
          <w:marLeft w:val="0"/>
          <w:marRight w:val="0"/>
          <w:marTop w:val="0"/>
          <w:marBottom w:val="0"/>
          <w:divBdr>
            <w:top w:val="none" w:sz="0" w:space="0" w:color="auto"/>
            <w:left w:val="none" w:sz="0" w:space="0" w:color="auto"/>
            <w:bottom w:val="none" w:sz="0" w:space="0" w:color="auto"/>
            <w:right w:val="none" w:sz="0" w:space="0" w:color="auto"/>
          </w:divBdr>
          <w:divsChild>
            <w:div w:id="228612448">
              <w:marLeft w:val="0"/>
              <w:marRight w:val="0"/>
              <w:marTop w:val="0"/>
              <w:marBottom w:val="0"/>
              <w:divBdr>
                <w:top w:val="none" w:sz="0" w:space="0" w:color="auto"/>
                <w:left w:val="none" w:sz="0" w:space="0" w:color="auto"/>
                <w:bottom w:val="none" w:sz="0" w:space="0" w:color="auto"/>
                <w:right w:val="none" w:sz="0" w:space="0" w:color="auto"/>
              </w:divBdr>
              <w:divsChild>
                <w:div w:id="150111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141323">
      <w:bodyDiv w:val="1"/>
      <w:marLeft w:val="0"/>
      <w:marRight w:val="0"/>
      <w:marTop w:val="0"/>
      <w:marBottom w:val="0"/>
      <w:divBdr>
        <w:top w:val="none" w:sz="0" w:space="0" w:color="auto"/>
        <w:left w:val="none" w:sz="0" w:space="0" w:color="auto"/>
        <w:bottom w:val="none" w:sz="0" w:space="0" w:color="auto"/>
        <w:right w:val="none" w:sz="0" w:space="0" w:color="auto"/>
      </w:divBdr>
      <w:divsChild>
        <w:div w:id="1159544574">
          <w:marLeft w:val="0"/>
          <w:marRight w:val="0"/>
          <w:marTop w:val="0"/>
          <w:marBottom w:val="0"/>
          <w:divBdr>
            <w:top w:val="none" w:sz="0" w:space="0" w:color="auto"/>
            <w:left w:val="none" w:sz="0" w:space="0" w:color="auto"/>
            <w:bottom w:val="none" w:sz="0" w:space="0" w:color="auto"/>
            <w:right w:val="none" w:sz="0" w:space="0" w:color="auto"/>
          </w:divBdr>
          <w:divsChild>
            <w:div w:id="2064913484">
              <w:marLeft w:val="0"/>
              <w:marRight w:val="0"/>
              <w:marTop w:val="0"/>
              <w:marBottom w:val="0"/>
              <w:divBdr>
                <w:top w:val="none" w:sz="0" w:space="0" w:color="auto"/>
                <w:left w:val="none" w:sz="0" w:space="0" w:color="auto"/>
                <w:bottom w:val="none" w:sz="0" w:space="0" w:color="auto"/>
                <w:right w:val="none" w:sz="0" w:space="0" w:color="auto"/>
              </w:divBdr>
              <w:divsChild>
                <w:div w:id="192502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178709">
      <w:bodyDiv w:val="1"/>
      <w:marLeft w:val="0"/>
      <w:marRight w:val="0"/>
      <w:marTop w:val="0"/>
      <w:marBottom w:val="0"/>
      <w:divBdr>
        <w:top w:val="none" w:sz="0" w:space="0" w:color="auto"/>
        <w:left w:val="none" w:sz="0" w:space="0" w:color="auto"/>
        <w:bottom w:val="none" w:sz="0" w:space="0" w:color="auto"/>
        <w:right w:val="none" w:sz="0" w:space="0" w:color="auto"/>
      </w:divBdr>
    </w:div>
    <w:div w:id="1168399330">
      <w:bodyDiv w:val="1"/>
      <w:marLeft w:val="0"/>
      <w:marRight w:val="0"/>
      <w:marTop w:val="0"/>
      <w:marBottom w:val="0"/>
      <w:divBdr>
        <w:top w:val="none" w:sz="0" w:space="0" w:color="auto"/>
        <w:left w:val="none" w:sz="0" w:space="0" w:color="auto"/>
        <w:bottom w:val="none" w:sz="0" w:space="0" w:color="auto"/>
        <w:right w:val="none" w:sz="0" w:space="0" w:color="auto"/>
      </w:divBdr>
      <w:divsChild>
        <w:div w:id="341199833">
          <w:marLeft w:val="0"/>
          <w:marRight w:val="0"/>
          <w:marTop w:val="0"/>
          <w:marBottom w:val="0"/>
          <w:divBdr>
            <w:top w:val="none" w:sz="0" w:space="0" w:color="auto"/>
            <w:left w:val="none" w:sz="0" w:space="0" w:color="auto"/>
            <w:bottom w:val="none" w:sz="0" w:space="0" w:color="auto"/>
            <w:right w:val="none" w:sz="0" w:space="0" w:color="auto"/>
          </w:divBdr>
          <w:divsChild>
            <w:div w:id="1246723184">
              <w:marLeft w:val="0"/>
              <w:marRight w:val="0"/>
              <w:marTop w:val="0"/>
              <w:marBottom w:val="0"/>
              <w:divBdr>
                <w:top w:val="none" w:sz="0" w:space="0" w:color="auto"/>
                <w:left w:val="none" w:sz="0" w:space="0" w:color="auto"/>
                <w:bottom w:val="none" w:sz="0" w:space="0" w:color="auto"/>
                <w:right w:val="none" w:sz="0" w:space="0" w:color="auto"/>
              </w:divBdr>
              <w:divsChild>
                <w:div w:id="12373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351932">
          <w:marLeft w:val="0"/>
          <w:marRight w:val="0"/>
          <w:marTop w:val="0"/>
          <w:marBottom w:val="0"/>
          <w:divBdr>
            <w:top w:val="none" w:sz="0" w:space="0" w:color="auto"/>
            <w:left w:val="none" w:sz="0" w:space="0" w:color="auto"/>
            <w:bottom w:val="none" w:sz="0" w:space="0" w:color="auto"/>
            <w:right w:val="none" w:sz="0" w:space="0" w:color="auto"/>
          </w:divBdr>
          <w:divsChild>
            <w:div w:id="1601789951">
              <w:marLeft w:val="0"/>
              <w:marRight w:val="0"/>
              <w:marTop w:val="0"/>
              <w:marBottom w:val="0"/>
              <w:divBdr>
                <w:top w:val="none" w:sz="0" w:space="0" w:color="auto"/>
                <w:left w:val="none" w:sz="0" w:space="0" w:color="auto"/>
                <w:bottom w:val="none" w:sz="0" w:space="0" w:color="auto"/>
                <w:right w:val="none" w:sz="0" w:space="0" w:color="auto"/>
              </w:divBdr>
              <w:divsChild>
                <w:div w:id="1722047427">
                  <w:marLeft w:val="0"/>
                  <w:marRight w:val="0"/>
                  <w:marTop w:val="0"/>
                  <w:marBottom w:val="0"/>
                  <w:divBdr>
                    <w:top w:val="none" w:sz="0" w:space="0" w:color="auto"/>
                    <w:left w:val="none" w:sz="0" w:space="0" w:color="auto"/>
                    <w:bottom w:val="none" w:sz="0" w:space="0" w:color="auto"/>
                    <w:right w:val="none" w:sz="0" w:space="0" w:color="auto"/>
                  </w:divBdr>
                </w:div>
              </w:divsChild>
            </w:div>
            <w:div w:id="1686907095">
              <w:marLeft w:val="0"/>
              <w:marRight w:val="0"/>
              <w:marTop w:val="0"/>
              <w:marBottom w:val="0"/>
              <w:divBdr>
                <w:top w:val="none" w:sz="0" w:space="0" w:color="auto"/>
                <w:left w:val="none" w:sz="0" w:space="0" w:color="auto"/>
                <w:bottom w:val="none" w:sz="0" w:space="0" w:color="auto"/>
                <w:right w:val="none" w:sz="0" w:space="0" w:color="auto"/>
              </w:divBdr>
              <w:divsChild>
                <w:div w:id="172556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794745">
      <w:bodyDiv w:val="1"/>
      <w:marLeft w:val="0"/>
      <w:marRight w:val="0"/>
      <w:marTop w:val="0"/>
      <w:marBottom w:val="0"/>
      <w:divBdr>
        <w:top w:val="none" w:sz="0" w:space="0" w:color="auto"/>
        <w:left w:val="none" w:sz="0" w:space="0" w:color="auto"/>
        <w:bottom w:val="none" w:sz="0" w:space="0" w:color="auto"/>
        <w:right w:val="none" w:sz="0" w:space="0" w:color="auto"/>
      </w:divBdr>
      <w:divsChild>
        <w:div w:id="274680302">
          <w:marLeft w:val="0"/>
          <w:marRight w:val="0"/>
          <w:marTop w:val="0"/>
          <w:marBottom w:val="0"/>
          <w:divBdr>
            <w:top w:val="none" w:sz="0" w:space="0" w:color="auto"/>
            <w:left w:val="none" w:sz="0" w:space="0" w:color="auto"/>
            <w:bottom w:val="none" w:sz="0" w:space="0" w:color="auto"/>
            <w:right w:val="none" w:sz="0" w:space="0" w:color="auto"/>
          </w:divBdr>
          <w:divsChild>
            <w:div w:id="1487473328">
              <w:marLeft w:val="0"/>
              <w:marRight w:val="0"/>
              <w:marTop w:val="0"/>
              <w:marBottom w:val="0"/>
              <w:divBdr>
                <w:top w:val="none" w:sz="0" w:space="0" w:color="auto"/>
                <w:left w:val="none" w:sz="0" w:space="0" w:color="auto"/>
                <w:bottom w:val="none" w:sz="0" w:space="0" w:color="auto"/>
                <w:right w:val="none" w:sz="0" w:space="0" w:color="auto"/>
              </w:divBdr>
              <w:divsChild>
                <w:div w:id="121480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728564">
      <w:bodyDiv w:val="1"/>
      <w:marLeft w:val="0"/>
      <w:marRight w:val="0"/>
      <w:marTop w:val="0"/>
      <w:marBottom w:val="0"/>
      <w:divBdr>
        <w:top w:val="none" w:sz="0" w:space="0" w:color="auto"/>
        <w:left w:val="none" w:sz="0" w:space="0" w:color="auto"/>
        <w:bottom w:val="none" w:sz="0" w:space="0" w:color="auto"/>
        <w:right w:val="none" w:sz="0" w:space="0" w:color="auto"/>
      </w:divBdr>
      <w:divsChild>
        <w:div w:id="394739245">
          <w:marLeft w:val="0"/>
          <w:marRight w:val="0"/>
          <w:marTop w:val="0"/>
          <w:marBottom w:val="0"/>
          <w:divBdr>
            <w:top w:val="none" w:sz="0" w:space="0" w:color="auto"/>
            <w:left w:val="none" w:sz="0" w:space="0" w:color="auto"/>
            <w:bottom w:val="none" w:sz="0" w:space="0" w:color="auto"/>
            <w:right w:val="none" w:sz="0" w:space="0" w:color="auto"/>
          </w:divBdr>
          <w:divsChild>
            <w:div w:id="762991546">
              <w:marLeft w:val="0"/>
              <w:marRight w:val="0"/>
              <w:marTop w:val="0"/>
              <w:marBottom w:val="0"/>
              <w:divBdr>
                <w:top w:val="none" w:sz="0" w:space="0" w:color="auto"/>
                <w:left w:val="none" w:sz="0" w:space="0" w:color="auto"/>
                <w:bottom w:val="none" w:sz="0" w:space="0" w:color="auto"/>
                <w:right w:val="none" w:sz="0" w:space="0" w:color="auto"/>
              </w:divBdr>
              <w:divsChild>
                <w:div w:id="177212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180915">
      <w:bodyDiv w:val="1"/>
      <w:marLeft w:val="0"/>
      <w:marRight w:val="0"/>
      <w:marTop w:val="0"/>
      <w:marBottom w:val="0"/>
      <w:divBdr>
        <w:top w:val="none" w:sz="0" w:space="0" w:color="auto"/>
        <w:left w:val="none" w:sz="0" w:space="0" w:color="auto"/>
        <w:bottom w:val="none" w:sz="0" w:space="0" w:color="auto"/>
        <w:right w:val="none" w:sz="0" w:space="0" w:color="auto"/>
      </w:divBdr>
      <w:divsChild>
        <w:div w:id="990790753">
          <w:marLeft w:val="0"/>
          <w:marRight w:val="0"/>
          <w:marTop w:val="0"/>
          <w:marBottom w:val="0"/>
          <w:divBdr>
            <w:top w:val="none" w:sz="0" w:space="0" w:color="auto"/>
            <w:left w:val="none" w:sz="0" w:space="0" w:color="auto"/>
            <w:bottom w:val="none" w:sz="0" w:space="0" w:color="auto"/>
            <w:right w:val="none" w:sz="0" w:space="0" w:color="auto"/>
          </w:divBdr>
          <w:divsChild>
            <w:div w:id="375591190">
              <w:marLeft w:val="0"/>
              <w:marRight w:val="0"/>
              <w:marTop w:val="0"/>
              <w:marBottom w:val="0"/>
              <w:divBdr>
                <w:top w:val="none" w:sz="0" w:space="0" w:color="auto"/>
                <w:left w:val="none" w:sz="0" w:space="0" w:color="auto"/>
                <w:bottom w:val="none" w:sz="0" w:space="0" w:color="auto"/>
                <w:right w:val="none" w:sz="0" w:space="0" w:color="auto"/>
              </w:divBdr>
              <w:divsChild>
                <w:div w:id="1614053315">
                  <w:marLeft w:val="0"/>
                  <w:marRight w:val="0"/>
                  <w:marTop w:val="0"/>
                  <w:marBottom w:val="0"/>
                  <w:divBdr>
                    <w:top w:val="none" w:sz="0" w:space="0" w:color="auto"/>
                    <w:left w:val="none" w:sz="0" w:space="0" w:color="auto"/>
                    <w:bottom w:val="none" w:sz="0" w:space="0" w:color="auto"/>
                    <w:right w:val="none" w:sz="0" w:space="0" w:color="auto"/>
                  </w:divBdr>
                </w:div>
              </w:divsChild>
            </w:div>
            <w:div w:id="1839416119">
              <w:marLeft w:val="0"/>
              <w:marRight w:val="0"/>
              <w:marTop w:val="0"/>
              <w:marBottom w:val="0"/>
              <w:divBdr>
                <w:top w:val="none" w:sz="0" w:space="0" w:color="auto"/>
                <w:left w:val="none" w:sz="0" w:space="0" w:color="auto"/>
                <w:bottom w:val="none" w:sz="0" w:space="0" w:color="auto"/>
                <w:right w:val="none" w:sz="0" w:space="0" w:color="auto"/>
              </w:divBdr>
              <w:divsChild>
                <w:div w:id="208478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941236">
          <w:marLeft w:val="0"/>
          <w:marRight w:val="0"/>
          <w:marTop w:val="0"/>
          <w:marBottom w:val="0"/>
          <w:divBdr>
            <w:top w:val="none" w:sz="0" w:space="0" w:color="auto"/>
            <w:left w:val="none" w:sz="0" w:space="0" w:color="auto"/>
            <w:bottom w:val="none" w:sz="0" w:space="0" w:color="auto"/>
            <w:right w:val="none" w:sz="0" w:space="0" w:color="auto"/>
          </w:divBdr>
          <w:divsChild>
            <w:div w:id="1959138568">
              <w:marLeft w:val="0"/>
              <w:marRight w:val="0"/>
              <w:marTop w:val="0"/>
              <w:marBottom w:val="0"/>
              <w:divBdr>
                <w:top w:val="none" w:sz="0" w:space="0" w:color="auto"/>
                <w:left w:val="none" w:sz="0" w:space="0" w:color="auto"/>
                <w:bottom w:val="none" w:sz="0" w:space="0" w:color="auto"/>
                <w:right w:val="none" w:sz="0" w:space="0" w:color="auto"/>
              </w:divBdr>
              <w:divsChild>
                <w:div w:id="45953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215624">
      <w:bodyDiv w:val="1"/>
      <w:marLeft w:val="0"/>
      <w:marRight w:val="0"/>
      <w:marTop w:val="0"/>
      <w:marBottom w:val="0"/>
      <w:divBdr>
        <w:top w:val="none" w:sz="0" w:space="0" w:color="auto"/>
        <w:left w:val="none" w:sz="0" w:space="0" w:color="auto"/>
        <w:bottom w:val="none" w:sz="0" w:space="0" w:color="auto"/>
        <w:right w:val="none" w:sz="0" w:space="0" w:color="auto"/>
      </w:divBdr>
      <w:divsChild>
        <w:div w:id="1403289047">
          <w:marLeft w:val="0"/>
          <w:marRight w:val="0"/>
          <w:marTop w:val="0"/>
          <w:marBottom w:val="0"/>
          <w:divBdr>
            <w:top w:val="none" w:sz="0" w:space="0" w:color="auto"/>
            <w:left w:val="none" w:sz="0" w:space="0" w:color="auto"/>
            <w:bottom w:val="none" w:sz="0" w:space="0" w:color="auto"/>
            <w:right w:val="none" w:sz="0" w:space="0" w:color="auto"/>
          </w:divBdr>
          <w:divsChild>
            <w:div w:id="505248358">
              <w:marLeft w:val="0"/>
              <w:marRight w:val="0"/>
              <w:marTop w:val="0"/>
              <w:marBottom w:val="0"/>
              <w:divBdr>
                <w:top w:val="none" w:sz="0" w:space="0" w:color="auto"/>
                <w:left w:val="none" w:sz="0" w:space="0" w:color="auto"/>
                <w:bottom w:val="none" w:sz="0" w:space="0" w:color="auto"/>
                <w:right w:val="none" w:sz="0" w:space="0" w:color="auto"/>
              </w:divBdr>
              <w:divsChild>
                <w:div w:id="679429426">
                  <w:marLeft w:val="0"/>
                  <w:marRight w:val="0"/>
                  <w:marTop w:val="0"/>
                  <w:marBottom w:val="0"/>
                  <w:divBdr>
                    <w:top w:val="none" w:sz="0" w:space="0" w:color="auto"/>
                    <w:left w:val="none" w:sz="0" w:space="0" w:color="auto"/>
                    <w:bottom w:val="none" w:sz="0" w:space="0" w:color="auto"/>
                    <w:right w:val="none" w:sz="0" w:space="0" w:color="auto"/>
                  </w:divBdr>
                </w:div>
              </w:divsChild>
            </w:div>
            <w:div w:id="2076122121">
              <w:marLeft w:val="0"/>
              <w:marRight w:val="0"/>
              <w:marTop w:val="0"/>
              <w:marBottom w:val="0"/>
              <w:divBdr>
                <w:top w:val="none" w:sz="0" w:space="0" w:color="auto"/>
                <w:left w:val="none" w:sz="0" w:space="0" w:color="auto"/>
                <w:bottom w:val="none" w:sz="0" w:space="0" w:color="auto"/>
                <w:right w:val="none" w:sz="0" w:space="0" w:color="auto"/>
              </w:divBdr>
              <w:divsChild>
                <w:div w:id="273950906">
                  <w:marLeft w:val="0"/>
                  <w:marRight w:val="0"/>
                  <w:marTop w:val="0"/>
                  <w:marBottom w:val="0"/>
                  <w:divBdr>
                    <w:top w:val="none" w:sz="0" w:space="0" w:color="auto"/>
                    <w:left w:val="none" w:sz="0" w:space="0" w:color="auto"/>
                    <w:bottom w:val="none" w:sz="0" w:space="0" w:color="auto"/>
                    <w:right w:val="none" w:sz="0" w:space="0" w:color="auto"/>
                  </w:divBdr>
                </w:div>
                <w:div w:id="1589383939">
                  <w:marLeft w:val="0"/>
                  <w:marRight w:val="0"/>
                  <w:marTop w:val="0"/>
                  <w:marBottom w:val="0"/>
                  <w:divBdr>
                    <w:top w:val="none" w:sz="0" w:space="0" w:color="auto"/>
                    <w:left w:val="none" w:sz="0" w:space="0" w:color="auto"/>
                    <w:bottom w:val="none" w:sz="0" w:space="0" w:color="auto"/>
                    <w:right w:val="none" w:sz="0" w:space="0" w:color="auto"/>
                  </w:divBdr>
                </w:div>
                <w:div w:id="162276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737393">
          <w:marLeft w:val="0"/>
          <w:marRight w:val="0"/>
          <w:marTop w:val="0"/>
          <w:marBottom w:val="0"/>
          <w:divBdr>
            <w:top w:val="none" w:sz="0" w:space="0" w:color="auto"/>
            <w:left w:val="none" w:sz="0" w:space="0" w:color="auto"/>
            <w:bottom w:val="none" w:sz="0" w:space="0" w:color="auto"/>
            <w:right w:val="none" w:sz="0" w:space="0" w:color="auto"/>
          </w:divBdr>
          <w:divsChild>
            <w:div w:id="167453549">
              <w:marLeft w:val="0"/>
              <w:marRight w:val="0"/>
              <w:marTop w:val="0"/>
              <w:marBottom w:val="0"/>
              <w:divBdr>
                <w:top w:val="none" w:sz="0" w:space="0" w:color="auto"/>
                <w:left w:val="none" w:sz="0" w:space="0" w:color="auto"/>
                <w:bottom w:val="none" w:sz="0" w:space="0" w:color="auto"/>
                <w:right w:val="none" w:sz="0" w:space="0" w:color="auto"/>
              </w:divBdr>
              <w:divsChild>
                <w:div w:id="241256897">
                  <w:marLeft w:val="0"/>
                  <w:marRight w:val="0"/>
                  <w:marTop w:val="0"/>
                  <w:marBottom w:val="0"/>
                  <w:divBdr>
                    <w:top w:val="none" w:sz="0" w:space="0" w:color="auto"/>
                    <w:left w:val="none" w:sz="0" w:space="0" w:color="auto"/>
                    <w:bottom w:val="none" w:sz="0" w:space="0" w:color="auto"/>
                    <w:right w:val="none" w:sz="0" w:space="0" w:color="auto"/>
                  </w:divBdr>
                </w:div>
              </w:divsChild>
            </w:div>
            <w:div w:id="583301129">
              <w:marLeft w:val="0"/>
              <w:marRight w:val="0"/>
              <w:marTop w:val="0"/>
              <w:marBottom w:val="0"/>
              <w:divBdr>
                <w:top w:val="none" w:sz="0" w:space="0" w:color="auto"/>
                <w:left w:val="none" w:sz="0" w:space="0" w:color="auto"/>
                <w:bottom w:val="none" w:sz="0" w:space="0" w:color="auto"/>
                <w:right w:val="none" w:sz="0" w:space="0" w:color="auto"/>
              </w:divBdr>
              <w:divsChild>
                <w:div w:id="1014070608">
                  <w:marLeft w:val="0"/>
                  <w:marRight w:val="0"/>
                  <w:marTop w:val="0"/>
                  <w:marBottom w:val="0"/>
                  <w:divBdr>
                    <w:top w:val="none" w:sz="0" w:space="0" w:color="auto"/>
                    <w:left w:val="none" w:sz="0" w:space="0" w:color="auto"/>
                    <w:bottom w:val="none" w:sz="0" w:space="0" w:color="auto"/>
                    <w:right w:val="none" w:sz="0" w:space="0" w:color="auto"/>
                  </w:divBdr>
                </w:div>
                <w:div w:id="1111708933">
                  <w:marLeft w:val="0"/>
                  <w:marRight w:val="0"/>
                  <w:marTop w:val="0"/>
                  <w:marBottom w:val="0"/>
                  <w:divBdr>
                    <w:top w:val="none" w:sz="0" w:space="0" w:color="auto"/>
                    <w:left w:val="none" w:sz="0" w:space="0" w:color="auto"/>
                    <w:bottom w:val="none" w:sz="0" w:space="0" w:color="auto"/>
                    <w:right w:val="none" w:sz="0" w:space="0" w:color="auto"/>
                  </w:divBdr>
                </w:div>
                <w:div w:id="1853378450">
                  <w:marLeft w:val="0"/>
                  <w:marRight w:val="0"/>
                  <w:marTop w:val="0"/>
                  <w:marBottom w:val="0"/>
                  <w:divBdr>
                    <w:top w:val="none" w:sz="0" w:space="0" w:color="auto"/>
                    <w:left w:val="none" w:sz="0" w:space="0" w:color="auto"/>
                    <w:bottom w:val="none" w:sz="0" w:space="0" w:color="auto"/>
                    <w:right w:val="none" w:sz="0" w:space="0" w:color="auto"/>
                  </w:divBdr>
                </w:div>
              </w:divsChild>
            </w:div>
            <w:div w:id="1465659357">
              <w:marLeft w:val="0"/>
              <w:marRight w:val="0"/>
              <w:marTop w:val="0"/>
              <w:marBottom w:val="0"/>
              <w:divBdr>
                <w:top w:val="none" w:sz="0" w:space="0" w:color="auto"/>
                <w:left w:val="none" w:sz="0" w:space="0" w:color="auto"/>
                <w:bottom w:val="none" w:sz="0" w:space="0" w:color="auto"/>
                <w:right w:val="none" w:sz="0" w:space="0" w:color="auto"/>
              </w:divBdr>
              <w:divsChild>
                <w:div w:id="56927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906042">
          <w:marLeft w:val="0"/>
          <w:marRight w:val="0"/>
          <w:marTop w:val="0"/>
          <w:marBottom w:val="0"/>
          <w:divBdr>
            <w:top w:val="none" w:sz="0" w:space="0" w:color="auto"/>
            <w:left w:val="none" w:sz="0" w:space="0" w:color="auto"/>
            <w:bottom w:val="none" w:sz="0" w:space="0" w:color="auto"/>
            <w:right w:val="none" w:sz="0" w:space="0" w:color="auto"/>
          </w:divBdr>
          <w:divsChild>
            <w:div w:id="388766776">
              <w:marLeft w:val="0"/>
              <w:marRight w:val="0"/>
              <w:marTop w:val="0"/>
              <w:marBottom w:val="0"/>
              <w:divBdr>
                <w:top w:val="none" w:sz="0" w:space="0" w:color="auto"/>
                <w:left w:val="none" w:sz="0" w:space="0" w:color="auto"/>
                <w:bottom w:val="none" w:sz="0" w:space="0" w:color="auto"/>
                <w:right w:val="none" w:sz="0" w:space="0" w:color="auto"/>
              </w:divBdr>
              <w:divsChild>
                <w:div w:id="81998719">
                  <w:marLeft w:val="0"/>
                  <w:marRight w:val="0"/>
                  <w:marTop w:val="0"/>
                  <w:marBottom w:val="0"/>
                  <w:divBdr>
                    <w:top w:val="none" w:sz="0" w:space="0" w:color="auto"/>
                    <w:left w:val="none" w:sz="0" w:space="0" w:color="auto"/>
                    <w:bottom w:val="none" w:sz="0" w:space="0" w:color="auto"/>
                    <w:right w:val="none" w:sz="0" w:space="0" w:color="auto"/>
                  </w:divBdr>
                </w:div>
              </w:divsChild>
            </w:div>
            <w:div w:id="1177957969">
              <w:marLeft w:val="0"/>
              <w:marRight w:val="0"/>
              <w:marTop w:val="0"/>
              <w:marBottom w:val="0"/>
              <w:divBdr>
                <w:top w:val="none" w:sz="0" w:space="0" w:color="auto"/>
                <w:left w:val="none" w:sz="0" w:space="0" w:color="auto"/>
                <w:bottom w:val="none" w:sz="0" w:space="0" w:color="auto"/>
                <w:right w:val="none" w:sz="0" w:space="0" w:color="auto"/>
              </w:divBdr>
              <w:divsChild>
                <w:div w:id="644285328">
                  <w:marLeft w:val="0"/>
                  <w:marRight w:val="0"/>
                  <w:marTop w:val="0"/>
                  <w:marBottom w:val="0"/>
                  <w:divBdr>
                    <w:top w:val="none" w:sz="0" w:space="0" w:color="auto"/>
                    <w:left w:val="none" w:sz="0" w:space="0" w:color="auto"/>
                    <w:bottom w:val="none" w:sz="0" w:space="0" w:color="auto"/>
                    <w:right w:val="none" w:sz="0" w:space="0" w:color="auto"/>
                  </w:divBdr>
                </w:div>
              </w:divsChild>
            </w:div>
            <w:div w:id="1443261254">
              <w:marLeft w:val="0"/>
              <w:marRight w:val="0"/>
              <w:marTop w:val="0"/>
              <w:marBottom w:val="0"/>
              <w:divBdr>
                <w:top w:val="none" w:sz="0" w:space="0" w:color="auto"/>
                <w:left w:val="none" w:sz="0" w:space="0" w:color="auto"/>
                <w:bottom w:val="none" w:sz="0" w:space="0" w:color="auto"/>
                <w:right w:val="none" w:sz="0" w:space="0" w:color="auto"/>
              </w:divBdr>
              <w:divsChild>
                <w:div w:id="1681858581">
                  <w:marLeft w:val="0"/>
                  <w:marRight w:val="0"/>
                  <w:marTop w:val="0"/>
                  <w:marBottom w:val="0"/>
                  <w:divBdr>
                    <w:top w:val="none" w:sz="0" w:space="0" w:color="auto"/>
                    <w:left w:val="none" w:sz="0" w:space="0" w:color="auto"/>
                    <w:bottom w:val="none" w:sz="0" w:space="0" w:color="auto"/>
                    <w:right w:val="none" w:sz="0" w:space="0" w:color="auto"/>
                  </w:divBdr>
                </w:div>
              </w:divsChild>
            </w:div>
            <w:div w:id="2003385188">
              <w:marLeft w:val="0"/>
              <w:marRight w:val="0"/>
              <w:marTop w:val="0"/>
              <w:marBottom w:val="0"/>
              <w:divBdr>
                <w:top w:val="none" w:sz="0" w:space="0" w:color="auto"/>
                <w:left w:val="none" w:sz="0" w:space="0" w:color="auto"/>
                <w:bottom w:val="none" w:sz="0" w:space="0" w:color="auto"/>
                <w:right w:val="none" w:sz="0" w:space="0" w:color="auto"/>
              </w:divBdr>
              <w:divsChild>
                <w:div w:id="47510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282982">
      <w:bodyDiv w:val="1"/>
      <w:marLeft w:val="0"/>
      <w:marRight w:val="0"/>
      <w:marTop w:val="0"/>
      <w:marBottom w:val="0"/>
      <w:divBdr>
        <w:top w:val="none" w:sz="0" w:space="0" w:color="auto"/>
        <w:left w:val="none" w:sz="0" w:space="0" w:color="auto"/>
        <w:bottom w:val="none" w:sz="0" w:space="0" w:color="auto"/>
        <w:right w:val="none" w:sz="0" w:space="0" w:color="auto"/>
      </w:divBdr>
      <w:divsChild>
        <w:div w:id="991711093">
          <w:marLeft w:val="0"/>
          <w:marRight w:val="0"/>
          <w:marTop w:val="0"/>
          <w:marBottom w:val="0"/>
          <w:divBdr>
            <w:top w:val="none" w:sz="0" w:space="0" w:color="auto"/>
            <w:left w:val="none" w:sz="0" w:space="0" w:color="auto"/>
            <w:bottom w:val="none" w:sz="0" w:space="0" w:color="auto"/>
            <w:right w:val="none" w:sz="0" w:space="0" w:color="auto"/>
          </w:divBdr>
          <w:divsChild>
            <w:div w:id="1602227706">
              <w:marLeft w:val="0"/>
              <w:marRight w:val="0"/>
              <w:marTop w:val="0"/>
              <w:marBottom w:val="0"/>
              <w:divBdr>
                <w:top w:val="none" w:sz="0" w:space="0" w:color="auto"/>
                <w:left w:val="none" w:sz="0" w:space="0" w:color="auto"/>
                <w:bottom w:val="none" w:sz="0" w:space="0" w:color="auto"/>
                <w:right w:val="none" w:sz="0" w:space="0" w:color="auto"/>
              </w:divBdr>
              <w:divsChild>
                <w:div w:id="168408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715057">
      <w:bodyDiv w:val="1"/>
      <w:marLeft w:val="0"/>
      <w:marRight w:val="0"/>
      <w:marTop w:val="0"/>
      <w:marBottom w:val="0"/>
      <w:divBdr>
        <w:top w:val="none" w:sz="0" w:space="0" w:color="auto"/>
        <w:left w:val="none" w:sz="0" w:space="0" w:color="auto"/>
        <w:bottom w:val="none" w:sz="0" w:space="0" w:color="auto"/>
        <w:right w:val="none" w:sz="0" w:space="0" w:color="auto"/>
      </w:divBdr>
      <w:divsChild>
        <w:div w:id="2049598633">
          <w:marLeft w:val="0"/>
          <w:marRight w:val="0"/>
          <w:marTop w:val="0"/>
          <w:marBottom w:val="0"/>
          <w:divBdr>
            <w:top w:val="none" w:sz="0" w:space="0" w:color="auto"/>
            <w:left w:val="none" w:sz="0" w:space="0" w:color="auto"/>
            <w:bottom w:val="none" w:sz="0" w:space="0" w:color="auto"/>
            <w:right w:val="none" w:sz="0" w:space="0" w:color="auto"/>
          </w:divBdr>
          <w:divsChild>
            <w:div w:id="858275511">
              <w:marLeft w:val="0"/>
              <w:marRight w:val="0"/>
              <w:marTop w:val="0"/>
              <w:marBottom w:val="0"/>
              <w:divBdr>
                <w:top w:val="none" w:sz="0" w:space="0" w:color="auto"/>
                <w:left w:val="none" w:sz="0" w:space="0" w:color="auto"/>
                <w:bottom w:val="none" w:sz="0" w:space="0" w:color="auto"/>
                <w:right w:val="none" w:sz="0" w:space="0" w:color="auto"/>
              </w:divBdr>
              <w:divsChild>
                <w:div w:id="278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352677">
      <w:bodyDiv w:val="1"/>
      <w:marLeft w:val="0"/>
      <w:marRight w:val="0"/>
      <w:marTop w:val="0"/>
      <w:marBottom w:val="0"/>
      <w:divBdr>
        <w:top w:val="none" w:sz="0" w:space="0" w:color="auto"/>
        <w:left w:val="none" w:sz="0" w:space="0" w:color="auto"/>
        <w:bottom w:val="none" w:sz="0" w:space="0" w:color="auto"/>
        <w:right w:val="none" w:sz="0" w:space="0" w:color="auto"/>
      </w:divBdr>
      <w:divsChild>
        <w:div w:id="1351838386">
          <w:marLeft w:val="0"/>
          <w:marRight w:val="0"/>
          <w:marTop w:val="0"/>
          <w:marBottom w:val="0"/>
          <w:divBdr>
            <w:top w:val="none" w:sz="0" w:space="0" w:color="auto"/>
            <w:left w:val="none" w:sz="0" w:space="0" w:color="auto"/>
            <w:bottom w:val="none" w:sz="0" w:space="0" w:color="auto"/>
            <w:right w:val="none" w:sz="0" w:space="0" w:color="auto"/>
          </w:divBdr>
          <w:divsChild>
            <w:div w:id="868956743">
              <w:marLeft w:val="0"/>
              <w:marRight w:val="0"/>
              <w:marTop w:val="0"/>
              <w:marBottom w:val="0"/>
              <w:divBdr>
                <w:top w:val="none" w:sz="0" w:space="0" w:color="auto"/>
                <w:left w:val="none" w:sz="0" w:space="0" w:color="auto"/>
                <w:bottom w:val="none" w:sz="0" w:space="0" w:color="auto"/>
                <w:right w:val="none" w:sz="0" w:space="0" w:color="auto"/>
              </w:divBdr>
              <w:divsChild>
                <w:div w:id="137719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930678">
      <w:bodyDiv w:val="1"/>
      <w:marLeft w:val="0"/>
      <w:marRight w:val="0"/>
      <w:marTop w:val="0"/>
      <w:marBottom w:val="0"/>
      <w:divBdr>
        <w:top w:val="none" w:sz="0" w:space="0" w:color="auto"/>
        <w:left w:val="none" w:sz="0" w:space="0" w:color="auto"/>
        <w:bottom w:val="none" w:sz="0" w:space="0" w:color="auto"/>
        <w:right w:val="none" w:sz="0" w:space="0" w:color="auto"/>
      </w:divBdr>
      <w:divsChild>
        <w:div w:id="925461137">
          <w:marLeft w:val="0"/>
          <w:marRight w:val="0"/>
          <w:marTop w:val="0"/>
          <w:marBottom w:val="0"/>
          <w:divBdr>
            <w:top w:val="none" w:sz="0" w:space="0" w:color="auto"/>
            <w:left w:val="none" w:sz="0" w:space="0" w:color="auto"/>
            <w:bottom w:val="none" w:sz="0" w:space="0" w:color="auto"/>
            <w:right w:val="none" w:sz="0" w:space="0" w:color="auto"/>
          </w:divBdr>
          <w:divsChild>
            <w:div w:id="922178077">
              <w:marLeft w:val="0"/>
              <w:marRight w:val="0"/>
              <w:marTop w:val="0"/>
              <w:marBottom w:val="0"/>
              <w:divBdr>
                <w:top w:val="none" w:sz="0" w:space="0" w:color="auto"/>
                <w:left w:val="none" w:sz="0" w:space="0" w:color="auto"/>
                <w:bottom w:val="none" w:sz="0" w:space="0" w:color="auto"/>
                <w:right w:val="none" w:sz="0" w:space="0" w:color="auto"/>
              </w:divBdr>
              <w:divsChild>
                <w:div w:id="205831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901275">
      <w:bodyDiv w:val="1"/>
      <w:marLeft w:val="0"/>
      <w:marRight w:val="0"/>
      <w:marTop w:val="0"/>
      <w:marBottom w:val="0"/>
      <w:divBdr>
        <w:top w:val="none" w:sz="0" w:space="0" w:color="auto"/>
        <w:left w:val="none" w:sz="0" w:space="0" w:color="auto"/>
        <w:bottom w:val="none" w:sz="0" w:space="0" w:color="auto"/>
        <w:right w:val="none" w:sz="0" w:space="0" w:color="auto"/>
      </w:divBdr>
    </w:div>
    <w:div w:id="1786457589">
      <w:bodyDiv w:val="1"/>
      <w:marLeft w:val="0"/>
      <w:marRight w:val="0"/>
      <w:marTop w:val="0"/>
      <w:marBottom w:val="0"/>
      <w:divBdr>
        <w:top w:val="none" w:sz="0" w:space="0" w:color="auto"/>
        <w:left w:val="none" w:sz="0" w:space="0" w:color="auto"/>
        <w:bottom w:val="none" w:sz="0" w:space="0" w:color="auto"/>
        <w:right w:val="none" w:sz="0" w:space="0" w:color="auto"/>
      </w:divBdr>
      <w:divsChild>
        <w:div w:id="1696029992">
          <w:marLeft w:val="0"/>
          <w:marRight w:val="0"/>
          <w:marTop w:val="0"/>
          <w:marBottom w:val="0"/>
          <w:divBdr>
            <w:top w:val="none" w:sz="0" w:space="0" w:color="auto"/>
            <w:left w:val="none" w:sz="0" w:space="0" w:color="auto"/>
            <w:bottom w:val="none" w:sz="0" w:space="0" w:color="auto"/>
            <w:right w:val="none" w:sz="0" w:space="0" w:color="auto"/>
          </w:divBdr>
          <w:divsChild>
            <w:div w:id="1797062775">
              <w:marLeft w:val="0"/>
              <w:marRight w:val="0"/>
              <w:marTop w:val="0"/>
              <w:marBottom w:val="0"/>
              <w:divBdr>
                <w:top w:val="none" w:sz="0" w:space="0" w:color="auto"/>
                <w:left w:val="none" w:sz="0" w:space="0" w:color="auto"/>
                <w:bottom w:val="none" w:sz="0" w:space="0" w:color="auto"/>
                <w:right w:val="none" w:sz="0" w:space="0" w:color="auto"/>
              </w:divBdr>
              <w:divsChild>
                <w:div w:id="16778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471387">
      <w:bodyDiv w:val="1"/>
      <w:marLeft w:val="0"/>
      <w:marRight w:val="0"/>
      <w:marTop w:val="0"/>
      <w:marBottom w:val="0"/>
      <w:divBdr>
        <w:top w:val="none" w:sz="0" w:space="0" w:color="auto"/>
        <w:left w:val="none" w:sz="0" w:space="0" w:color="auto"/>
        <w:bottom w:val="none" w:sz="0" w:space="0" w:color="auto"/>
        <w:right w:val="none" w:sz="0" w:space="0" w:color="auto"/>
      </w:divBdr>
      <w:divsChild>
        <w:div w:id="1327517357">
          <w:marLeft w:val="0"/>
          <w:marRight w:val="0"/>
          <w:marTop w:val="0"/>
          <w:marBottom w:val="0"/>
          <w:divBdr>
            <w:top w:val="none" w:sz="0" w:space="0" w:color="auto"/>
            <w:left w:val="none" w:sz="0" w:space="0" w:color="auto"/>
            <w:bottom w:val="none" w:sz="0" w:space="0" w:color="auto"/>
            <w:right w:val="none" w:sz="0" w:space="0" w:color="auto"/>
          </w:divBdr>
          <w:divsChild>
            <w:div w:id="1120490887">
              <w:marLeft w:val="0"/>
              <w:marRight w:val="0"/>
              <w:marTop w:val="0"/>
              <w:marBottom w:val="0"/>
              <w:divBdr>
                <w:top w:val="none" w:sz="0" w:space="0" w:color="auto"/>
                <w:left w:val="none" w:sz="0" w:space="0" w:color="auto"/>
                <w:bottom w:val="none" w:sz="0" w:space="0" w:color="auto"/>
                <w:right w:val="none" w:sz="0" w:space="0" w:color="auto"/>
              </w:divBdr>
              <w:divsChild>
                <w:div w:id="108272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347393">
      <w:bodyDiv w:val="1"/>
      <w:marLeft w:val="0"/>
      <w:marRight w:val="0"/>
      <w:marTop w:val="0"/>
      <w:marBottom w:val="0"/>
      <w:divBdr>
        <w:top w:val="none" w:sz="0" w:space="0" w:color="auto"/>
        <w:left w:val="none" w:sz="0" w:space="0" w:color="auto"/>
        <w:bottom w:val="none" w:sz="0" w:space="0" w:color="auto"/>
        <w:right w:val="none" w:sz="0" w:space="0" w:color="auto"/>
      </w:divBdr>
      <w:divsChild>
        <w:div w:id="143009097">
          <w:marLeft w:val="0"/>
          <w:marRight w:val="0"/>
          <w:marTop w:val="0"/>
          <w:marBottom w:val="0"/>
          <w:divBdr>
            <w:top w:val="none" w:sz="0" w:space="0" w:color="auto"/>
            <w:left w:val="none" w:sz="0" w:space="0" w:color="auto"/>
            <w:bottom w:val="none" w:sz="0" w:space="0" w:color="auto"/>
            <w:right w:val="none" w:sz="0" w:space="0" w:color="auto"/>
          </w:divBdr>
          <w:divsChild>
            <w:div w:id="1327826354">
              <w:marLeft w:val="0"/>
              <w:marRight w:val="0"/>
              <w:marTop w:val="0"/>
              <w:marBottom w:val="0"/>
              <w:divBdr>
                <w:top w:val="none" w:sz="0" w:space="0" w:color="auto"/>
                <w:left w:val="none" w:sz="0" w:space="0" w:color="auto"/>
                <w:bottom w:val="none" w:sz="0" w:space="0" w:color="auto"/>
                <w:right w:val="none" w:sz="0" w:space="0" w:color="auto"/>
              </w:divBdr>
              <w:divsChild>
                <w:div w:id="152220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104640">
      <w:bodyDiv w:val="1"/>
      <w:marLeft w:val="0"/>
      <w:marRight w:val="0"/>
      <w:marTop w:val="0"/>
      <w:marBottom w:val="0"/>
      <w:divBdr>
        <w:top w:val="none" w:sz="0" w:space="0" w:color="auto"/>
        <w:left w:val="none" w:sz="0" w:space="0" w:color="auto"/>
        <w:bottom w:val="none" w:sz="0" w:space="0" w:color="auto"/>
        <w:right w:val="none" w:sz="0" w:space="0" w:color="auto"/>
      </w:divBdr>
      <w:divsChild>
        <w:div w:id="339815450">
          <w:marLeft w:val="0"/>
          <w:marRight w:val="0"/>
          <w:marTop w:val="0"/>
          <w:marBottom w:val="0"/>
          <w:divBdr>
            <w:top w:val="none" w:sz="0" w:space="0" w:color="auto"/>
            <w:left w:val="none" w:sz="0" w:space="0" w:color="auto"/>
            <w:bottom w:val="none" w:sz="0" w:space="0" w:color="auto"/>
            <w:right w:val="none" w:sz="0" w:space="0" w:color="auto"/>
          </w:divBdr>
          <w:divsChild>
            <w:div w:id="571044082">
              <w:marLeft w:val="0"/>
              <w:marRight w:val="0"/>
              <w:marTop w:val="0"/>
              <w:marBottom w:val="0"/>
              <w:divBdr>
                <w:top w:val="none" w:sz="0" w:space="0" w:color="auto"/>
                <w:left w:val="none" w:sz="0" w:space="0" w:color="auto"/>
                <w:bottom w:val="none" w:sz="0" w:space="0" w:color="auto"/>
                <w:right w:val="none" w:sz="0" w:space="0" w:color="auto"/>
              </w:divBdr>
              <w:divsChild>
                <w:div w:id="45968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596511">
      <w:bodyDiv w:val="1"/>
      <w:marLeft w:val="0"/>
      <w:marRight w:val="0"/>
      <w:marTop w:val="0"/>
      <w:marBottom w:val="0"/>
      <w:divBdr>
        <w:top w:val="none" w:sz="0" w:space="0" w:color="auto"/>
        <w:left w:val="none" w:sz="0" w:space="0" w:color="auto"/>
        <w:bottom w:val="none" w:sz="0" w:space="0" w:color="auto"/>
        <w:right w:val="none" w:sz="0" w:space="0" w:color="auto"/>
      </w:divBdr>
    </w:div>
    <w:div w:id="2110881160">
      <w:bodyDiv w:val="1"/>
      <w:marLeft w:val="0"/>
      <w:marRight w:val="0"/>
      <w:marTop w:val="0"/>
      <w:marBottom w:val="0"/>
      <w:divBdr>
        <w:top w:val="none" w:sz="0" w:space="0" w:color="auto"/>
        <w:left w:val="none" w:sz="0" w:space="0" w:color="auto"/>
        <w:bottom w:val="none" w:sz="0" w:space="0" w:color="auto"/>
        <w:right w:val="none" w:sz="0" w:space="0" w:color="auto"/>
      </w:divBdr>
      <w:divsChild>
        <w:div w:id="751969613">
          <w:marLeft w:val="0"/>
          <w:marRight w:val="0"/>
          <w:marTop w:val="0"/>
          <w:marBottom w:val="0"/>
          <w:divBdr>
            <w:top w:val="none" w:sz="0" w:space="0" w:color="auto"/>
            <w:left w:val="none" w:sz="0" w:space="0" w:color="auto"/>
            <w:bottom w:val="none" w:sz="0" w:space="0" w:color="auto"/>
            <w:right w:val="none" w:sz="0" w:space="0" w:color="auto"/>
          </w:divBdr>
          <w:divsChild>
            <w:div w:id="1437215821">
              <w:marLeft w:val="0"/>
              <w:marRight w:val="0"/>
              <w:marTop w:val="0"/>
              <w:marBottom w:val="0"/>
              <w:divBdr>
                <w:top w:val="none" w:sz="0" w:space="0" w:color="auto"/>
                <w:left w:val="none" w:sz="0" w:space="0" w:color="auto"/>
                <w:bottom w:val="none" w:sz="0" w:space="0" w:color="auto"/>
                <w:right w:val="none" w:sz="0" w:space="0" w:color="auto"/>
              </w:divBdr>
              <w:divsChild>
                <w:div w:id="90861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5C800782F333A4EAFBA4B072CEFA62A" ma:contentTypeVersion="4" ma:contentTypeDescription="Create a new document." ma:contentTypeScope="" ma:versionID="0608843e0ca75f3418094d06ebb570b5">
  <xsd:schema xmlns:xsd="http://www.w3.org/2001/XMLSchema" xmlns:xs="http://www.w3.org/2001/XMLSchema" xmlns:p="http://schemas.microsoft.com/office/2006/metadata/properties" xmlns:ns2="7cb2a228-4759-4c83-a324-c804b069c66c" xmlns:ns3="a2250cf3-b7a9-4bd5-b2fe-054899bfcf6b" targetNamespace="http://schemas.microsoft.com/office/2006/metadata/properties" ma:root="true" ma:fieldsID="d7fcca2ccae15c16d5d199feab282166" ns2:_="" ns3:_="">
    <xsd:import namespace="7cb2a228-4759-4c83-a324-c804b069c66c"/>
    <xsd:import namespace="a2250cf3-b7a9-4bd5-b2fe-054899bfcf6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b2a228-4759-4c83-a324-c804b069c6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2250cf3-b7a9-4bd5-b2fe-054899bfcf6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2D35BB-4221-41D2-B212-9AB5DE35CCC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F92692E-BF49-CF44-A132-EBB1298D7CD8}">
  <ds:schemaRefs>
    <ds:schemaRef ds:uri="http://schemas.openxmlformats.org/officeDocument/2006/bibliography"/>
  </ds:schemaRefs>
</ds:datastoreItem>
</file>

<file path=customXml/itemProps3.xml><?xml version="1.0" encoding="utf-8"?>
<ds:datastoreItem xmlns:ds="http://schemas.openxmlformats.org/officeDocument/2006/customXml" ds:itemID="{1AE61316-AB6B-42E1-BA61-6386EA9A2D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b2a228-4759-4c83-a324-c804b069c66c"/>
    <ds:schemaRef ds:uri="a2250cf3-b7a9-4bd5-b2fe-054899bfcf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B3060E-3C64-4975-B663-7F225F25C9E0}">
  <ds:schemaRefs>
    <ds:schemaRef ds:uri="http://schemas.microsoft.com/sharepoint/v3/contenttype/forms"/>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14</ap:Pages>
  <ap:Words>2707</ap:Words>
  <ap:Characters>15436</ap:Characters>
  <ap:Application>Microsoft Office Word</ap:Application>
  <ap:DocSecurity>0</ap:DocSecurity>
  <ap:Lines>128</ap:Lines>
  <ap:Paragraphs>36</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18107</ap:CharactersWithSpaces>
  <ap:SharedDoc>false</ap:SharedDoc>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2020-03-25T16:44:00Z</cp:lastPrinted>
  <dcterms:created xsi:type="dcterms:W3CDTF">2021-05-07T09:59:00Z</dcterms:created>
  <dcterms:modified xsi:type="dcterms:W3CDTF">2021-05-07T09:59:00Z</dcterms:modified>
</cp:coreProperties>
</file>