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BD8" w:rsidP="00C80BD8" w:rsidRDefault="00C80BD8" w14:paraId="22F86D5F" w14:textId="1A7175D5">
      <w:pPr>
        <w:pStyle w:val="titlebar"/>
        <w:rPr>
          <w:rFonts w:ascii="Palatino Linotype" w:hAnsi="Palatino Linotype"/>
          <w:sz w:val="24"/>
        </w:rPr>
      </w:pPr>
      <w:bookmarkStart w:name="_Ref404993683" w:id="0"/>
      <w:r w:rsidRPr="007076F1">
        <w:rPr>
          <w:rFonts w:ascii="Palatino Linotype" w:hAnsi="Palatino Linotype"/>
          <w:sz w:val="24"/>
        </w:rPr>
        <w:t>PUBLIC UTILITIES COMMISSION OF THE STATE OF CALIFORNIA</w:t>
      </w:r>
    </w:p>
    <w:p w:rsidR="00C80BD8" w:rsidP="00C80BD8" w:rsidRDefault="00C80BD8" w14:paraId="0DC2343D" w14:textId="77777777">
      <w:pPr>
        <w:pStyle w:val="titlebar"/>
        <w:rPr>
          <w:rFonts w:ascii="Palatino Linotype" w:hAnsi="Palatino Linotype"/>
          <w:sz w:val="24"/>
        </w:rPr>
      </w:pPr>
    </w:p>
    <w:p w:rsidR="00D66EAE" w:rsidP="00C80BD8" w:rsidRDefault="00D66EAE" w14:paraId="7FED90D6" w14:textId="77777777">
      <w:pPr>
        <w:rPr>
          <w:b/>
          <w:sz w:val="24"/>
        </w:rPr>
      </w:pPr>
    </w:p>
    <w:p w:rsidRPr="007076F1" w:rsidR="00C80BD8" w:rsidP="00C80BD8" w:rsidRDefault="00C80BD8" w14:paraId="3DB0C1A4" w14:textId="05D2B81B">
      <w:pPr>
        <w:rPr>
          <w:b/>
          <w:sz w:val="24"/>
          <w:highlight w:val="yellow"/>
        </w:rPr>
      </w:pPr>
      <w:r w:rsidRPr="007076F1">
        <w:rPr>
          <w:b/>
          <w:sz w:val="24"/>
        </w:rPr>
        <w:t>ENERGY DIVISION</w:t>
      </w:r>
      <w:r w:rsidRPr="007076F1">
        <w:rPr>
          <w:b/>
          <w:sz w:val="24"/>
        </w:rPr>
        <w:tab/>
      </w:r>
      <w:r w:rsidRPr="007076F1">
        <w:rPr>
          <w:b/>
          <w:sz w:val="24"/>
        </w:rPr>
        <w:tab/>
      </w:r>
      <w:r w:rsidRPr="007076F1">
        <w:rPr>
          <w:b/>
          <w:sz w:val="24"/>
        </w:rPr>
        <w:tab/>
      </w:r>
      <w:r w:rsidRPr="007076F1">
        <w:rPr>
          <w:b/>
          <w:sz w:val="24"/>
        </w:rPr>
        <w:tab/>
      </w:r>
      <w:r>
        <w:rPr>
          <w:b/>
          <w:sz w:val="24"/>
        </w:rPr>
        <w:tab/>
        <w:t xml:space="preserve">           </w:t>
      </w:r>
      <w:r w:rsidRPr="007076F1">
        <w:rPr>
          <w:b/>
          <w:sz w:val="24"/>
        </w:rPr>
        <w:t>RESOLUTION E-</w:t>
      </w:r>
      <w:r>
        <w:rPr>
          <w:b/>
          <w:sz w:val="24"/>
        </w:rPr>
        <w:t xml:space="preserve">5128 </w:t>
      </w:r>
    </w:p>
    <w:p w:rsidRPr="007076F1" w:rsidR="00C80BD8" w:rsidP="00C80BD8" w:rsidRDefault="00C80BD8" w14:paraId="410177FC" w14:textId="79E7EB99">
      <w:pPr>
        <w:tabs>
          <w:tab w:val="right" w:pos="8910"/>
        </w:tabs>
        <w:ind w:left="1440" w:firstLine="720"/>
        <w:rPr>
          <w:b/>
          <w:sz w:val="24"/>
        </w:rPr>
      </w:pPr>
      <w:r>
        <w:rPr>
          <w:b/>
          <w:sz w:val="24"/>
        </w:rPr>
        <w:t xml:space="preserve">                                                                                         May 6, 2021</w:t>
      </w:r>
    </w:p>
    <w:p w:rsidRPr="007076F1" w:rsidR="00C80BD8" w:rsidP="00C80BD8" w:rsidRDefault="00C80BD8" w14:paraId="7064DC5B" w14:textId="77777777">
      <w:pPr>
        <w:pStyle w:val="mainex"/>
        <w:jc w:val="left"/>
        <w:rPr>
          <w:rFonts w:ascii="Palatino Linotype" w:hAnsi="Palatino Linotype"/>
          <w:u w:val="single"/>
        </w:rPr>
      </w:pPr>
    </w:p>
    <w:p w:rsidR="00C80BD8" w:rsidP="00C80BD8" w:rsidRDefault="00C80BD8" w14:paraId="686678C8" w14:textId="77777777">
      <w:pPr>
        <w:pStyle w:val="mainex"/>
        <w:rPr>
          <w:u w:val="single"/>
        </w:rPr>
      </w:pPr>
      <w:r>
        <w:rPr>
          <w:u w:val="single"/>
        </w:rPr>
        <w:t>REDACTED</w:t>
      </w:r>
    </w:p>
    <w:p w:rsidRPr="00584D43" w:rsidR="00C80BD8" w:rsidP="00C80BD8" w:rsidRDefault="00C80BD8" w14:paraId="3E3475E3" w14:textId="77777777">
      <w:pPr>
        <w:pStyle w:val="mainex"/>
        <w:rPr>
          <w:u w:val="single"/>
        </w:rPr>
      </w:pPr>
      <w:r>
        <w:rPr>
          <w:u w:val="single"/>
        </w:rPr>
        <w:t>RESOLUTION</w:t>
      </w:r>
    </w:p>
    <w:p w:rsidR="00CF17DE" w:rsidRDefault="00CF17DE" w14:paraId="63C93376" w14:textId="77777777"/>
    <w:p w:rsidR="00B927B5" w:rsidP="00B927B5" w:rsidRDefault="00B927B5" w14:paraId="38C822AA" w14:textId="535DF0F2">
      <w:pPr>
        <w:pStyle w:val="Res-Caption"/>
      </w:pPr>
      <w:r>
        <w:t>Resolution E-</w:t>
      </w:r>
      <w:r w:rsidR="006F6A37">
        <w:t>5128</w:t>
      </w:r>
      <w:r>
        <w:t xml:space="preserve">.  </w:t>
      </w:r>
      <w:r w:rsidR="004F40A9">
        <w:t xml:space="preserve">PacifiCorp </w:t>
      </w:r>
      <w:r w:rsidR="00422E73">
        <w:t>long-term</w:t>
      </w:r>
      <w:r w:rsidR="004F40A9">
        <w:t xml:space="preserve"> </w:t>
      </w:r>
      <w:r w:rsidR="00D9637D">
        <w:t>Purchase and Sale Agreement for Renewable Energy Credits</w:t>
      </w:r>
      <w:r w:rsidRPr="004F40A9" w:rsidR="004F40A9">
        <w:t xml:space="preserve"> with Escalante Solar III, LLC</w:t>
      </w:r>
      <w:r w:rsidR="004F40A9">
        <w:t>.</w:t>
      </w:r>
    </w:p>
    <w:p w:rsidR="00801D70" w:rsidRDefault="00801D70" w14:paraId="70E6A3B4" w14:textId="77777777">
      <w:pPr>
        <w:pStyle w:val="Res-Caption"/>
      </w:pPr>
    </w:p>
    <w:p w:rsidRPr="00717F3D" w:rsidR="00DF35CC" w:rsidP="00D66EAE" w:rsidRDefault="00801D70" w14:paraId="5B232953" w14:textId="57DA6850">
      <w:pPr>
        <w:pStyle w:val="Res-Caption"/>
        <w:tabs>
          <w:tab w:val="left" w:pos="7215"/>
        </w:tabs>
      </w:pPr>
      <w:r w:rsidRPr="006B05EE">
        <w:t>PROPOSED OUTCOME</w:t>
      </w:r>
      <w:r w:rsidRPr="00717F3D">
        <w:t>:</w:t>
      </w:r>
      <w:r w:rsidRPr="00717F3D" w:rsidR="00142FB8">
        <w:t xml:space="preserve"> </w:t>
      </w:r>
      <w:r w:rsidR="00D66EAE">
        <w:tab/>
      </w:r>
    </w:p>
    <w:p w:rsidRPr="003C43A4" w:rsidR="00142FB8" w:rsidP="00C80BD8" w:rsidRDefault="004F40A9" w14:paraId="6EF53595" w14:textId="27D5D90B">
      <w:pPr>
        <w:pStyle w:val="Res-Caption"/>
        <w:numPr>
          <w:ilvl w:val="0"/>
          <w:numId w:val="22"/>
        </w:numPr>
        <w:rPr>
          <w:rFonts w:cs="Segoe UI"/>
          <w:color w:val="201F1E"/>
          <w:szCs w:val="26"/>
        </w:rPr>
      </w:pPr>
      <w:r w:rsidRPr="003C43A4">
        <w:rPr>
          <w:rFonts w:cs="Segoe UI"/>
          <w:color w:val="201F1E"/>
          <w:szCs w:val="26"/>
        </w:rPr>
        <w:t>This Resolution a</w:t>
      </w:r>
      <w:r w:rsidRPr="003C43A4" w:rsidR="003E7676">
        <w:rPr>
          <w:rFonts w:cs="Segoe UI"/>
          <w:color w:val="201F1E"/>
          <w:szCs w:val="26"/>
        </w:rPr>
        <w:t>pproves</w:t>
      </w:r>
      <w:r w:rsidRPr="003C43A4" w:rsidR="00422E73">
        <w:rPr>
          <w:rFonts w:cs="Segoe UI"/>
          <w:color w:val="201F1E"/>
          <w:szCs w:val="26"/>
        </w:rPr>
        <w:t xml:space="preserve"> </w:t>
      </w:r>
      <w:r w:rsidRPr="003C43A4" w:rsidR="00821085">
        <w:rPr>
          <w:rFonts w:cs="Segoe UI"/>
          <w:color w:val="201F1E"/>
          <w:szCs w:val="26"/>
        </w:rPr>
        <w:t xml:space="preserve">without modification </w:t>
      </w:r>
      <w:r w:rsidRPr="003C43A4" w:rsidR="00811823">
        <w:rPr>
          <w:rFonts w:cs="Segoe UI"/>
          <w:color w:val="201F1E"/>
          <w:szCs w:val="26"/>
        </w:rPr>
        <w:t xml:space="preserve">PacifiCorp’s </w:t>
      </w:r>
      <w:r w:rsidRPr="003C43A4" w:rsidR="002F3068">
        <w:rPr>
          <w:rFonts w:cs="Segoe UI"/>
          <w:color w:val="201F1E"/>
          <w:szCs w:val="26"/>
        </w:rPr>
        <w:t xml:space="preserve">long-term </w:t>
      </w:r>
      <w:r w:rsidRPr="003C43A4" w:rsidR="00D9637D">
        <w:rPr>
          <w:rFonts w:cs="Segoe UI"/>
          <w:color w:val="201F1E"/>
          <w:szCs w:val="26"/>
        </w:rPr>
        <w:t>Renewable Energy Credit</w:t>
      </w:r>
      <w:r w:rsidRPr="003C43A4" w:rsidR="00422E73">
        <w:rPr>
          <w:rFonts w:cs="Segoe UI"/>
          <w:color w:val="201F1E"/>
          <w:szCs w:val="26"/>
        </w:rPr>
        <w:t xml:space="preserve"> </w:t>
      </w:r>
      <w:r w:rsidR="00340481">
        <w:rPr>
          <w:rFonts w:cs="Segoe UI"/>
          <w:color w:val="201F1E"/>
          <w:szCs w:val="26"/>
        </w:rPr>
        <w:t xml:space="preserve">Purchase </w:t>
      </w:r>
      <w:r w:rsidR="0085553F">
        <w:rPr>
          <w:rFonts w:cs="Segoe UI"/>
          <w:color w:val="201F1E"/>
          <w:szCs w:val="26"/>
        </w:rPr>
        <w:t xml:space="preserve">and </w:t>
      </w:r>
      <w:r w:rsidR="00340481">
        <w:rPr>
          <w:rFonts w:cs="Segoe UI"/>
          <w:color w:val="201F1E"/>
          <w:szCs w:val="26"/>
        </w:rPr>
        <w:t xml:space="preserve">Sale </w:t>
      </w:r>
      <w:r w:rsidR="00112150">
        <w:rPr>
          <w:rFonts w:cs="Segoe UI"/>
          <w:color w:val="201F1E"/>
          <w:szCs w:val="26"/>
        </w:rPr>
        <w:t>A</w:t>
      </w:r>
      <w:r w:rsidRPr="003C43A4" w:rsidR="00112150">
        <w:rPr>
          <w:rFonts w:cs="Segoe UI"/>
          <w:color w:val="201F1E"/>
          <w:szCs w:val="26"/>
        </w:rPr>
        <w:t xml:space="preserve">greement </w:t>
      </w:r>
      <w:r w:rsidRPr="003C43A4" w:rsidR="00422E73">
        <w:rPr>
          <w:rFonts w:cs="Segoe UI"/>
          <w:color w:val="201F1E"/>
          <w:szCs w:val="26"/>
        </w:rPr>
        <w:t>with Escalante Solar III, LLC</w:t>
      </w:r>
      <w:r w:rsidRPr="003C43A4" w:rsidR="00811823">
        <w:rPr>
          <w:rFonts w:cs="Segoe UI"/>
          <w:color w:val="201F1E"/>
          <w:szCs w:val="26"/>
        </w:rPr>
        <w:t xml:space="preserve"> </w:t>
      </w:r>
      <w:r w:rsidRPr="003C43A4" w:rsidR="00422E73">
        <w:rPr>
          <w:rFonts w:cs="Segoe UI"/>
          <w:color w:val="201F1E"/>
          <w:szCs w:val="26"/>
        </w:rPr>
        <w:t>(Escalante)</w:t>
      </w:r>
      <w:r w:rsidRPr="003C43A4" w:rsidR="00811823">
        <w:rPr>
          <w:rFonts w:cs="Segoe UI"/>
          <w:color w:val="201F1E"/>
          <w:szCs w:val="26"/>
        </w:rPr>
        <w:t xml:space="preserve"> </w:t>
      </w:r>
      <w:r w:rsidR="00942C2C">
        <w:rPr>
          <w:rFonts w:cs="Segoe UI"/>
          <w:color w:val="201F1E"/>
          <w:szCs w:val="26"/>
        </w:rPr>
        <w:t xml:space="preserve">as requested </w:t>
      </w:r>
      <w:r w:rsidRPr="003C43A4" w:rsidR="00811823">
        <w:rPr>
          <w:rFonts w:cs="Segoe UI"/>
          <w:color w:val="201F1E"/>
          <w:szCs w:val="26"/>
        </w:rPr>
        <w:t xml:space="preserve">per </w:t>
      </w:r>
      <w:r w:rsidRPr="003C43A4" w:rsidR="00FB31B0">
        <w:rPr>
          <w:rFonts w:cs="Segoe UI"/>
          <w:color w:val="201F1E"/>
          <w:szCs w:val="26"/>
        </w:rPr>
        <w:t>Advice Letter</w:t>
      </w:r>
      <w:r w:rsidR="00F14888">
        <w:rPr>
          <w:rFonts w:cs="Segoe UI"/>
          <w:color w:val="201F1E"/>
          <w:szCs w:val="26"/>
        </w:rPr>
        <w:t>s</w:t>
      </w:r>
      <w:r w:rsidRPr="003C43A4" w:rsidR="00FB31B0">
        <w:rPr>
          <w:rFonts w:cs="Segoe UI"/>
          <w:color w:val="201F1E"/>
          <w:szCs w:val="26"/>
        </w:rPr>
        <w:t xml:space="preserve"> </w:t>
      </w:r>
      <w:r w:rsidR="007B4411">
        <w:rPr>
          <w:rFonts w:cs="Segoe UI"/>
          <w:color w:val="201F1E"/>
          <w:szCs w:val="26"/>
        </w:rPr>
        <w:t>617-E/E-A</w:t>
      </w:r>
      <w:r w:rsidRPr="003C43A4" w:rsidR="00811823">
        <w:rPr>
          <w:rFonts w:cs="Segoe UI"/>
          <w:color w:val="201F1E"/>
          <w:szCs w:val="26"/>
        </w:rPr>
        <w:t xml:space="preserve">.  </w:t>
      </w:r>
    </w:p>
    <w:p w:rsidRPr="00717F3D" w:rsidR="00F51F8B" w:rsidRDefault="00F51F8B" w14:paraId="65BE5ED4" w14:textId="77777777">
      <w:pPr>
        <w:pStyle w:val="Res-Caption"/>
      </w:pPr>
    </w:p>
    <w:p w:rsidR="005D37FA" w:rsidP="005D37FA" w:rsidRDefault="00F51F8B" w14:paraId="64DFD952" w14:textId="77777777">
      <w:pPr>
        <w:pStyle w:val="Res-Caption"/>
      </w:pPr>
      <w:r w:rsidRPr="0030220F">
        <w:t>SAFETY CONSIDERATIONS:</w:t>
      </w:r>
    </w:p>
    <w:p w:rsidRPr="005D37FA" w:rsidR="0030220F" w:rsidP="00C80BD8" w:rsidRDefault="004F40A9" w14:paraId="63F43A65" w14:textId="61EE5F39">
      <w:pPr>
        <w:pStyle w:val="Res-Caption"/>
        <w:numPr>
          <w:ilvl w:val="0"/>
          <w:numId w:val="22"/>
        </w:numPr>
      </w:pPr>
      <w:r w:rsidRPr="004F40A9">
        <w:rPr>
          <w:rFonts w:cs="Segoe UI"/>
          <w:color w:val="201F1E"/>
          <w:szCs w:val="26"/>
        </w:rPr>
        <w:t xml:space="preserve">The </w:t>
      </w:r>
      <w:r w:rsidR="00340481">
        <w:rPr>
          <w:rFonts w:cs="Segoe UI"/>
          <w:color w:val="201F1E"/>
          <w:szCs w:val="26"/>
        </w:rPr>
        <w:t xml:space="preserve">Purchase </w:t>
      </w:r>
      <w:r w:rsidR="0085553F">
        <w:rPr>
          <w:rFonts w:cs="Segoe UI"/>
          <w:color w:val="201F1E"/>
          <w:szCs w:val="26"/>
        </w:rPr>
        <w:t xml:space="preserve">and </w:t>
      </w:r>
      <w:r w:rsidR="00340481">
        <w:rPr>
          <w:rFonts w:cs="Segoe UI"/>
          <w:color w:val="201F1E"/>
          <w:szCs w:val="26"/>
        </w:rPr>
        <w:t xml:space="preserve">Sale </w:t>
      </w:r>
      <w:r w:rsidR="00112150">
        <w:rPr>
          <w:rFonts w:cs="Segoe UI"/>
          <w:color w:val="201F1E"/>
          <w:szCs w:val="26"/>
        </w:rPr>
        <w:t>Agreement</w:t>
      </w:r>
      <w:r w:rsidRPr="004F40A9" w:rsidR="00112150">
        <w:rPr>
          <w:rFonts w:cs="Segoe UI"/>
          <w:color w:val="201F1E"/>
          <w:szCs w:val="26"/>
        </w:rPr>
        <w:t xml:space="preserve"> </w:t>
      </w:r>
      <w:r w:rsidRPr="004F40A9">
        <w:rPr>
          <w:rFonts w:cs="Segoe UI"/>
          <w:color w:val="201F1E"/>
          <w:szCs w:val="26"/>
        </w:rPr>
        <w:t xml:space="preserve">will not alter existing agreements or any facility operations. </w:t>
      </w:r>
    </w:p>
    <w:p w:rsidRPr="00717F3D" w:rsidR="00801D70" w:rsidRDefault="00801D70" w14:paraId="664CBB61" w14:textId="77777777">
      <w:pPr>
        <w:pStyle w:val="Res-Caption"/>
      </w:pPr>
    </w:p>
    <w:p w:rsidRPr="00717F3D" w:rsidR="005D37FA" w:rsidP="005D37FA" w:rsidRDefault="00801D70" w14:paraId="42BF9EFC" w14:textId="77777777">
      <w:pPr>
        <w:pStyle w:val="Res-Caption"/>
      </w:pPr>
      <w:r w:rsidRPr="006B05EE">
        <w:t>ESTIMATED COST</w:t>
      </w:r>
      <w:r w:rsidRPr="00717F3D">
        <w:t xml:space="preserve">:  </w:t>
      </w:r>
    </w:p>
    <w:p w:rsidR="005D37FA" w:rsidP="00C80BD8" w:rsidRDefault="008F0DB1" w14:paraId="430531B4" w14:textId="4E216A29">
      <w:pPr>
        <w:pStyle w:val="Res-Caption"/>
        <w:numPr>
          <w:ilvl w:val="0"/>
          <w:numId w:val="22"/>
        </w:numPr>
      </w:pPr>
      <w:r w:rsidRPr="008F0DB1">
        <w:t xml:space="preserve">Costs of the </w:t>
      </w:r>
      <w:r w:rsidR="00340481">
        <w:t>P</w:t>
      </w:r>
      <w:r w:rsidRPr="008F0DB1" w:rsidR="00340481">
        <w:t xml:space="preserve">urchase </w:t>
      </w:r>
      <w:r w:rsidRPr="008F0DB1">
        <w:t xml:space="preserve">and </w:t>
      </w:r>
      <w:r w:rsidR="00340481">
        <w:t>S</w:t>
      </w:r>
      <w:r w:rsidRPr="008F0DB1" w:rsidR="00340481">
        <w:t xml:space="preserve">ale </w:t>
      </w:r>
      <w:r w:rsidR="00112150">
        <w:t>A</w:t>
      </w:r>
      <w:r w:rsidRPr="008F0DB1" w:rsidR="00112150">
        <w:t xml:space="preserve">greement </w:t>
      </w:r>
      <w:r w:rsidRPr="008F0DB1">
        <w:t>are confidential at this time.</w:t>
      </w:r>
    </w:p>
    <w:p w:rsidR="00CF17DE" w:rsidRDefault="00CF17DE" w14:paraId="414B5F5B" w14:textId="77777777">
      <w:pPr>
        <w:pStyle w:val="Res-Caption"/>
      </w:pPr>
    </w:p>
    <w:p w:rsidR="00CF17DE" w:rsidRDefault="00CF17DE" w14:paraId="0395FC4E" w14:textId="08E8C92A">
      <w:pPr>
        <w:pStyle w:val="Res-Caption"/>
      </w:pPr>
      <w:r>
        <w:t xml:space="preserve">By Advice Letter </w:t>
      </w:r>
      <w:r w:rsidR="00577672">
        <w:t>617</w:t>
      </w:r>
      <w:r>
        <w:t>-E</w:t>
      </w:r>
      <w:r w:rsidR="003F6E5A">
        <w:t>,</w:t>
      </w:r>
      <w:r>
        <w:t xml:space="preserve"> Filed on </w:t>
      </w:r>
      <w:r w:rsidR="003E7676">
        <w:t>June 5</w:t>
      </w:r>
      <w:r w:rsidR="00FB31B0">
        <w:t>, 2020</w:t>
      </w:r>
      <w:r w:rsidR="00F31B72">
        <w:t xml:space="preserve"> </w:t>
      </w:r>
      <w:r w:rsidR="00F14888">
        <w:t xml:space="preserve">and </w:t>
      </w:r>
      <w:r w:rsidR="007B4411">
        <w:t xml:space="preserve">supplemental </w:t>
      </w:r>
      <w:r w:rsidR="00F14888">
        <w:t xml:space="preserve">Advice Letter </w:t>
      </w:r>
      <w:r w:rsidR="007B4411">
        <w:t>617-E-A on March 9, 2021.</w:t>
      </w:r>
    </w:p>
    <w:p w:rsidR="00CF17DE" w:rsidRDefault="00CF17DE" w14:paraId="2BFCF270" w14:textId="77777777">
      <w:pPr>
        <w:jc w:val="center"/>
      </w:pPr>
      <w:r>
        <w:t>__________________________________________________________</w:t>
      </w:r>
    </w:p>
    <w:p w:rsidR="004F40A9" w:rsidRDefault="004F40A9" w14:paraId="784C2480" w14:textId="36EF017E">
      <w:pPr>
        <w:rPr>
          <w:rFonts w:ascii="Helvetica" w:hAnsi="Helvetica"/>
          <w:b/>
          <w:caps/>
          <w:kern w:val="28"/>
          <w:u w:val="single"/>
        </w:rPr>
      </w:pPr>
    </w:p>
    <w:p w:rsidR="00A07D69" w:rsidP="00A07D69" w:rsidRDefault="00CF17DE" w14:paraId="3BD214C5" w14:textId="0573A8F4">
      <w:pPr>
        <w:pStyle w:val="Heading1"/>
      </w:pPr>
      <w:r>
        <w:t>Summary</w:t>
      </w:r>
      <w:bookmarkEnd w:id="0"/>
    </w:p>
    <w:p w:rsidRPr="00ED446D" w:rsidR="00821085" w:rsidP="005838A8" w:rsidRDefault="00CF17DE" w14:paraId="6F73D133" w14:textId="4F52A92D">
      <w:pPr>
        <w:rPr>
          <w:rFonts w:cs="Segoe UI"/>
          <w:szCs w:val="26"/>
        </w:rPr>
      </w:pPr>
      <w:r w:rsidRPr="00461EAE">
        <w:rPr>
          <w:rFonts w:cs="Segoe UI"/>
          <w:szCs w:val="26"/>
        </w:rPr>
        <w:t>This Resolution</w:t>
      </w:r>
      <w:r w:rsidRPr="00461EAE" w:rsidR="003858FC">
        <w:rPr>
          <w:rFonts w:cs="Segoe UI"/>
          <w:szCs w:val="26"/>
        </w:rPr>
        <w:t xml:space="preserve"> approves PacifiCorp's </w:t>
      </w:r>
      <w:r w:rsidRPr="00461EAE" w:rsidR="0085553F">
        <w:rPr>
          <w:rFonts w:cs="Segoe UI"/>
          <w:szCs w:val="26"/>
        </w:rPr>
        <w:t>Renewable Energy Credit (</w:t>
      </w:r>
      <w:r w:rsidRPr="00461EAE" w:rsidR="003858FC">
        <w:rPr>
          <w:rFonts w:cs="Segoe UI"/>
          <w:szCs w:val="26"/>
        </w:rPr>
        <w:t>REC</w:t>
      </w:r>
      <w:r w:rsidRPr="00461EAE" w:rsidR="0085553F">
        <w:rPr>
          <w:rFonts w:cs="Segoe UI"/>
          <w:szCs w:val="26"/>
        </w:rPr>
        <w:t>)</w:t>
      </w:r>
      <w:r w:rsidRPr="00461EAE" w:rsidR="003858FC">
        <w:rPr>
          <w:rFonts w:cs="Segoe UI"/>
          <w:szCs w:val="26"/>
        </w:rPr>
        <w:t xml:space="preserve"> </w:t>
      </w:r>
      <w:r w:rsidR="00340481">
        <w:rPr>
          <w:rFonts w:cs="Segoe UI"/>
          <w:szCs w:val="26"/>
        </w:rPr>
        <w:t xml:space="preserve">Purchase </w:t>
      </w:r>
      <w:r w:rsidR="00716095">
        <w:rPr>
          <w:rFonts w:cs="Segoe UI"/>
          <w:szCs w:val="26"/>
        </w:rPr>
        <w:t xml:space="preserve">and </w:t>
      </w:r>
      <w:r w:rsidR="00340481">
        <w:rPr>
          <w:rFonts w:cs="Segoe UI"/>
          <w:szCs w:val="26"/>
        </w:rPr>
        <w:t xml:space="preserve">Sale </w:t>
      </w:r>
      <w:r w:rsidR="00112150">
        <w:rPr>
          <w:rFonts w:cs="Segoe UI"/>
          <w:szCs w:val="26"/>
        </w:rPr>
        <w:t>A</w:t>
      </w:r>
      <w:r w:rsidRPr="00461EAE" w:rsidR="00112150">
        <w:rPr>
          <w:rFonts w:cs="Segoe UI"/>
          <w:szCs w:val="26"/>
        </w:rPr>
        <w:t xml:space="preserve">greement </w:t>
      </w:r>
      <w:r w:rsidRPr="00461EAE" w:rsidR="00E03155">
        <w:rPr>
          <w:rFonts w:cs="Segoe UI"/>
          <w:szCs w:val="26"/>
        </w:rPr>
        <w:t xml:space="preserve">(Agreement) </w:t>
      </w:r>
      <w:r w:rsidRPr="00461EAE" w:rsidR="00821085">
        <w:rPr>
          <w:rFonts w:cs="Segoe UI"/>
          <w:szCs w:val="26"/>
        </w:rPr>
        <w:t>with Escalante Solar III, LLC (Escalante)</w:t>
      </w:r>
      <w:r w:rsidRPr="00461EAE" w:rsidR="002E3FD4">
        <w:rPr>
          <w:rFonts w:cs="Segoe UI"/>
          <w:szCs w:val="26"/>
        </w:rPr>
        <w:t>,</w:t>
      </w:r>
      <w:r w:rsidRPr="00461EAE" w:rsidR="00821085">
        <w:rPr>
          <w:rFonts w:cs="Segoe UI"/>
          <w:szCs w:val="26"/>
        </w:rPr>
        <w:t xml:space="preserve"> executed </w:t>
      </w:r>
      <w:r w:rsidRPr="00461EAE" w:rsidR="008B16A9">
        <w:rPr>
          <w:rFonts w:cs="Segoe UI"/>
          <w:szCs w:val="26"/>
        </w:rPr>
        <w:t xml:space="preserve">in </w:t>
      </w:r>
      <w:r w:rsidRPr="00461EAE" w:rsidR="00821085">
        <w:rPr>
          <w:rFonts w:cs="Segoe UI"/>
          <w:szCs w:val="26"/>
        </w:rPr>
        <w:t>May 2020.</w:t>
      </w:r>
      <w:r w:rsidRPr="00461EAE" w:rsidR="003858FC">
        <w:rPr>
          <w:rFonts w:cs="Segoe UI"/>
          <w:szCs w:val="26"/>
        </w:rPr>
        <w:t xml:space="preserve">  The </w:t>
      </w:r>
      <w:r w:rsidRPr="00461EAE" w:rsidR="00E03155">
        <w:rPr>
          <w:rFonts w:cs="Segoe UI"/>
          <w:szCs w:val="26"/>
        </w:rPr>
        <w:t xml:space="preserve">Agreement </w:t>
      </w:r>
      <w:r w:rsidRPr="00461EAE" w:rsidR="003858FC">
        <w:rPr>
          <w:rFonts w:cs="Segoe UI"/>
          <w:szCs w:val="26"/>
        </w:rPr>
        <w:t xml:space="preserve">is for </w:t>
      </w:r>
      <w:r w:rsidRPr="00461EAE" w:rsidR="00D9637D">
        <w:rPr>
          <w:rFonts w:cs="Segoe UI"/>
          <w:szCs w:val="26"/>
        </w:rPr>
        <w:t xml:space="preserve">Portfolio Content Category (PCC) </w:t>
      </w:r>
      <w:r w:rsidR="00C80BD8">
        <w:rPr>
          <w:rFonts w:cs="Segoe UI"/>
          <w:szCs w:val="26"/>
        </w:rPr>
        <w:br/>
      </w:r>
      <w:r w:rsidRPr="00461EAE" w:rsidR="001F358A">
        <w:rPr>
          <w:rFonts w:cs="Segoe UI"/>
          <w:szCs w:val="26"/>
        </w:rPr>
        <w:t xml:space="preserve">3 RECs commencing from the effective date of </w:t>
      </w:r>
      <w:r w:rsidRPr="00461EAE" w:rsidR="003547EB">
        <w:rPr>
          <w:rFonts w:cs="Segoe UI"/>
          <w:szCs w:val="26"/>
        </w:rPr>
        <w:t>the contract</w:t>
      </w:r>
      <w:r w:rsidRPr="00461EAE" w:rsidR="001F358A">
        <w:rPr>
          <w:rFonts w:cs="Segoe UI"/>
          <w:szCs w:val="26"/>
        </w:rPr>
        <w:t xml:space="preserve"> and continuing </w:t>
      </w:r>
      <w:r w:rsidRPr="00ED446D" w:rsidR="00FE3D3A">
        <w:rPr>
          <w:rFonts w:cs="Segoe UI"/>
          <w:szCs w:val="26"/>
        </w:rPr>
        <w:t xml:space="preserve">for a </w:t>
      </w:r>
      <w:r w:rsidR="00C80BD8">
        <w:rPr>
          <w:rFonts w:cs="Segoe UI"/>
          <w:szCs w:val="26"/>
        </w:rPr>
        <w:br/>
      </w:r>
      <w:r w:rsidRPr="00ED446D" w:rsidR="00FE3D3A">
        <w:rPr>
          <w:rFonts w:cs="Segoe UI"/>
          <w:szCs w:val="26"/>
        </w:rPr>
        <w:t>10-year term</w:t>
      </w:r>
      <w:r w:rsidRPr="00ED446D" w:rsidR="001F358A">
        <w:rPr>
          <w:rFonts w:cs="Segoe UI"/>
          <w:szCs w:val="26"/>
        </w:rPr>
        <w:t xml:space="preserve">.  </w:t>
      </w:r>
      <w:r w:rsidRPr="00ED446D" w:rsidR="00D9637D">
        <w:rPr>
          <w:rFonts w:cs="Segoe UI"/>
          <w:szCs w:val="26"/>
        </w:rPr>
        <w:t xml:space="preserve">The </w:t>
      </w:r>
      <w:bookmarkStart w:name="_Hlk58248542" w:id="1"/>
      <w:r w:rsidRPr="00ED446D" w:rsidR="00D9637D">
        <w:rPr>
          <w:rFonts w:cs="Segoe UI"/>
          <w:szCs w:val="26"/>
        </w:rPr>
        <w:t>Escalante Solar III facility is owned by Escalante and located in Milford</w:t>
      </w:r>
      <w:r w:rsidR="008B38DC">
        <w:rPr>
          <w:rFonts w:cs="Segoe UI"/>
          <w:szCs w:val="26"/>
        </w:rPr>
        <w:t>,</w:t>
      </w:r>
      <w:r w:rsidRPr="00ED446D" w:rsidR="00D9637D">
        <w:rPr>
          <w:rFonts w:cs="Segoe UI"/>
          <w:szCs w:val="26"/>
        </w:rPr>
        <w:t xml:space="preserve"> UT</w:t>
      </w:r>
      <w:bookmarkEnd w:id="1"/>
      <w:r w:rsidRPr="00ED446D" w:rsidR="00D9637D">
        <w:rPr>
          <w:rFonts w:cs="Segoe UI"/>
          <w:szCs w:val="26"/>
        </w:rPr>
        <w:t xml:space="preserve">, in the PacifiCorp East Control Area.  It began commercial </w:t>
      </w:r>
      <w:r w:rsidRPr="00ED446D" w:rsidR="00D9637D">
        <w:rPr>
          <w:rFonts w:cs="Segoe UI"/>
          <w:szCs w:val="26"/>
        </w:rPr>
        <w:lastRenderedPageBreak/>
        <w:t>operations on August 17, 2016 and has been certified as RPS-eligible since October 12, 2017.</w:t>
      </w:r>
    </w:p>
    <w:p w:rsidR="00821085" w:rsidP="00821085" w:rsidRDefault="00821085" w14:paraId="359DFA3F" w14:textId="06B6B931"/>
    <w:tbl>
      <w:tblPr>
        <w:tblW w:w="9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7"/>
        <w:gridCol w:w="1191"/>
        <w:gridCol w:w="1069"/>
        <w:gridCol w:w="1228"/>
        <w:gridCol w:w="1552"/>
        <w:gridCol w:w="1245"/>
        <w:gridCol w:w="1747"/>
      </w:tblGrid>
      <w:tr w:rsidRPr="00556645" w:rsidR="00D9637D" w:rsidTr="008F0DB1" w14:paraId="40FCDA2A" w14:textId="77777777">
        <w:trPr>
          <w:jc w:val="center"/>
        </w:trPr>
        <w:tc>
          <w:tcPr>
            <w:tcW w:w="1721" w:type="dxa"/>
            <w:shd w:val="solid" w:color="auto" w:fill="CCCCCC"/>
            <w:vAlign w:val="center"/>
          </w:tcPr>
          <w:p w:rsidRPr="00556645" w:rsidR="00D9637D" w:rsidP="005E18CF" w:rsidRDefault="00D9637D" w14:paraId="1E5B51FA" w14:textId="77777777">
            <w:pPr>
              <w:jc w:val="center"/>
              <w:rPr>
                <w:rFonts w:ascii="Arial" w:hAnsi="Arial" w:cs="Arial"/>
              </w:rPr>
            </w:pPr>
            <w:r>
              <w:rPr>
                <w:rFonts w:ascii="Arial" w:hAnsi="Arial" w:cs="Arial"/>
              </w:rPr>
              <w:t>Generating Facility</w:t>
            </w:r>
          </w:p>
        </w:tc>
        <w:tc>
          <w:tcPr>
            <w:tcW w:w="1241" w:type="dxa"/>
            <w:shd w:val="solid" w:color="auto" w:fill="CCCCCC"/>
            <w:vAlign w:val="center"/>
          </w:tcPr>
          <w:p w:rsidRPr="00556645" w:rsidR="00D9637D" w:rsidP="005E18CF" w:rsidRDefault="00D9637D" w14:paraId="30649AAB" w14:textId="77777777">
            <w:pPr>
              <w:jc w:val="center"/>
              <w:rPr>
                <w:rFonts w:ascii="Arial" w:hAnsi="Arial" w:cs="Arial"/>
              </w:rPr>
            </w:pPr>
            <w:r w:rsidRPr="00556645">
              <w:rPr>
                <w:rFonts w:ascii="Arial" w:hAnsi="Arial" w:cs="Arial"/>
              </w:rPr>
              <w:t>Type</w:t>
            </w:r>
          </w:p>
        </w:tc>
        <w:tc>
          <w:tcPr>
            <w:tcW w:w="896" w:type="dxa"/>
            <w:shd w:val="solid" w:color="auto" w:fill="CCCCCC"/>
            <w:vAlign w:val="center"/>
          </w:tcPr>
          <w:p w:rsidRPr="00556645" w:rsidR="00D9637D" w:rsidP="005E18CF" w:rsidRDefault="00D9637D" w14:paraId="1E8E6A77" w14:textId="2A16E8DA">
            <w:pPr>
              <w:jc w:val="center"/>
              <w:rPr>
                <w:rFonts w:ascii="Arial" w:hAnsi="Arial" w:cs="Arial"/>
              </w:rPr>
            </w:pPr>
            <w:r w:rsidRPr="00556645">
              <w:rPr>
                <w:rFonts w:ascii="Arial" w:hAnsi="Arial" w:cs="Arial"/>
              </w:rPr>
              <w:t xml:space="preserve">Term </w:t>
            </w:r>
            <w:r w:rsidRPr="00556645">
              <w:rPr>
                <w:rFonts w:ascii="Arial" w:hAnsi="Arial" w:cs="Arial"/>
              </w:rPr>
              <w:br/>
            </w:r>
            <w:r w:rsidR="00E03155">
              <w:rPr>
                <w:rFonts w:ascii="Arial" w:hAnsi="Arial" w:cs="Arial"/>
              </w:rPr>
              <w:t>(</w:t>
            </w:r>
            <w:r w:rsidRPr="00556645">
              <w:rPr>
                <w:rFonts w:ascii="Arial" w:hAnsi="Arial" w:cs="Arial"/>
              </w:rPr>
              <w:t>Years</w:t>
            </w:r>
            <w:r w:rsidR="00E03155">
              <w:rPr>
                <w:rFonts w:ascii="Arial" w:hAnsi="Arial" w:cs="Arial"/>
              </w:rPr>
              <w:t>)</w:t>
            </w:r>
          </w:p>
        </w:tc>
        <w:tc>
          <w:tcPr>
            <w:tcW w:w="1228" w:type="dxa"/>
            <w:shd w:val="solid" w:color="auto" w:fill="CCCCCC"/>
            <w:vAlign w:val="center"/>
          </w:tcPr>
          <w:p w:rsidRPr="00556645" w:rsidR="00D9637D" w:rsidP="005E18CF" w:rsidRDefault="00E03155" w14:paraId="589710A0" w14:textId="1B12C7CD">
            <w:pPr>
              <w:jc w:val="center"/>
              <w:rPr>
                <w:rFonts w:ascii="Arial" w:hAnsi="Arial" w:cs="Arial"/>
              </w:rPr>
            </w:pPr>
            <w:r w:rsidRPr="00556645">
              <w:rPr>
                <w:rFonts w:ascii="Arial" w:hAnsi="Arial" w:cs="Arial"/>
              </w:rPr>
              <w:t xml:space="preserve">Capacity </w:t>
            </w:r>
            <w:r>
              <w:rPr>
                <w:rFonts w:ascii="Arial" w:hAnsi="Arial" w:cs="Arial"/>
              </w:rPr>
              <w:t>(</w:t>
            </w:r>
            <w:r w:rsidRPr="00556645" w:rsidR="00D9637D">
              <w:rPr>
                <w:rFonts w:ascii="Arial" w:hAnsi="Arial" w:cs="Arial"/>
              </w:rPr>
              <w:t>MW</w:t>
            </w:r>
            <w:r>
              <w:rPr>
                <w:rFonts w:ascii="Arial" w:hAnsi="Arial" w:cs="Arial"/>
              </w:rPr>
              <w:t>)</w:t>
            </w:r>
            <w:r w:rsidRPr="00556645" w:rsidR="00D9637D">
              <w:rPr>
                <w:rFonts w:ascii="Arial" w:hAnsi="Arial" w:cs="Arial"/>
              </w:rPr>
              <w:t xml:space="preserve"> </w:t>
            </w:r>
          </w:p>
        </w:tc>
        <w:tc>
          <w:tcPr>
            <w:tcW w:w="1576" w:type="dxa"/>
            <w:shd w:val="solid" w:color="auto" w:fill="CCCCCC"/>
            <w:vAlign w:val="center"/>
          </w:tcPr>
          <w:p w:rsidR="00D9637D" w:rsidP="005E18CF" w:rsidRDefault="00D9637D" w14:paraId="6E9BE568" w14:textId="77777777">
            <w:pPr>
              <w:jc w:val="center"/>
              <w:rPr>
                <w:rFonts w:ascii="Arial" w:hAnsi="Arial" w:cs="Arial"/>
              </w:rPr>
            </w:pPr>
            <w:r w:rsidRPr="00556645">
              <w:rPr>
                <w:rFonts w:ascii="Arial" w:hAnsi="Arial" w:cs="Arial"/>
              </w:rPr>
              <w:t>Annual Deliveries</w:t>
            </w:r>
          </w:p>
          <w:p w:rsidRPr="00556645" w:rsidR="00E03155" w:rsidP="005E18CF" w:rsidRDefault="00E03155" w14:paraId="3665A936" w14:textId="09B6551F">
            <w:pPr>
              <w:jc w:val="center"/>
              <w:rPr>
                <w:rFonts w:ascii="Arial" w:hAnsi="Arial" w:cs="Arial"/>
              </w:rPr>
            </w:pPr>
            <w:r>
              <w:rPr>
                <w:rFonts w:ascii="Arial" w:hAnsi="Arial" w:cs="Arial"/>
              </w:rPr>
              <w:t>(RECs)</w:t>
            </w:r>
          </w:p>
        </w:tc>
        <w:tc>
          <w:tcPr>
            <w:tcW w:w="1251" w:type="dxa"/>
            <w:shd w:val="solid" w:color="auto" w:fill="CCCCCC"/>
            <w:vAlign w:val="center"/>
          </w:tcPr>
          <w:p w:rsidRPr="00556645" w:rsidR="00D9637D" w:rsidP="005E18CF" w:rsidRDefault="00D9637D" w14:paraId="6DB555B1" w14:textId="77777777">
            <w:pPr>
              <w:jc w:val="center"/>
              <w:rPr>
                <w:rFonts w:ascii="Arial" w:hAnsi="Arial" w:cs="Arial"/>
              </w:rPr>
            </w:pPr>
            <w:r w:rsidRPr="00556645">
              <w:rPr>
                <w:rFonts w:ascii="Arial" w:hAnsi="Arial" w:cs="Arial"/>
              </w:rPr>
              <w:t>COD</w:t>
            </w:r>
          </w:p>
        </w:tc>
        <w:tc>
          <w:tcPr>
            <w:tcW w:w="1816" w:type="dxa"/>
            <w:shd w:val="solid" w:color="auto" w:fill="CCCCCC"/>
            <w:vAlign w:val="center"/>
          </w:tcPr>
          <w:p w:rsidRPr="00556645" w:rsidR="00D9637D" w:rsidP="005E18CF" w:rsidRDefault="00D9637D" w14:paraId="60A5500D" w14:textId="77777777">
            <w:pPr>
              <w:jc w:val="center"/>
              <w:rPr>
                <w:rFonts w:ascii="Arial" w:hAnsi="Arial" w:cs="Arial"/>
              </w:rPr>
            </w:pPr>
            <w:r w:rsidRPr="00556645">
              <w:rPr>
                <w:rFonts w:ascii="Arial" w:hAnsi="Arial" w:cs="Arial"/>
              </w:rPr>
              <w:t>Project Location</w:t>
            </w:r>
          </w:p>
        </w:tc>
      </w:tr>
      <w:tr w:rsidRPr="007F3966" w:rsidR="00D9637D" w:rsidTr="008F0DB1" w14:paraId="0DE057ED" w14:textId="77777777">
        <w:trPr>
          <w:trHeight w:val="458"/>
          <w:jc w:val="center"/>
        </w:trPr>
        <w:tc>
          <w:tcPr>
            <w:tcW w:w="1721" w:type="dxa"/>
            <w:shd w:val="clear" w:color="auto" w:fill="auto"/>
            <w:vAlign w:val="center"/>
          </w:tcPr>
          <w:p w:rsidR="00D9637D" w:rsidP="005E18CF" w:rsidRDefault="00D9637D" w14:paraId="3F4A5620" w14:textId="77777777">
            <w:pPr>
              <w:jc w:val="center"/>
              <w:rPr>
                <w:rFonts w:ascii="Arial" w:hAnsi="Arial" w:cs="Arial"/>
                <w:sz w:val="22"/>
                <w:szCs w:val="22"/>
              </w:rPr>
            </w:pPr>
            <w:r w:rsidRPr="002146EE">
              <w:rPr>
                <w:rFonts w:ascii="Arial" w:hAnsi="Arial" w:cs="Arial"/>
                <w:sz w:val="22"/>
                <w:szCs w:val="22"/>
              </w:rPr>
              <w:t>Esc</w:t>
            </w:r>
            <w:r>
              <w:rPr>
                <w:rFonts w:ascii="Arial" w:hAnsi="Arial" w:cs="Arial"/>
                <w:sz w:val="22"/>
                <w:szCs w:val="22"/>
              </w:rPr>
              <w:t>a</w:t>
            </w:r>
            <w:r w:rsidRPr="002146EE">
              <w:rPr>
                <w:rFonts w:ascii="Arial" w:hAnsi="Arial" w:cs="Arial"/>
                <w:sz w:val="22"/>
                <w:szCs w:val="22"/>
              </w:rPr>
              <w:t>lante Solar III</w:t>
            </w:r>
          </w:p>
        </w:tc>
        <w:tc>
          <w:tcPr>
            <w:tcW w:w="1241" w:type="dxa"/>
            <w:shd w:val="clear" w:color="auto" w:fill="auto"/>
            <w:vAlign w:val="center"/>
          </w:tcPr>
          <w:p w:rsidR="00D9637D" w:rsidP="005E18CF" w:rsidRDefault="00D9637D" w14:paraId="21D6CD70" w14:textId="77777777">
            <w:pPr>
              <w:jc w:val="center"/>
              <w:rPr>
                <w:rFonts w:ascii="Arial" w:hAnsi="Arial" w:cs="Arial"/>
                <w:sz w:val="22"/>
                <w:szCs w:val="22"/>
              </w:rPr>
            </w:pPr>
            <w:r>
              <w:rPr>
                <w:rFonts w:ascii="Arial" w:hAnsi="Arial" w:cs="Arial"/>
                <w:sz w:val="22"/>
                <w:szCs w:val="22"/>
              </w:rPr>
              <w:t>Solar PV</w:t>
            </w:r>
          </w:p>
        </w:tc>
        <w:tc>
          <w:tcPr>
            <w:tcW w:w="896" w:type="dxa"/>
            <w:shd w:val="clear" w:color="auto" w:fill="auto"/>
            <w:vAlign w:val="center"/>
          </w:tcPr>
          <w:p w:rsidR="00D9637D" w:rsidP="005E18CF" w:rsidRDefault="00D9637D" w14:paraId="489403ED" w14:textId="77777777">
            <w:pPr>
              <w:jc w:val="center"/>
              <w:rPr>
                <w:rFonts w:ascii="Arial" w:hAnsi="Arial" w:cs="Arial"/>
                <w:sz w:val="22"/>
                <w:szCs w:val="22"/>
              </w:rPr>
            </w:pPr>
            <w:r>
              <w:rPr>
                <w:rFonts w:ascii="Arial" w:hAnsi="Arial" w:cs="Arial"/>
                <w:sz w:val="22"/>
                <w:szCs w:val="22"/>
              </w:rPr>
              <w:t>10</w:t>
            </w:r>
          </w:p>
        </w:tc>
        <w:tc>
          <w:tcPr>
            <w:tcW w:w="1228" w:type="dxa"/>
            <w:shd w:val="clear" w:color="auto" w:fill="auto"/>
            <w:vAlign w:val="center"/>
          </w:tcPr>
          <w:p w:rsidR="00D9637D" w:rsidP="005E18CF" w:rsidRDefault="00D9637D" w14:paraId="71676473" w14:textId="77777777">
            <w:pPr>
              <w:jc w:val="center"/>
              <w:rPr>
                <w:rFonts w:ascii="Arial" w:hAnsi="Arial" w:cs="Arial"/>
                <w:sz w:val="22"/>
                <w:szCs w:val="22"/>
              </w:rPr>
            </w:pPr>
            <w:r>
              <w:rPr>
                <w:rFonts w:ascii="Arial" w:hAnsi="Arial" w:cs="Arial"/>
                <w:sz w:val="22"/>
                <w:szCs w:val="22"/>
              </w:rPr>
              <w:t>80</w:t>
            </w:r>
          </w:p>
        </w:tc>
        <w:tc>
          <w:tcPr>
            <w:tcW w:w="1576" w:type="dxa"/>
            <w:shd w:val="clear" w:color="auto" w:fill="auto"/>
            <w:vAlign w:val="center"/>
          </w:tcPr>
          <w:p w:rsidR="00D9637D" w:rsidP="005E18CF" w:rsidRDefault="0098076B" w14:paraId="26858950" w14:textId="1EC8214C">
            <w:pPr>
              <w:jc w:val="center"/>
              <w:rPr>
                <w:rFonts w:ascii="Arial" w:hAnsi="Arial" w:cs="Arial"/>
                <w:sz w:val="22"/>
                <w:szCs w:val="22"/>
              </w:rPr>
            </w:pPr>
            <w:r>
              <w:rPr>
                <w:rFonts w:ascii="Arial" w:hAnsi="Arial" w:cs="Arial"/>
                <w:sz w:val="22"/>
                <w:szCs w:val="22"/>
              </w:rPr>
              <w:t>30,000</w:t>
            </w:r>
          </w:p>
        </w:tc>
        <w:tc>
          <w:tcPr>
            <w:tcW w:w="1251" w:type="dxa"/>
            <w:shd w:val="clear" w:color="auto" w:fill="auto"/>
            <w:vAlign w:val="center"/>
          </w:tcPr>
          <w:p w:rsidR="00D9637D" w:rsidP="005E18CF" w:rsidRDefault="00387C1D" w14:paraId="2CCED76C" w14:textId="5C674620">
            <w:pPr>
              <w:jc w:val="center"/>
              <w:rPr>
                <w:rFonts w:ascii="Arial" w:hAnsi="Arial" w:cs="Arial"/>
                <w:sz w:val="22"/>
                <w:szCs w:val="22"/>
              </w:rPr>
            </w:pPr>
            <w:r>
              <w:rPr>
                <w:rFonts w:ascii="Arial" w:hAnsi="Arial" w:cs="Arial"/>
                <w:sz w:val="22"/>
                <w:szCs w:val="22"/>
              </w:rPr>
              <w:t>8</w:t>
            </w:r>
            <w:r w:rsidR="00D9637D">
              <w:rPr>
                <w:rFonts w:ascii="Arial" w:hAnsi="Arial" w:cs="Arial"/>
                <w:sz w:val="22"/>
                <w:szCs w:val="22"/>
              </w:rPr>
              <w:t>/</w:t>
            </w:r>
            <w:r>
              <w:rPr>
                <w:rFonts w:ascii="Arial" w:hAnsi="Arial" w:cs="Arial"/>
                <w:sz w:val="22"/>
                <w:szCs w:val="22"/>
              </w:rPr>
              <w:t>17</w:t>
            </w:r>
            <w:r w:rsidR="00D9637D">
              <w:rPr>
                <w:rFonts w:ascii="Arial" w:hAnsi="Arial" w:cs="Arial"/>
                <w:sz w:val="22"/>
                <w:szCs w:val="22"/>
              </w:rPr>
              <w:t>/</w:t>
            </w:r>
            <w:r>
              <w:rPr>
                <w:rFonts w:ascii="Arial" w:hAnsi="Arial" w:cs="Arial"/>
                <w:sz w:val="22"/>
                <w:szCs w:val="22"/>
              </w:rPr>
              <w:t>2016</w:t>
            </w:r>
          </w:p>
        </w:tc>
        <w:tc>
          <w:tcPr>
            <w:tcW w:w="1816" w:type="dxa"/>
            <w:shd w:val="clear" w:color="auto" w:fill="auto"/>
            <w:vAlign w:val="center"/>
          </w:tcPr>
          <w:p w:rsidR="00D9637D" w:rsidP="005E18CF" w:rsidRDefault="00D9637D" w14:paraId="162B1564" w14:textId="77777777">
            <w:pPr>
              <w:jc w:val="center"/>
              <w:rPr>
                <w:rFonts w:ascii="Arial" w:hAnsi="Arial" w:cs="Arial"/>
                <w:sz w:val="22"/>
                <w:szCs w:val="22"/>
              </w:rPr>
            </w:pPr>
            <w:r>
              <w:rPr>
                <w:rFonts w:ascii="Arial" w:hAnsi="Arial" w:cs="Arial"/>
                <w:sz w:val="22"/>
                <w:szCs w:val="22"/>
              </w:rPr>
              <w:t>Milford, Utah</w:t>
            </w:r>
          </w:p>
        </w:tc>
      </w:tr>
    </w:tbl>
    <w:p w:rsidR="00D9637D" w:rsidP="00821085" w:rsidRDefault="00D9637D" w14:paraId="2AEB424D" w14:textId="77777777"/>
    <w:p w:rsidRPr="00ED446D" w:rsidR="006E4623" w:rsidP="005D37FA" w:rsidRDefault="00BC3E42" w14:paraId="2548834C" w14:textId="3A87B5FA">
      <w:pPr>
        <w:rPr>
          <w:rFonts w:cs="Segoe UI"/>
          <w:szCs w:val="26"/>
        </w:rPr>
      </w:pPr>
      <w:r w:rsidRPr="00ED446D">
        <w:rPr>
          <w:rFonts w:cs="Segoe UI"/>
          <w:szCs w:val="26"/>
        </w:rPr>
        <w:t xml:space="preserve">PacifiCorp </w:t>
      </w:r>
      <w:r w:rsidRPr="00ED446D" w:rsidR="00E03155">
        <w:rPr>
          <w:rFonts w:cs="Segoe UI"/>
          <w:szCs w:val="26"/>
        </w:rPr>
        <w:t xml:space="preserve">is </w:t>
      </w:r>
      <w:r w:rsidRPr="00ED446D">
        <w:rPr>
          <w:rFonts w:cs="Segoe UI"/>
          <w:szCs w:val="26"/>
        </w:rPr>
        <w:t xml:space="preserve">already </w:t>
      </w:r>
      <w:r w:rsidRPr="00ED446D" w:rsidR="00E03155">
        <w:rPr>
          <w:rFonts w:cs="Segoe UI"/>
          <w:szCs w:val="26"/>
        </w:rPr>
        <w:t xml:space="preserve">procuring </w:t>
      </w:r>
      <w:r w:rsidRPr="00ED446D">
        <w:rPr>
          <w:rFonts w:cs="Segoe UI"/>
          <w:szCs w:val="26"/>
        </w:rPr>
        <w:t xml:space="preserve">the energy associated with the RECs from Escalante Solar III under a qualifying facility contract and will continue to procure the energy separately under the same contract. </w:t>
      </w:r>
    </w:p>
    <w:p w:rsidRPr="00ED446D" w:rsidR="006E4623" w:rsidP="005D37FA" w:rsidRDefault="006E4623" w14:paraId="11DD73CC" w14:textId="77777777">
      <w:pPr>
        <w:rPr>
          <w:rFonts w:cs="Segoe UI"/>
          <w:szCs w:val="26"/>
        </w:rPr>
      </w:pPr>
    </w:p>
    <w:p w:rsidRPr="00ED446D" w:rsidR="006E4623" w:rsidP="005D37FA" w:rsidRDefault="00BC3E42" w14:paraId="69875A45" w14:textId="657A139E">
      <w:pPr>
        <w:rPr>
          <w:rFonts w:cs="Segoe UI"/>
          <w:szCs w:val="26"/>
        </w:rPr>
      </w:pPr>
      <w:r w:rsidRPr="00ED446D">
        <w:rPr>
          <w:rFonts w:cs="Segoe UI"/>
          <w:szCs w:val="26"/>
        </w:rPr>
        <w:t>While Pacif</w:t>
      </w:r>
      <w:r w:rsidRPr="00ED446D" w:rsidR="00E03155">
        <w:rPr>
          <w:rFonts w:cs="Segoe UI"/>
          <w:szCs w:val="26"/>
        </w:rPr>
        <w:t>i</w:t>
      </w:r>
      <w:r w:rsidRPr="00ED446D">
        <w:rPr>
          <w:rFonts w:cs="Segoe UI"/>
          <w:szCs w:val="26"/>
        </w:rPr>
        <w:t xml:space="preserve">Corp conducted a Request for Proposals in November 2019, the </w:t>
      </w:r>
      <w:r w:rsidR="00493B13">
        <w:rPr>
          <w:rFonts w:cs="Segoe UI"/>
          <w:szCs w:val="26"/>
        </w:rPr>
        <w:t>A</w:t>
      </w:r>
      <w:r w:rsidRPr="00ED446D">
        <w:rPr>
          <w:rFonts w:cs="Segoe UI"/>
          <w:szCs w:val="26"/>
        </w:rPr>
        <w:t xml:space="preserve">greement was negotiated bilaterally and PacifiCorp </w:t>
      </w:r>
      <w:r w:rsidRPr="00ED446D" w:rsidR="00E03155">
        <w:rPr>
          <w:rFonts w:cs="Segoe UI"/>
          <w:szCs w:val="26"/>
        </w:rPr>
        <w:t xml:space="preserve">asserts </w:t>
      </w:r>
      <w:r w:rsidRPr="00ED446D">
        <w:rPr>
          <w:rFonts w:cs="Segoe UI"/>
          <w:szCs w:val="26"/>
        </w:rPr>
        <w:t xml:space="preserve">in AL </w:t>
      </w:r>
      <w:r w:rsidR="007B4411">
        <w:rPr>
          <w:rFonts w:cs="Segoe UI"/>
          <w:szCs w:val="26"/>
        </w:rPr>
        <w:t>617-E/E-A</w:t>
      </w:r>
      <w:r w:rsidRPr="00ED446D">
        <w:rPr>
          <w:rFonts w:cs="Segoe UI"/>
          <w:szCs w:val="26"/>
        </w:rPr>
        <w:t xml:space="preserve"> that the Escalante Solar III facility </w:t>
      </w:r>
      <w:bookmarkStart w:name="_Hlk60993885" w:id="2"/>
      <w:r w:rsidRPr="00ED446D">
        <w:rPr>
          <w:rFonts w:cs="Segoe UI"/>
          <w:szCs w:val="26"/>
        </w:rPr>
        <w:t xml:space="preserve">satisfies all of the preferred project characteristics </w:t>
      </w:r>
      <w:bookmarkEnd w:id="2"/>
      <w:r w:rsidRPr="00ED446D">
        <w:rPr>
          <w:rFonts w:cs="Segoe UI"/>
          <w:szCs w:val="26"/>
        </w:rPr>
        <w:t xml:space="preserve">of the November 2019 RFP.  </w:t>
      </w:r>
    </w:p>
    <w:p w:rsidRPr="00ED446D" w:rsidR="006E4623" w:rsidP="005D37FA" w:rsidRDefault="006E4623" w14:paraId="54BB35B3" w14:textId="77777777">
      <w:pPr>
        <w:rPr>
          <w:rFonts w:cs="Segoe UI"/>
          <w:szCs w:val="26"/>
        </w:rPr>
      </w:pPr>
    </w:p>
    <w:p w:rsidR="00CF17DE" w:rsidP="005D37FA" w:rsidRDefault="002F3068" w14:paraId="295761C3" w14:textId="31311192">
      <w:pPr>
        <w:rPr>
          <w:rFonts w:cs="Segoe UI"/>
          <w:szCs w:val="26"/>
        </w:rPr>
      </w:pPr>
      <w:r w:rsidRPr="00ED446D" w:rsidDel="00234D3A">
        <w:rPr>
          <w:rFonts w:cs="Segoe UI"/>
          <w:szCs w:val="26"/>
        </w:rPr>
        <w:t>PacifiCorp has elected early compliance with the 65</w:t>
      </w:r>
      <w:r w:rsidR="0077233F">
        <w:rPr>
          <w:rFonts w:cs="Segoe UI"/>
          <w:szCs w:val="26"/>
        </w:rPr>
        <w:t xml:space="preserve"> percent</w:t>
      </w:r>
      <w:r w:rsidRPr="00ED446D" w:rsidDel="00234D3A" w:rsidR="0077233F">
        <w:rPr>
          <w:rFonts w:cs="Segoe UI"/>
          <w:szCs w:val="26"/>
        </w:rPr>
        <w:t xml:space="preserve"> </w:t>
      </w:r>
      <w:r w:rsidRPr="00ED446D" w:rsidDel="00234D3A">
        <w:rPr>
          <w:rFonts w:cs="Segoe UI"/>
          <w:szCs w:val="26"/>
        </w:rPr>
        <w:t>long-term contracting requirement</w:t>
      </w:r>
      <w:r w:rsidRPr="00ED446D" w:rsidR="00F512BC">
        <w:rPr>
          <w:rFonts w:cs="Segoe UI"/>
          <w:szCs w:val="26"/>
        </w:rPr>
        <w:t>.  T</w:t>
      </w:r>
      <w:r w:rsidRPr="00ED446D" w:rsidDel="00234D3A">
        <w:rPr>
          <w:rFonts w:cs="Segoe UI"/>
          <w:szCs w:val="26"/>
        </w:rPr>
        <w:t xml:space="preserve">his </w:t>
      </w:r>
      <w:r w:rsidR="00493B13">
        <w:rPr>
          <w:rFonts w:cs="Segoe UI"/>
          <w:szCs w:val="26"/>
        </w:rPr>
        <w:t>A</w:t>
      </w:r>
      <w:r w:rsidRPr="00ED446D" w:rsidDel="00234D3A">
        <w:rPr>
          <w:rFonts w:cs="Segoe UI"/>
          <w:szCs w:val="26"/>
        </w:rPr>
        <w:t xml:space="preserve">greement </w:t>
      </w:r>
      <w:r w:rsidRPr="00ED446D" w:rsidR="00F512BC">
        <w:rPr>
          <w:rFonts w:cs="Segoe UI"/>
          <w:szCs w:val="26"/>
        </w:rPr>
        <w:t xml:space="preserve">is intended to </w:t>
      </w:r>
      <w:r w:rsidRPr="00ED446D" w:rsidR="00041E8C">
        <w:rPr>
          <w:rFonts w:cs="Segoe UI"/>
          <w:szCs w:val="26"/>
        </w:rPr>
        <w:t xml:space="preserve">contribute towards </w:t>
      </w:r>
      <w:r w:rsidRPr="00ED446D" w:rsidR="00F512BC">
        <w:rPr>
          <w:rFonts w:cs="Segoe UI"/>
          <w:szCs w:val="26"/>
        </w:rPr>
        <w:t xml:space="preserve">PacifiCorp meeting its RPS and long-term contracting requirements in the </w:t>
      </w:r>
      <w:r w:rsidR="00C80BD8">
        <w:rPr>
          <w:rFonts w:cs="Segoe UI"/>
          <w:szCs w:val="26"/>
        </w:rPr>
        <w:br/>
      </w:r>
      <w:r w:rsidRPr="00ED446D" w:rsidR="00F512BC">
        <w:rPr>
          <w:rFonts w:cs="Segoe UI"/>
          <w:szCs w:val="26"/>
        </w:rPr>
        <w:t>2017-2020 and</w:t>
      </w:r>
      <w:r w:rsidRPr="00ED446D" w:rsidR="00041E8C">
        <w:rPr>
          <w:rFonts w:cs="Segoe UI"/>
          <w:szCs w:val="26"/>
        </w:rPr>
        <w:t xml:space="preserve"> future Compliance Periods.</w:t>
      </w:r>
      <w:r w:rsidRPr="00ED446D" w:rsidDel="00234D3A">
        <w:rPr>
          <w:rFonts w:cs="Segoe UI"/>
          <w:szCs w:val="26"/>
        </w:rPr>
        <w:t xml:space="preserve"> </w:t>
      </w:r>
    </w:p>
    <w:p w:rsidR="006942D7" w:rsidP="005D37FA" w:rsidRDefault="006942D7" w14:paraId="0921A589" w14:textId="7706EA35">
      <w:pPr>
        <w:rPr>
          <w:rFonts w:cs="Segoe UI"/>
          <w:szCs w:val="26"/>
        </w:rPr>
      </w:pPr>
    </w:p>
    <w:p w:rsidR="006942D7" w:rsidP="006942D7" w:rsidRDefault="00F820FB" w14:paraId="32054FDC" w14:textId="427BC8EF">
      <w:pPr>
        <w:rPr>
          <w:rFonts w:ascii="Palatino Linotype" w:hAnsi="Palatino Linotype"/>
        </w:rPr>
      </w:pPr>
      <w:r>
        <w:rPr>
          <w:rFonts w:cs="Segoe UI"/>
          <w:szCs w:val="26"/>
        </w:rPr>
        <w:t xml:space="preserve">PacifiCorp’s execution of the Agreement is consistent with PacifiCorp’s </w:t>
      </w:r>
      <w:r w:rsidRPr="00F820FB">
        <w:rPr>
          <w:rFonts w:cs="Segoe UI"/>
          <w:szCs w:val="26"/>
        </w:rPr>
        <w:t xml:space="preserve">2018 </w:t>
      </w:r>
      <w:r w:rsidR="00C80BD8">
        <w:rPr>
          <w:rFonts w:cs="Segoe UI"/>
          <w:szCs w:val="26"/>
        </w:rPr>
        <w:br/>
      </w:r>
      <w:r w:rsidRPr="00F820FB">
        <w:rPr>
          <w:rFonts w:cs="Segoe UI"/>
          <w:szCs w:val="26"/>
        </w:rPr>
        <w:t xml:space="preserve">Off-Year </w:t>
      </w:r>
      <w:r w:rsidRPr="00B97377">
        <w:rPr>
          <w:rFonts w:cs="Segoe UI"/>
          <w:szCs w:val="26"/>
        </w:rPr>
        <w:t>Supplement</w:t>
      </w:r>
      <w:r w:rsidRPr="00B97377" w:rsidR="001133AB">
        <w:rPr>
          <w:rFonts w:cs="Segoe UI"/>
          <w:szCs w:val="26"/>
        </w:rPr>
        <w:t>, which the CPUC approved in Decision (D.)</w:t>
      </w:r>
      <w:r w:rsidRPr="00B97377" w:rsidR="00B97377">
        <w:t xml:space="preserve"> </w:t>
      </w:r>
      <w:r w:rsidRPr="00B97377" w:rsidR="00B97377">
        <w:rPr>
          <w:rFonts w:cs="Segoe UI"/>
          <w:szCs w:val="26"/>
        </w:rPr>
        <w:t>19-02-007</w:t>
      </w:r>
      <w:r w:rsidRPr="00B97377" w:rsidR="006942D7">
        <w:rPr>
          <w:rFonts w:ascii="Palatino Linotype" w:hAnsi="Palatino Linotype"/>
        </w:rPr>
        <w:t xml:space="preserve">. Additionally, RPS deliveries pursuant to the </w:t>
      </w:r>
      <w:r w:rsidRPr="00B97377" w:rsidR="00B97377">
        <w:rPr>
          <w:rFonts w:ascii="Palatino Linotype" w:hAnsi="Palatino Linotype"/>
        </w:rPr>
        <w:t>Agreement</w:t>
      </w:r>
      <w:r w:rsidRPr="00B97377" w:rsidR="006942D7">
        <w:rPr>
          <w:rFonts w:ascii="Palatino Linotype" w:hAnsi="Palatino Linotype"/>
        </w:rPr>
        <w:t xml:space="preserve"> are reasonably priced and the related costs to </w:t>
      </w:r>
      <w:r w:rsidRPr="00B97377" w:rsidR="00B97377">
        <w:rPr>
          <w:rFonts w:ascii="Palatino Linotype" w:hAnsi="Palatino Linotype"/>
        </w:rPr>
        <w:t>PacifiCorp</w:t>
      </w:r>
      <w:r w:rsidRPr="00B97377" w:rsidR="006942D7">
        <w:rPr>
          <w:rFonts w:ascii="Palatino Linotype" w:hAnsi="Palatino Linotype"/>
        </w:rPr>
        <w:t xml:space="preserve"> are fully recoverable in rates over the life of the </w:t>
      </w:r>
      <w:r w:rsidRPr="00B97377" w:rsidR="00B97377">
        <w:rPr>
          <w:rFonts w:ascii="Palatino Linotype" w:hAnsi="Palatino Linotype"/>
        </w:rPr>
        <w:t>Agreement</w:t>
      </w:r>
      <w:r w:rsidRPr="00B97377" w:rsidR="006942D7">
        <w:rPr>
          <w:rFonts w:ascii="Palatino Linotype" w:hAnsi="Palatino Linotype"/>
        </w:rPr>
        <w:t xml:space="preserve">, subject to </w:t>
      </w:r>
      <w:r w:rsidRPr="00B97377" w:rsidR="009A2C52">
        <w:rPr>
          <w:rFonts w:ascii="Palatino Linotype" w:hAnsi="Palatino Linotype"/>
        </w:rPr>
        <w:t>CPUC</w:t>
      </w:r>
      <w:r w:rsidRPr="00B97377" w:rsidR="006942D7">
        <w:rPr>
          <w:rFonts w:ascii="Palatino Linotype" w:hAnsi="Palatino Linotype"/>
        </w:rPr>
        <w:t xml:space="preserve"> review of </w:t>
      </w:r>
      <w:r w:rsidRPr="00B97377" w:rsidR="00B97377">
        <w:rPr>
          <w:rFonts w:ascii="Palatino Linotype" w:hAnsi="Palatino Linotype"/>
        </w:rPr>
        <w:t>PacifiCorp</w:t>
      </w:r>
      <w:r w:rsidRPr="00B97377" w:rsidR="006942D7">
        <w:rPr>
          <w:rFonts w:ascii="Palatino Linotype" w:hAnsi="Palatino Linotype"/>
        </w:rPr>
        <w:t xml:space="preserve">’s administration of the </w:t>
      </w:r>
      <w:r w:rsidRPr="00B97377" w:rsidR="00B97377">
        <w:rPr>
          <w:rFonts w:ascii="Palatino Linotype" w:hAnsi="Palatino Linotype"/>
        </w:rPr>
        <w:t>Agreement</w:t>
      </w:r>
      <w:r w:rsidRPr="00B97377" w:rsidR="006942D7">
        <w:rPr>
          <w:rFonts w:ascii="Palatino Linotype" w:hAnsi="Palatino Linotype"/>
        </w:rPr>
        <w:t>.</w:t>
      </w:r>
    </w:p>
    <w:p w:rsidR="005838A8" w:rsidP="006942D7" w:rsidRDefault="005838A8" w14:paraId="4BED5456" w14:textId="77777777">
      <w:pPr>
        <w:rPr>
          <w:rFonts w:ascii="Palatino Linotype" w:hAnsi="Palatino Linotype"/>
        </w:rPr>
      </w:pPr>
    </w:p>
    <w:p w:rsidR="00CF17DE" w:rsidP="005838A8" w:rsidRDefault="00CF17DE" w14:paraId="0BFDDE4C" w14:textId="77777777">
      <w:pPr>
        <w:pStyle w:val="Heading1"/>
      </w:pPr>
      <w:r>
        <w:lastRenderedPageBreak/>
        <w:t>Background</w:t>
      </w:r>
    </w:p>
    <w:p w:rsidR="00041E8C" w:rsidP="005838A8" w:rsidRDefault="00A07D69" w14:paraId="0D7206AF" w14:textId="77777777">
      <w:pPr>
        <w:keepNext/>
        <w:spacing w:after="120"/>
        <w:rPr>
          <w:b/>
          <w:bCs/>
        </w:rPr>
      </w:pPr>
      <w:r w:rsidRPr="00AF1E58">
        <w:rPr>
          <w:b/>
          <w:bCs/>
        </w:rPr>
        <w:t>Overview of the Renewables Portfolio Standard (RPS) Program</w:t>
      </w:r>
    </w:p>
    <w:p w:rsidRPr="00ED446D" w:rsidR="00A07D69" w:rsidP="005838A8" w:rsidRDefault="00A07D69" w14:paraId="266F8F43" w14:textId="48FF83D9">
      <w:pPr>
        <w:rPr>
          <w:rFonts w:cs="Segoe UI"/>
          <w:szCs w:val="26"/>
        </w:rPr>
      </w:pPr>
      <w:r w:rsidRPr="00ED446D">
        <w:rPr>
          <w:rFonts w:cs="Segoe UI"/>
          <w:szCs w:val="26"/>
        </w:rPr>
        <w:t>The California RPS program was established by Senate Bill (SB) 1078, and has been subsequently modified by SB 107, SB 1036, SB 2 (1X), SB 350 and SB 100.</w:t>
      </w:r>
      <w:r w:rsidRPr="00DF1E00">
        <w:rPr>
          <w:rFonts w:cs="Segoe UI"/>
          <w:szCs w:val="26"/>
          <w:vertAlign w:val="superscript"/>
        </w:rPr>
        <w:footnoteReference w:id="2"/>
      </w:r>
      <w:r w:rsidRPr="00ED446D">
        <w:rPr>
          <w:rFonts w:cs="Segoe UI"/>
          <w:szCs w:val="26"/>
        </w:rPr>
        <w:t xml:space="preserve"> The RPS program is codified in Public Utilities Code Sections 399.11-399.33.</w:t>
      </w:r>
      <w:r w:rsidRPr="00DF1E00" w:rsidR="00AF1E58">
        <w:rPr>
          <w:rFonts w:cs="Segoe UI"/>
          <w:szCs w:val="26"/>
          <w:vertAlign w:val="superscript"/>
        </w:rPr>
        <w:footnoteReference w:id="3"/>
      </w:r>
    </w:p>
    <w:p w:rsidRPr="00ED446D" w:rsidR="00A07D69" w:rsidRDefault="00A07D69" w14:paraId="509C1CD6" w14:textId="100B1184">
      <w:pPr>
        <w:rPr>
          <w:rFonts w:cs="Segoe UI"/>
          <w:szCs w:val="26"/>
        </w:rPr>
      </w:pPr>
    </w:p>
    <w:p w:rsidRPr="00ED446D" w:rsidR="00A07D69" w:rsidRDefault="00A07D69" w14:paraId="7DBBB540" w14:textId="1D3A3201">
      <w:pPr>
        <w:rPr>
          <w:rFonts w:cs="Segoe UI"/>
          <w:szCs w:val="26"/>
        </w:rPr>
      </w:pPr>
      <w:r w:rsidRPr="00ED446D">
        <w:rPr>
          <w:rFonts w:cs="Segoe UI"/>
          <w:szCs w:val="26"/>
        </w:rPr>
        <w:t xml:space="preserve">The RPS program administered by the </w:t>
      </w:r>
      <w:r w:rsidR="009A2C52">
        <w:rPr>
          <w:rFonts w:cs="Segoe UI"/>
          <w:szCs w:val="26"/>
        </w:rPr>
        <w:t>CPUC</w:t>
      </w:r>
      <w:r w:rsidRPr="00ED446D">
        <w:rPr>
          <w:rFonts w:cs="Segoe UI"/>
          <w:szCs w:val="26"/>
        </w:rPr>
        <w:t xml:space="preserve"> requires each retail seller to procure eligible renewable energy resources so that the amount of electricity generated from eligible renewable resources be an amount that equals an average 33 percent of retail sales by December 31, 2020 and 60</w:t>
      </w:r>
      <w:r w:rsidR="0077233F">
        <w:rPr>
          <w:rFonts w:cs="Segoe UI"/>
          <w:szCs w:val="26"/>
        </w:rPr>
        <w:t xml:space="preserve"> percent</w:t>
      </w:r>
      <w:r w:rsidRPr="00ED446D" w:rsidR="0077233F">
        <w:rPr>
          <w:rFonts w:cs="Segoe UI"/>
          <w:szCs w:val="26"/>
        </w:rPr>
        <w:t xml:space="preserve"> </w:t>
      </w:r>
      <w:r w:rsidRPr="00ED446D">
        <w:rPr>
          <w:rFonts w:cs="Segoe UI"/>
          <w:szCs w:val="26"/>
        </w:rPr>
        <w:t>by 2030, while also requiring all of the state’s electricity to come from zero carbon resources by 2045.</w:t>
      </w:r>
      <w:r w:rsidRPr="008E1E9B">
        <w:rPr>
          <w:rFonts w:cs="Segoe UI"/>
          <w:szCs w:val="26"/>
          <w:vertAlign w:val="superscript"/>
        </w:rPr>
        <w:footnoteReference w:id="4"/>
      </w:r>
      <w:r w:rsidRPr="008E1E9B">
        <w:rPr>
          <w:rFonts w:cs="Segoe UI"/>
          <w:szCs w:val="26"/>
          <w:vertAlign w:val="superscript"/>
        </w:rPr>
        <w:t xml:space="preserve"> </w:t>
      </w:r>
    </w:p>
    <w:p w:rsidRPr="00ED446D" w:rsidR="00A07D69" w:rsidP="00A07D69" w:rsidRDefault="00A07D69" w14:paraId="25255E99" w14:textId="77777777">
      <w:pPr>
        <w:rPr>
          <w:rFonts w:cs="Segoe UI"/>
          <w:szCs w:val="26"/>
        </w:rPr>
      </w:pPr>
    </w:p>
    <w:p w:rsidRPr="00ED446D" w:rsidR="00A07D69" w:rsidP="00A07D69" w:rsidRDefault="00A07D69" w14:paraId="25AAE149" w14:textId="40DF170E">
      <w:pPr>
        <w:rPr>
          <w:rFonts w:cs="Segoe UI"/>
          <w:szCs w:val="26"/>
        </w:rPr>
      </w:pPr>
      <w:r w:rsidRPr="00ED446D">
        <w:rPr>
          <w:rFonts w:cs="Segoe UI"/>
          <w:szCs w:val="26"/>
        </w:rPr>
        <w:t xml:space="preserve">Additional background information about the </w:t>
      </w:r>
      <w:r w:rsidR="009A2C52">
        <w:rPr>
          <w:rFonts w:cs="Segoe UI"/>
          <w:szCs w:val="26"/>
        </w:rPr>
        <w:t>CPUC</w:t>
      </w:r>
      <w:r w:rsidRPr="00ED446D">
        <w:rPr>
          <w:rFonts w:cs="Segoe UI"/>
          <w:szCs w:val="26"/>
        </w:rPr>
        <w:t xml:space="preserve">’s RPS Program, including links to relevant laws and </w:t>
      </w:r>
      <w:r w:rsidR="009A2C52">
        <w:rPr>
          <w:rFonts w:cs="Segoe UI"/>
          <w:szCs w:val="26"/>
        </w:rPr>
        <w:t>CPUC</w:t>
      </w:r>
      <w:r w:rsidRPr="00ED446D">
        <w:rPr>
          <w:rFonts w:cs="Segoe UI"/>
          <w:szCs w:val="26"/>
        </w:rPr>
        <w:t xml:space="preserve"> decisions, is available at</w:t>
      </w:r>
      <w:r w:rsidR="008B38DC">
        <w:rPr>
          <w:rFonts w:cs="Segoe UI"/>
          <w:szCs w:val="26"/>
        </w:rPr>
        <w:t>:</w:t>
      </w:r>
      <w:r w:rsidRPr="00ED446D">
        <w:rPr>
          <w:rFonts w:cs="Segoe UI"/>
          <w:szCs w:val="26"/>
        </w:rPr>
        <w:t xml:space="preserve"> </w:t>
      </w:r>
    </w:p>
    <w:p w:rsidRPr="00ED446D" w:rsidR="00A07D69" w:rsidP="00A07D69" w:rsidRDefault="00A07D69" w14:paraId="13ABAB47" w14:textId="4578A858">
      <w:pPr>
        <w:rPr>
          <w:rFonts w:cs="Segoe UI"/>
          <w:szCs w:val="26"/>
        </w:rPr>
      </w:pPr>
      <w:r w:rsidRPr="00ED446D">
        <w:rPr>
          <w:rFonts w:cs="Segoe UI"/>
          <w:szCs w:val="26"/>
        </w:rPr>
        <w:t>http://www.cpuc.ca.gov/RPS/ and http://www.cpuc.ca.gov/RPS_Decisions_Proceedings/</w:t>
      </w:r>
      <w:r w:rsidR="008B38DC">
        <w:rPr>
          <w:rFonts w:cs="Segoe UI"/>
          <w:szCs w:val="26"/>
        </w:rPr>
        <w:t xml:space="preserve">. </w:t>
      </w:r>
    </w:p>
    <w:p w:rsidR="00DF35CC" w:rsidRDefault="00DF35CC" w14:paraId="7ED5ADC6" w14:textId="77777777">
      <w:pPr>
        <w:rPr>
          <w:b/>
          <w:u w:val="single"/>
        </w:rPr>
      </w:pPr>
    </w:p>
    <w:p w:rsidR="00CF17DE" w:rsidRDefault="00394B3A" w14:paraId="66788129" w14:textId="77777777">
      <w:pPr>
        <w:pStyle w:val="Heading1"/>
      </w:pPr>
      <w:r>
        <w:t>Notice</w:t>
      </w:r>
    </w:p>
    <w:p w:rsidRPr="00ED446D" w:rsidR="00067AC5" w:rsidRDefault="00CF17DE" w14:paraId="4F1D557C" w14:textId="2163166B">
      <w:pPr>
        <w:rPr>
          <w:rFonts w:cs="Segoe UI"/>
          <w:szCs w:val="26"/>
        </w:rPr>
      </w:pPr>
      <w:r w:rsidRPr="00ED446D">
        <w:rPr>
          <w:rFonts w:cs="Segoe UI"/>
          <w:szCs w:val="26"/>
        </w:rPr>
        <w:t>Notice of AL</w:t>
      </w:r>
      <w:r w:rsidRPr="00ED446D" w:rsidR="003E7676">
        <w:rPr>
          <w:rFonts w:cs="Segoe UI"/>
          <w:szCs w:val="26"/>
        </w:rPr>
        <w:t xml:space="preserve"> </w:t>
      </w:r>
      <w:r w:rsidRPr="00ED446D" w:rsidR="00577672">
        <w:rPr>
          <w:rFonts w:cs="Segoe UI"/>
          <w:szCs w:val="26"/>
        </w:rPr>
        <w:t>617</w:t>
      </w:r>
      <w:r w:rsidRPr="00ED446D">
        <w:rPr>
          <w:rFonts w:cs="Segoe UI"/>
          <w:szCs w:val="26"/>
        </w:rPr>
        <w:t xml:space="preserve">-E was made by publication in the </w:t>
      </w:r>
      <w:r w:rsidR="009A2C52">
        <w:rPr>
          <w:rFonts w:cs="Segoe UI"/>
          <w:szCs w:val="26"/>
        </w:rPr>
        <w:t>CPUC</w:t>
      </w:r>
      <w:r w:rsidRPr="00ED446D">
        <w:rPr>
          <w:rFonts w:cs="Segoe UI"/>
          <w:szCs w:val="26"/>
        </w:rPr>
        <w:t xml:space="preserve">’s Daily Calendar.  </w:t>
      </w:r>
      <w:r w:rsidRPr="00ED446D" w:rsidR="003E7676">
        <w:rPr>
          <w:rFonts w:cs="Segoe UI"/>
          <w:szCs w:val="26"/>
        </w:rPr>
        <w:t>PacifiCorp</w:t>
      </w:r>
      <w:r w:rsidRPr="00ED446D">
        <w:rPr>
          <w:rFonts w:cs="Segoe UI"/>
          <w:szCs w:val="26"/>
        </w:rPr>
        <w:t xml:space="preserve"> states that a copy of the Advice Letter was mailed and distributed in accordance with Sec</w:t>
      </w:r>
      <w:r w:rsidRPr="00ED446D" w:rsidR="00A1526C">
        <w:rPr>
          <w:rFonts w:cs="Segoe UI"/>
          <w:szCs w:val="26"/>
        </w:rPr>
        <w:t xml:space="preserve">tion </w:t>
      </w:r>
      <w:r w:rsidRPr="00ED446D" w:rsidR="0069631C">
        <w:rPr>
          <w:rFonts w:cs="Segoe UI"/>
          <w:szCs w:val="26"/>
        </w:rPr>
        <w:t>4</w:t>
      </w:r>
      <w:r w:rsidRPr="00ED446D" w:rsidR="00E928CF">
        <w:rPr>
          <w:rFonts w:cs="Segoe UI"/>
          <w:szCs w:val="26"/>
        </w:rPr>
        <w:t xml:space="preserve"> of General Order 96-B</w:t>
      </w:r>
      <w:r w:rsidRPr="00ED446D">
        <w:rPr>
          <w:rFonts w:cs="Segoe UI"/>
          <w:szCs w:val="26"/>
        </w:rPr>
        <w:t xml:space="preserve">. </w:t>
      </w:r>
    </w:p>
    <w:p w:rsidR="00CF17DE" w:rsidRDefault="00CF17DE" w14:paraId="6E8F021A" w14:textId="77777777"/>
    <w:p w:rsidR="00CF17DE" w:rsidRDefault="00CF17DE" w14:paraId="7F509E4C" w14:textId="77777777">
      <w:pPr>
        <w:pStyle w:val="Heading1"/>
      </w:pPr>
      <w:r>
        <w:t>Protests</w:t>
      </w:r>
    </w:p>
    <w:p w:rsidRPr="00ED446D" w:rsidR="00CF17DE" w:rsidRDefault="00CF17DE" w14:paraId="52D5B761" w14:textId="3040EB63">
      <w:pPr>
        <w:rPr>
          <w:rFonts w:cs="Segoe UI"/>
          <w:szCs w:val="26"/>
        </w:rPr>
      </w:pPr>
      <w:r w:rsidRPr="00ED446D">
        <w:rPr>
          <w:rFonts w:cs="Segoe UI"/>
          <w:szCs w:val="26"/>
        </w:rPr>
        <w:t>Advice Letter</w:t>
      </w:r>
      <w:r w:rsidR="00DA13D0">
        <w:rPr>
          <w:rFonts w:cs="Segoe UI"/>
          <w:szCs w:val="26"/>
        </w:rPr>
        <w:t>s</w:t>
      </w:r>
      <w:r w:rsidRPr="00ED446D">
        <w:rPr>
          <w:rFonts w:cs="Segoe UI"/>
          <w:szCs w:val="26"/>
        </w:rPr>
        <w:t xml:space="preserve"> </w:t>
      </w:r>
      <w:r w:rsidRPr="00ED446D" w:rsidR="00577672">
        <w:rPr>
          <w:rFonts w:cs="Segoe UI"/>
          <w:szCs w:val="26"/>
        </w:rPr>
        <w:t>617</w:t>
      </w:r>
      <w:r w:rsidRPr="00ED446D">
        <w:rPr>
          <w:rFonts w:cs="Segoe UI"/>
          <w:szCs w:val="26"/>
        </w:rPr>
        <w:t>-E</w:t>
      </w:r>
      <w:r w:rsidR="00DA13D0">
        <w:rPr>
          <w:rFonts w:cs="Segoe UI"/>
          <w:szCs w:val="26"/>
        </w:rPr>
        <w:t xml:space="preserve"> and 617-E-A</w:t>
      </w:r>
      <w:r w:rsidRPr="00ED446D">
        <w:rPr>
          <w:rFonts w:cs="Segoe UI"/>
          <w:szCs w:val="26"/>
        </w:rPr>
        <w:t xml:space="preserve"> </w:t>
      </w:r>
      <w:r w:rsidR="00DA13D0">
        <w:rPr>
          <w:rFonts w:cs="Segoe UI"/>
          <w:szCs w:val="26"/>
        </w:rPr>
        <w:t>were</w:t>
      </w:r>
      <w:r w:rsidRPr="00ED446D" w:rsidR="00DA13D0">
        <w:rPr>
          <w:rFonts w:cs="Segoe UI"/>
          <w:szCs w:val="26"/>
        </w:rPr>
        <w:t xml:space="preserve"> </w:t>
      </w:r>
      <w:r w:rsidRPr="00ED446D" w:rsidR="003E7676">
        <w:rPr>
          <w:rFonts w:cs="Segoe UI"/>
          <w:szCs w:val="26"/>
        </w:rPr>
        <w:t xml:space="preserve">not </w:t>
      </w:r>
      <w:r w:rsidRPr="00ED446D">
        <w:rPr>
          <w:rFonts w:cs="Segoe UI"/>
          <w:szCs w:val="26"/>
        </w:rPr>
        <w:t xml:space="preserve">protested.  </w:t>
      </w:r>
    </w:p>
    <w:p w:rsidR="00CF17DE" w:rsidRDefault="00CF17DE" w14:paraId="6BE8E21F" w14:textId="77777777"/>
    <w:p w:rsidR="00CF17DE" w:rsidRDefault="00CF17DE" w14:paraId="23E10AE5" w14:textId="77777777">
      <w:pPr>
        <w:pStyle w:val="Heading1"/>
      </w:pPr>
      <w:r>
        <w:lastRenderedPageBreak/>
        <w:t>Discussion</w:t>
      </w:r>
    </w:p>
    <w:p w:rsidRPr="00ED446D" w:rsidR="009979CC" w:rsidP="005838A8" w:rsidRDefault="009979CC" w14:paraId="5036B0E2" w14:textId="650ECC40">
      <w:pPr>
        <w:spacing w:after="120"/>
        <w:rPr>
          <w:rFonts w:cs="Segoe UI"/>
          <w:b/>
          <w:bCs/>
          <w:szCs w:val="26"/>
        </w:rPr>
      </w:pPr>
      <w:r w:rsidRPr="00ED446D">
        <w:rPr>
          <w:rFonts w:cs="Segoe UI"/>
          <w:b/>
          <w:bCs/>
          <w:szCs w:val="26"/>
        </w:rPr>
        <w:t xml:space="preserve">PacifiCorp requests approval of a REC </w:t>
      </w:r>
      <w:r w:rsidR="00340481">
        <w:rPr>
          <w:rFonts w:cs="Segoe UI"/>
          <w:b/>
          <w:bCs/>
          <w:szCs w:val="26"/>
        </w:rPr>
        <w:t xml:space="preserve">Purchase </w:t>
      </w:r>
      <w:r w:rsidR="00716095">
        <w:rPr>
          <w:rFonts w:cs="Segoe UI"/>
          <w:b/>
          <w:bCs/>
          <w:szCs w:val="26"/>
        </w:rPr>
        <w:t xml:space="preserve">and </w:t>
      </w:r>
      <w:r w:rsidR="00340481">
        <w:rPr>
          <w:rFonts w:cs="Segoe UI"/>
          <w:b/>
          <w:bCs/>
          <w:szCs w:val="26"/>
        </w:rPr>
        <w:t xml:space="preserve">Sale </w:t>
      </w:r>
      <w:r w:rsidR="00112150">
        <w:rPr>
          <w:rFonts w:cs="Segoe UI"/>
          <w:b/>
          <w:bCs/>
          <w:szCs w:val="26"/>
        </w:rPr>
        <w:t>A</w:t>
      </w:r>
      <w:r w:rsidRPr="00ED446D" w:rsidR="00112150">
        <w:rPr>
          <w:rFonts w:cs="Segoe UI"/>
          <w:b/>
          <w:bCs/>
          <w:szCs w:val="26"/>
        </w:rPr>
        <w:t xml:space="preserve">greement </w:t>
      </w:r>
      <w:r w:rsidRPr="00ED446D">
        <w:rPr>
          <w:rFonts w:cs="Segoe UI"/>
          <w:b/>
          <w:bCs/>
          <w:szCs w:val="26"/>
        </w:rPr>
        <w:t>with Escalante Solar III, LLC</w:t>
      </w:r>
      <w:r w:rsidRPr="00ED446D" w:rsidR="006E4623">
        <w:rPr>
          <w:rFonts w:cs="Segoe UI"/>
          <w:b/>
          <w:bCs/>
          <w:szCs w:val="26"/>
        </w:rPr>
        <w:t>.</w:t>
      </w:r>
    </w:p>
    <w:p w:rsidRPr="00ED446D" w:rsidR="00F956B2" w:rsidRDefault="00F956B2" w14:paraId="6D72521D" w14:textId="42BB69E1">
      <w:pPr>
        <w:rPr>
          <w:rFonts w:cs="Segoe UI"/>
          <w:szCs w:val="26"/>
        </w:rPr>
      </w:pPr>
      <w:r w:rsidRPr="00ED446D">
        <w:rPr>
          <w:rFonts w:cs="Segoe UI"/>
          <w:szCs w:val="26"/>
        </w:rPr>
        <w:t xml:space="preserve">On </w:t>
      </w:r>
      <w:r w:rsidRPr="00ED446D" w:rsidR="00E65F6F">
        <w:rPr>
          <w:rFonts w:cs="Segoe UI"/>
          <w:szCs w:val="26"/>
        </w:rPr>
        <w:t>June</w:t>
      </w:r>
      <w:r w:rsidRPr="00ED446D">
        <w:rPr>
          <w:rFonts w:cs="Segoe UI"/>
          <w:szCs w:val="26"/>
        </w:rPr>
        <w:t xml:space="preserve"> </w:t>
      </w:r>
      <w:r w:rsidRPr="00ED446D" w:rsidR="00E65F6F">
        <w:rPr>
          <w:rFonts w:cs="Segoe UI"/>
          <w:szCs w:val="26"/>
        </w:rPr>
        <w:t>5</w:t>
      </w:r>
      <w:r w:rsidRPr="00ED446D">
        <w:rPr>
          <w:rFonts w:cs="Segoe UI"/>
          <w:szCs w:val="26"/>
        </w:rPr>
        <w:t xml:space="preserve">, 2020, PacifiCorp filed AL 617-E requesting </w:t>
      </w:r>
      <w:r w:rsidR="009A2C52">
        <w:rPr>
          <w:rFonts w:cs="Segoe UI"/>
          <w:szCs w:val="26"/>
        </w:rPr>
        <w:t>CPUC</w:t>
      </w:r>
      <w:r w:rsidRPr="00ED446D">
        <w:rPr>
          <w:rFonts w:cs="Segoe UI"/>
          <w:szCs w:val="26"/>
        </w:rPr>
        <w:t xml:space="preserve"> approval of a long-term RPS </w:t>
      </w:r>
      <w:r w:rsidR="00112150">
        <w:rPr>
          <w:rFonts w:cs="Segoe UI"/>
          <w:szCs w:val="26"/>
        </w:rPr>
        <w:t>P</w:t>
      </w:r>
      <w:r w:rsidRPr="00ED446D" w:rsidR="00112150">
        <w:rPr>
          <w:rFonts w:cs="Segoe UI"/>
          <w:szCs w:val="26"/>
        </w:rPr>
        <w:t xml:space="preserve">urchase </w:t>
      </w:r>
      <w:r w:rsidR="00112150">
        <w:rPr>
          <w:rFonts w:cs="Segoe UI"/>
          <w:szCs w:val="26"/>
        </w:rPr>
        <w:t>and Sale A</w:t>
      </w:r>
      <w:r w:rsidRPr="00ED446D" w:rsidR="00112150">
        <w:rPr>
          <w:rFonts w:cs="Segoe UI"/>
          <w:szCs w:val="26"/>
        </w:rPr>
        <w:t xml:space="preserve">greement </w:t>
      </w:r>
      <w:r w:rsidRPr="00ED446D">
        <w:rPr>
          <w:rFonts w:cs="Segoe UI"/>
          <w:szCs w:val="26"/>
        </w:rPr>
        <w:t>with Escalante</w:t>
      </w:r>
      <w:r w:rsidRPr="00ED446D" w:rsidR="00E65F6F">
        <w:rPr>
          <w:rFonts w:cs="Segoe UI"/>
          <w:szCs w:val="26"/>
        </w:rPr>
        <w:t xml:space="preserve"> for </w:t>
      </w:r>
      <w:r w:rsidRPr="00ED446D" w:rsidR="007D1C81">
        <w:rPr>
          <w:rFonts w:cs="Segoe UI"/>
          <w:szCs w:val="26"/>
        </w:rPr>
        <w:t xml:space="preserve">Category 3 </w:t>
      </w:r>
      <w:r w:rsidRPr="00ED446D" w:rsidR="00E65F6F">
        <w:rPr>
          <w:rFonts w:cs="Segoe UI"/>
          <w:szCs w:val="26"/>
        </w:rPr>
        <w:t>RECs from the Escalante Solar III facility located in Milford, UT</w:t>
      </w:r>
      <w:r w:rsidRPr="00ED446D">
        <w:rPr>
          <w:rFonts w:cs="Segoe UI"/>
          <w:szCs w:val="26"/>
        </w:rPr>
        <w:t>.</w:t>
      </w:r>
      <w:r w:rsidR="007B4411">
        <w:rPr>
          <w:rFonts w:cs="Segoe UI"/>
          <w:szCs w:val="26"/>
        </w:rPr>
        <w:t xml:space="preserve">  PacifiCorp filed supplement AL 617-E-A on March 9, 2021</w:t>
      </w:r>
      <w:r w:rsidR="00EB11DB">
        <w:rPr>
          <w:rFonts w:cs="Segoe UI"/>
          <w:szCs w:val="26"/>
        </w:rPr>
        <w:t xml:space="preserve"> providing additional information on compliance with D.10-03-021 requirements.</w:t>
      </w:r>
    </w:p>
    <w:p w:rsidRPr="00ED446D" w:rsidR="00821085" w:rsidRDefault="00821085" w14:paraId="0AC41A45" w14:textId="133C2CBA">
      <w:pPr>
        <w:rPr>
          <w:rFonts w:cs="Segoe UI"/>
          <w:szCs w:val="26"/>
        </w:rPr>
      </w:pPr>
    </w:p>
    <w:p w:rsidRPr="00ED446D" w:rsidR="00E65F6F" w:rsidRDefault="00234D3A" w14:paraId="068C974B" w14:textId="58F63179">
      <w:pPr>
        <w:rPr>
          <w:rFonts w:cs="Segoe UI"/>
          <w:szCs w:val="26"/>
        </w:rPr>
      </w:pPr>
      <w:r w:rsidRPr="00ED446D" w:rsidDel="009A54AA">
        <w:rPr>
          <w:rFonts w:cs="Segoe UI"/>
          <w:szCs w:val="26"/>
        </w:rPr>
        <w:t>Pursuant to the</w:t>
      </w:r>
      <w:r w:rsidRPr="00ED446D">
        <w:rPr>
          <w:rFonts w:cs="Segoe UI"/>
          <w:szCs w:val="26"/>
        </w:rPr>
        <w:t xml:space="preserve"> Agreement </w:t>
      </w:r>
      <w:r w:rsidR="00716095">
        <w:rPr>
          <w:rFonts w:cs="Segoe UI"/>
          <w:szCs w:val="26"/>
        </w:rPr>
        <w:t xml:space="preserve">terms </w:t>
      </w:r>
      <w:r w:rsidRPr="00ED446D">
        <w:rPr>
          <w:rFonts w:cs="Segoe UI"/>
          <w:szCs w:val="26"/>
        </w:rPr>
        <w:t>PacifiCorp</w:t>
      </w:r>
      <w:r w:rsidRPr="00ED446D" w:rsidDel="009A54AA">
        <w:rPr>
          <w:rFonts w:cs="Segoe UI"/>
          <w:szCs w:val="26"/>
        </w:rPr>
        <w:t xml:space="preserve"> will</w:t>
      </w:r>
      <w:r w:rsidRPr="00ED446D">
        <w:rPr>
          <w:rFonts w:cs="Segoe UI"/>
          <w:szCs w:val="26"/>
        </w:rPr>
        <w:t xml:space="preserve"> purchase a specific number of RECs at a specific price, as given in </w:t>
      </w:r>
      <w:r w:rsidRPr="00ED446D" w:rsidR="006E4623">
        <w:rPr>
          <w:rFonts w:cs="Segoe UI"/>
          <w:szCs w:val="26"/>
        </w:rPr>
        <w:t xml:space="preserve">Confidential </w:t>
      </w:r>
      <w:r w:rsidRPr="00ED446D">
        <w:rPr>
          <w:rFonts w:cs="Segoe UI"/>
          <w:szCs w:val="26"/>
        </w:rPr>
        <w:t>Attachment A.</w:t>
      </w:r>
    </w:p>
    <w:p w:rsidR="00234D3A" w:rsidRDefault="00234D3A" w14:paraId="10FE952A" w14:textId="11AD28A7"/>
    <w:p w:rsidRPr="00FE3D3A" w:rsidR="00234D3A" w:rsidRDefault="00234D3A" w14:paraId="3AFD5194" w14:textId="7B8B3F0C">
      <w:pPr>
        <w:rPr>
          <w:b/>
          <w:bCs/>
        </w:rPr>
      </w:pPr>
      <w:r w:rsidRPr="00FE3D3A">
        <w:rPr>
          <w:b/>
          <w:bCs/>
        </w:rPr>
        <w:t>PacifiCorp</w:t>
      </w:r>
      <w:r>
        <w:t xml:space="preserve"> </w:t>
      </w:r>
      <w:r w:rsidRPr="00FE3D3A">
        <w:rPr>
          <w:b/>
          <w:bCs/>
        </w:rPr>
        <w:t xml:space="preserve">requests that the </w:t>
      </w:r>
      <w:r w:rsidR="009A2C52">
        <w:rPr>
          <w:b/>
          <w:bCs/>
        </w:rPr>
        <w:t>CPUC</w:t>
      </w:r>
      <w:r w:rsidRPr="00FE3D3A">
        <w:rPr>
          <w:b/>
          <w:bCs/>
        </w:rPr>
        <w:t xml:space="preserve"> issue a resolution that:</w:t>
      </w:r>
    </w:p>
    <w:p w:rsidRPr="00ED446D" w:rsidR="00A2488D" w:rsidP="00A2488D" w:rsidRDefault="00A2488D" w14:paraId="56B748BD" w14:textId="6FF3DFAB">
      <w:pPr>
        <w:pStyle w:val="ListParagraph"/>
        <w:numPr>
          <w:ilvl w:val="0"/>
          <w:numId w:val="15"/>
        </w:numPr>
        <w:rPr>
          <w:rFonts w:cs="Segoe UI"/>
          <w:szCs w:val="26"/>
        </w:rPr>
      </w:pPr>
      <w:r w:rsidRPr="00ED446D">
        <w:rPr>
          <w:rFonts w:cs="Segoe UI"/>
          <w:szCs w:val="26"/>
        </w:rPr>
        <w:t xml:space="preserve">Approves the </w:t>
      </w:r>
      <w:r w:rsidRPr="00ED446D" w:rsidR="00D55051">
        <w:rPr>
          <w:rFonts w:cs="Segoe UI"/>
          <w:szCs w:val="26"/>
        </w:rPr>
        <w:t>Agreement</w:t>
      </w:r>
      <w:r w:rsidRPr="00ED446D">
        <w:rPr>
          <w:rFonts w:cs="Segoe UI"/>
          <w:szCs w:val="26"/>
        </w:rPr>
        <w:t xml:space="preserve"> between </w:t>
      </w:r>
      <w:r w:rsidRPr="00ED446D" w:rsidR="00F014EE">
        <w:rPr>
          <w:rFonts w:cs="Segoe UI"/>
          <w:szCs w:val="26"/>
        </w:rPr>
        <w:t xml:space="preserve">PacifiCorp </w:t>
      </w:r>
      <w:r w:rsidRPr="00ED446D">
        <w:rPr>
          <w:rFonts w:cs="Segoe UI"/>
          <w:szCs w:val="26"/>
        </w:rPr>
        <w:t xml:space="preserve">and </w:t>
      </w:r>
      <w:r w:rsidRPr="00ED446D" w:rsidR="00F014EE">
        <w:rPr>
          <w:rFonts w:cs="Segoe UI"/>
          <w:szCs w:val="26"/>
        </w:rPr>
        <w:t>Escalante Solar III, LLC</w:t>
      </w:r>
      <w:r w:rsidRPr="00ED446D">
        <w:rPr>
          <w:rFonts w:cs="Segoe UI"/>
          <w:szCs w:val="26"/>
        </w:rPr>
        <w:t xml:space="preserve">. </w:t>
      </w:r>
    </w:p>
    <w:p w:rsidRPr="00ED446D" w:rsidR="00F014EE" w:rsidP="00F014EE" w:rsidRDefault="00F014EE" w14:paraId="238D28A9" w14:textId="62BF64B3">
      <w:pPr>
        <w:pStyle w:val="ListParagraph"/>
        <w:numPr>
          <w:ilvl w:val="0"/>
          <w:numId w:val="15"/>
        </w:numPr>
        <w:rPr>
          <w:rFonts w:cs="Segoe UI"/>
          <w:szCs w:val="26"/>
        </w:rPr>
      </w:pPr>
      <w:r w:rsidRPr="00ED446D">
        <w:rPr>
          <w:rFonts w:cs="Segoe UI"/>
          <w:szCs w:val="26"/>
        </w:rPr>
        <w:t xml:space="preserve">Allows recovery of PacifiCorp’s full cost </w:t>
      </w:r>
      <w:r w:rsidR="00603CA5">
        <w:rPr>
          <w:rFonts w:cs="Segoe UI"/>
          <w:szCs w:val="26"/>
        </w:rPr>
        <w:t>for the</w:t>
      </w:r>
      <w:r w:rsidRPr="00ED446D" w:rsidR="00603CA5">
        <w:rPr>
          <w:rFonts w:cs="Segoe UI"/>
          <w:szCs w:val="26"/>
        </w:rPr>
        <w:t xml:space="preserve"> </w:t>
      </w:r>
      <w:r w:rsidRPr="00ED446D">
        <w:rPr>
          <w:rFonts w:cs="Segoe UI"/>
          <w:szCs w:val="26"/>
        </w:rPr>
        <w:t xml:space="preserve">RECs purchased under the terms and conditions of the Renewable Energy Certificate </w:t>
      </w:r>
      <w:r w:rsidR="00340481">
        <w:rPr>
          <w:rFonts w:cs="Segoe UI"/>
          <w:szCs w:val="26"/>
        </w:rPr>
        <w:t xml:space="preserve">Purchase </w:t>
      </w:r>
      <w:r w:rsidR="00716095">
        <w:rPr>
          <w:rFonts w:cs="Segoe UI"/>
          <w:szCs w:val="26"/>
        </w:rPr>
        <w:t xml:space="preserve">and </w:t>
      </w:r>
      <w:r w:rsidR="00340481">
        <w:rPr>
          <w:rFonts w:cs="Segoe UI"/>
          <w:szCs w:val="26"/>
        </w:rPr>
        <w:t xml:space="preserve">Sale </w:t>
      </w:r>
      <w:r w:rsidR="00112150">
        <w:rPr>
          <w:rFonts w:cs="Segoe UI"/>
          <w:szCs w:val="26"/>
        </w:rPr>
        <w:t>A</w:t>
      </w:r>
      <w:r w:rsidRPr="00ED446D" w:rsidR="00112150">
        <w:rPr>
          <w:rFonts w:cs="Segoe UI"/>
          <w:szCs w:val="26"/>
        </w:rPr>
        <w:t>greement</w:t>
      </w:r>
      <w:r w:rsidRPr="00ED446D">
        <w:rPr>
          <w:rFonts w:cs="Segoe UI"/>
          <w:szCs w:val="26"/>
        </w:rPr>
        <w:t xml:space="preserve">, subject to prudent administration of the </w:t>
      </w:r>
      <w:r w:rsidR="00716095">
        <w:rPr>
          <w:rFonts w:cs="Segoe UI"/>
          <w:szCs w:val="26"/>
        </w:rPr>
        <w:t>A</w:t>
      </w:r>
      <w:r w:rsidRPr="00ED446D" w:rsidR="00716095">
        <w:rPr>
          <w:rFonts w:cs="Segoe UI"/>
          <w:szCs w:val="26"/>
        </w:rPr>
        <w:t>greement</w:t>
      </w:r>
      <w:r w:rsidRPr="00ED446D">
        <w:rPr>
          <w:rFonts w:cs="Segoe UI"/>
          <w:szCs w:val="26"/>
        </w:rPr>
        <w:t>.</w:t>
      </w:r>
    </w:p>
    <w:p w:rsidRPr="00717F3D" w:rsidR="00F014EE" w:rsidP="00F014EE" w:rsidRDefault="00F014EE" w14:paraId="5595A0D4" w14:textId="2B430A64">
      <w:pPr>
        <w:ind w:left="360"/>
        <w:rPr>
          <w:szCs w:val="26"/>
        </w:rPr>
      </w:pPr>
    </w:p>
    <w:p w:rsidRPr="00ED446D" w:rsidR="00F014EE" w:rsidP="005838A8" w:rsidRDefault="00F34E7B" w14:paraId="45F26D87" w14:textId="79D89981">
      <w:pPr>
        <w:spacing w:after="120"/>
        <w:rPr>
          <w:b/>
          <w:bCs/>
        </w:rPr>
      </w:pPr>
      <w:r w:rsidRPr="00ED446D">
        <w:rPr>
          <w:b/>
          <w:bCs/>
        </w:rPr>
        <w:t>Energy Division evaluated the Agreement based on the following criteria:</w:t>
      </w:r>
    </w:p>
    <w:p w:rsidRPr="00ED446D" w:rsidR="0031221D" w:rsidP="00ED446D" w:rsidRDefault="0031221D" w14:paraId="674A4556" w14:textId="49843AD1">
      <w:pPr>
        <w:pStyle w:val="ListParagraph"/>
        <w:numPr>
          <w:ilvl w:val="0"/>
          <w:numId w:val="16"/>
        </w:numPr>
        <w:rPr>
          <w:rFonts w:cs="Segoe UI"/>
          <w:szCs w:val="26"/>
        </w:rPr>
      </w:pPr>
      <w:r w:rsidRPr="00ED446D">
        <w:rPr>
          <w:rFonts w:cs="Segoe UI"/>
          <w:szCs w:val="26"/>
        </w:rPr>
        <w:t xml:space="preserve">Consistency with </w:t>
      </w:r>
      <w:r w:rsidR="009A2C52">
        <w:rPr>
          <w:rFonts w:cs="Segoe UI"/>
          <w:szCs w:val="26"/>
        </w:rPr>
        <w:t>CPUC</w:t>
      </w:r>
      <w:r w:rsidRPr="00ED446D" w:rsidR="00B91CF5">
        <w:rPr>
          <w:rFonts w:cs="Segoe UI"/>
          <w:szCs w:val="26"/>
        </w:rPr>
        <w:t xml:space="preserve"> rules</w:t>
      </w:r>
      <w:r w:rsidRPr="00ED446D">
        <w:rPr>
          <w:rFonts w:cs="Segoe UI"/>
          <w:szCs w:val="26"/>
        </w:rPr>
        <w:t xml:space="preserve"> </w:t>
      </w:r>
      <w:r w:rsidRPr="00ED446D" w:rsidR="0065096F">
        <w:rPr>
          <w:rFonts w:cs="Segoe UI"/>
          <w:szCs w:val="26"/>
        </w:rPr>
        <w:t>on</w:t>
      </w:r>
      <w:r w:rsidRPr="00ED446D">
        <w:rPr>
          <w:rFonts w:cs="Segoe UI"/>
          <w:szCs w:val="26"/>
        </w:rPr>
        <w:t xml:space="preserve"> the purchase of RECs from a Qualifying </w:t>
      </w:r>
      <w:r w:rsidRPr="00ED446D" w:rsidR="00B91CF5">
        <w:rPr>
          <w:rFonts w:cs="Segoe UI"/>
          <w:szCs w:val="26"/>
        </w:rPr>
        <w:t>Facility</w:t>
      </w:r>
      <w:r w:rsidR="008B38DC">
        <w:rPr>
          <w:rFonts w:cs="Segoe UI"/>
          <w:szCs w:val="26"/>
        </w:rPr>
        <w:t>;</w:t>
      </w:r>
    </w:p>
    <w:p w:rsidRPr="00ED446D" w:rsidR="00F34E7B" w:rsidP="00ED446D" w:rsidRDefault="00F34E7B" w14:paraId="41CE12D2" w14:textId="11AAFA20">
      <w:pPr>
        <w:pStyle w:val="ListParagraph"/>
        <w:numPr>
          <w:ilvl w:val="0"/>
          <w:numId w:val="16"/>
        </w:numPr>
        <w:rPr>
          <w:rFonts w:cs="Segoe UI"/>
          <w:szCs w:val="26"/>
        </w:rPr>
      </w:pPr>
      <w:r w:rsidRPr="00ED446D">
        <w:rPr>
          <w:rFonts w:cs="Segoe UI"/>
          <w:szCs w:val="26"/>
        </w:rPr>
        <w:t xml:space="preserve">Consistency with </w:t>
      </w:r>
      <w:r w:rsidRPr="00ED446D" w:rsidR="00FE3D3A">
        <w:rPr>
          <w:rFonts w:cs="Segoe UI"/>
          <w:szCs w:val="26"/>
        </w:rPr>
        <w:t>PacifiCorp’s</w:t>
      </w:r>
      <w:r w:rsidRPr="00ED446D">
        <w:rPr>
          <w:rFonts w:cs="Segoe UI"/>
          <w:szCs w:val="26"/>
        </w:rPr>
        <w:t xml:space="preserve"> RPS Procurement Plan</w:t>
      </w:r>
      <w:r w:rsidRPr="00ED446D" w:rsidR="006E4623">
        <w:rPr>
          <w:rFonts w:cs="Segoe UI"/>
          <w:szCs w:val="26"/>
        </w:rPr>
        <w:t>;</w:t>
      </w:r>
    </w:p>
    <w:p w:rsidRPr="00ED446D" w:rsidR="00F34E7B" w:rsidP="00ED446D" w:rsidRDefault="00F34E7B" w14:paraId="42BD8137" w14:textId="2AE8AD6B">
      <w:pPr>
        <w:pStyle w:val="ListParagraph"/>
        <w:numPr>
          <w:ilvl w:val="0"/>
          <w:numId w:val="16"/>
        </w:numPr>
        <w:rPr>
          <w:rFonts w:cs="Segoe UI"/>
          <w:szCs w:val="26"/>
        </w:rPr>
      </w:pPr>
      <w:r w:rsidRPr="00ED446D">
        <w:rPr>
          <w:rFonts w:cs="Segoe UI"/>
          <w:szCs w:val="26"/>
        </w:rPr>
        <w:t>Consistency with RPS Portfolio Need;</w:t>
      </w:r>
    </w:p>
    <w:p w:rsidRPr="00ED446D" w:rsidR="00FE3D3A" w:rsidP="00ED446D" w:rsidRDefault="00F34E7B" w14:paraId="6F2C8E79" w14:textId="0585E9C5">
      <w:pPr>
        <w:pStyle w:val="ListParagraph"/>
        <w:numPr>
          <w:ilvl w:val="0"/>
          <w:numId w:val="16"/>
        </w:numPr>
        <w:rPr>
          <w:rFonts w:cs="Segoe UI"/>
          <w:szCs w:val="26"/>
        </w:rPr>
      </w:pPr>
      <w:r w:rsidRPr="00ED446D">
        <w:rPr>
          <w:rFonts w:cs="Segoe UI"/>
          <w:szCs w:val="26"/>
        </w:rPr>
        <w:t>Consistency with</w:t>
      </w:r>
      <w:r w:rsidRPr="00ED446D" w:rsidR="007B28B1">
        <w:rPr>
          <w:rFonts w:cs="Segoe UI"/>
          <w:szCs w:val="26"/>
        </w:rPr>
        <w:t xml:space="preserve"> </w:t>
      </w:r>
      <w:r w:rsidR="009A2C52">
        <w:rPr>
          <w:rFonts w:cs="Segoe UI"/>
          <w:szCs w:val="26"/>
        </w:rPr>
        <w:t>CPUC</w:t>
      </w:r>
      <w:r w:rsidRPr="00ED446D" w:rsidR="007B28B1">
        <w:rPr>
          <w:rFonts w:cs="Segoe UI"/>
          <w:szCs w:val="26"/>
        </w:rPr>
        <w:t>’s</w:t>
      </w:r>
      <w:r w:rsidRPr="00ED446D">
        <w:rPr>
          <w:rFonts w:cs="Segoe UI"/>
          <w:szCs w:val="26"/>
        </w:rPr>
        <w:t xml:space="preserve"> </w:t>
      </w:r>
      <w:r w:rsidRPr="00ED446D" w:rsidR="007B28B1">
        <w:rPr>
          <w:rFonts w:cs="Segoe UI"/>
          <w:szCs w:val="26"/>
        </w:rPr>
        <w:t xml:space="preserve">bilateral </w:t>
      </w:r>
      <w:r w:rsidRPr="00ED446D">
        <w:rPr>
          <w:rFonts w:cs="Segoe UI"/>
          <w:szCs w:val="26"/>
        </w:rPr>
        <w:t>Contracting Rules;</w:t>
      </w:r>
    </w:p>
    <w:p w:rsidRPr="00ED446D" w:rsidR="0024515C" w:rsidP="0024515C" w:rsidRDefault="00BC1D17" w14:paraId="7DD660E0" w14:textId="70F0C25C">
      <w:pPr>
        <w:pStyle w:val="ListParagraph"/>
        <w:numPr>
          <w:ilvl w:val="0"/>
          <w:numId w:val="16"/>
        </w:numPr>
        <w:rPr>
          <w:rFonts w:cs="Segoe UI"/>
          <w:szCs w:val="26"/>
        </w:rPr>
      </w:pPr>
      <w:r w:rsidRPr="00ED446D">
        <w:rPr>
          <w:rFonts w:cs="Segoe UI"/>
          <w:szCs w:val="26"/>
        </w:rPr>
        <w:t xml:space="preserve">Consistency with </w:t>
      </w:r>
      <w:r w:rsidR="009A2C52">
        <w:rPr>
          <w:rFonts w:cs="Segoe UI"/>
          <w:szCs w:val="26"/>
        </w:rPr>
        <w:t>CPUC</w:t>
      </w:r>
      <w:r w:rsidRPr="00ED446D" w:rsidR="00F34E7B">
        <w:rPr>
          <w:rFonts w:cs="Segoe UI"/>
          <w:szCs w:val="26"/>
        </w:rPr>
        <w:t>’s least-cost best-fit requirements</w:t>
      </w:r>
      <w:r w:rsidRPr="00ED446D" w:rsidR="006E4623">
        <w:rPr>
          <w:rFonts w:cs="Segoe UI"/>
          <w:szCs w:val="26"/>
        </w:rPr>
        <w:t>;</w:t>
      </w:r>
    </w:p>
    <w:p w:rsidRPr="00ED446D" w:rsidR="00FE3D3A" w:rsidP="0024515C" w:rsidRDefault="0024515C" w14:paraId="3276EEB7" w14:textId="5F6E2EAE">
      <w:pPr>
        <w:pStyle w:val="ListParagraph"/>
        <w:numPr>
          <w:ilvl w:val="0"/>
          <w:numId w:val="16"/>
        </w:numPr>
        <w:rPr>
          <w:rFonts w:cs="Segoe UI"/>
          <w:szCs w:val="26"/>
        </w:rPr>
      </w:pPr>
      <w:r w:rsidRPr="00ED446D">
        <w:rPr>
          <w:rFonts w:cs="Segoe UI"/>
          <w:szCs w:val="26"/>
        </w:rPr>
        <w:t>Cost reasonableness</w:t>
      </w:r>
      <w:r>
        <w:rPr>
          <w:rFonts w:cs="Segoe UI"/>
          <w:szCs w:val="26"/>
        </w:rPr>
        <w:t>;</w:t>
      </w:r>
    </w:p>
    <w:p w:rsidRPr="00ED446D" w:rsidR="00F34E7B" w:rsidP="00ED446D" w:rsidRDefault="00F34E7B" w14:paraId="476C4359" w14:textId="1B62A594">
      <w:pPr>
        <w:pStyle w:val="ListParagraph"/>
        <w:numPr>
          <w:ilvl w:val="0"/>
          <w:numId w:val="16"/>
        </w:numPr>
        <w:rPr>
          <w:rFonts w:cs="Segoe UI"/>
          <w:szCs w:val="26"/>
        </w:rPr>
      </w:pPr>
      <w:r w:rsidRPr="00ED446D">
        <w:rPr>
          <w:rFonts w:cs="Segoe UI"/>
          <w:szCs w:val="26"/>
        </w:rPr>
        <w:t>Consistency with RPS standard terms and conditions (STC);</w:t>
      </w:r>
    </w:p>
    <w:p w:rsidRPr="00ED446D" w:rsidR="00F34E7B" w:rsidP="00ED446D" w:rsidRDefault="00F34E7B" w14:paraId="4B81C531" w14:textId="03854C19">
      <w:pPr>
        <w:pStyle w:val="ListParagraph"/>
        <w:numPr>
          <w:ilvl w:val="0"/>
          <w:numId w:val="16"/>
        </w:numPr>
        <w:rPr>
          <w:rFonts w:cs="Segoe UI"/>
          <w:szCs w:val="26"/>
        </w:rPr>
      </w:pPr>
      <w:r w:rsidRPr="00ED446D">
        <w:rPr>
          <w:rFonts w:cs="Segoe UI"/>
          <w:szCs w:val="26"/>
        </w:rPr>
        <w:t>Consistency with portfolio content categories;</w:t>
      </w:r>
    </w:p>
    <w:p w:rsidRPr="0024515C" w:rsidR="00F34E7B" w:rsidP="00E72481" w:rsidRDefault="00F34E7B" w14:paraId="710A6EF4" w14:textId="3032FEC9">
      <w:pPr>
        <w:pStyle w:val="ListParagraph"/>
        <w:numPr>
          <w:ilvl w:val="0"/>
          <w:numId w:val="16"/>
        </w:numPr>
        <w:rPr>
          <w:rFonts w:cs="Segoe UI"/>
          <w:szCs w:val="26"/>
        </w:rPr>
      </w:pPr>
      <w:r w:rsidRPr="0024515C">
        <w:rPr>
          <w:rFonts w:cs="Segoe UI"/>
          <w:szCs w:val="26"/>
        </w:rPr>
        <w:t xml:space="preserve">Consistency with long-term contracting requirements; </w:t>
      </w:r>
    </w:p>
    <w:p w:rsidRPr="00ED446D" w:rsidR="00F34E7B" w:rsidP="00ED446D" w:rsidRDefault="00F34E7B" w14:paraId="384F8053" w14:textId="78D8540D">
      <w:pPr>
        <w:pStyle w:val="ListParagraph"/>
        <w:numPr>
          <w:ilvl w:val="0"/>
          <w:numId w:val="16"/>
        </w:numPr>
        <w:rPr>
          <w:rFonts w:cs="Segoe UI"/>
          <w:szCs w:val="26"/>
        </w:rPr>
      </w:pPr>
      <w:r w:rsidRPr="00ED446D">
        <w:rPr>
          <w:rFonts w:cs="Segoe UI"/>
          <w:szCs w:val="26"/>
        </w:rPr>
        <w:t>Compliance with the Interim Greenhouse Gas Emissions Performance Standard;</w:t>
      </w:r>
      <w:r w:rsidR="008B38DC">
        <w:rPr>
          <w:rFonts w:cs="Segoe UI"/>
          <w:szCs w:val="26"/>
        </w:rPr>
        <w:t xml:space="preserve"> and,</w:t>
      </w:r>
    </w:p>
    <w:p w:rsidRPr="00717F3D" w:rsidR="00461EAE" w:rsidP="00ED446D" w:rsidRDefault="00461EAE" w14:paraId="24BA3B1D" w14:textId="69FB2431">
      <w:pPr>
        <w:pStyle w:val="ListParagraph"/>
        <w:numPr>
          <w:ilvl w:val="0"/>
          <w:numId w:val="16"/>
        </w:numPr>
        <w:rPr>
          <w:bCs/>
        </w:rPr>
      </w:pPr>
      <w:r w:rsidRPr="00461EAE">
        <w:rPr>
          <w:bCs/>
        </w:rPr>
        <w:t>Safety Considerations</w:t>
      </w:r>
      <w:r w:rsidR="008B38DC">
        <w:rPr>
          <w:bCs/>
        </w:rPr>
        <w:t xml:space="preserve">. </w:t>
      </w:r>
    </w:p>
    <w:p w:rsidRPr="00717F3D" w:rsidR="00AA5304" w:rsidP="006E4623" w:rsidRDefault="00AA5304" w14:paraId="459EDE85" w14:textId="77777777"/>
    <w:p w:rsidRPr="00FC2DB0" w:rsidR="0031221D" w:rsidP="005838A8" w:rsidRDefault="0031221D" w14:paraId="6FA08890" w14:textId="48601988">
      <w:pPr>
        <w:keepNext/>
        <w:spacing w:after="120"/>
        <w:rPr>
          <w:b/>
          <w:bCs/>
        </w:rPr>
      </w:pPr>
      <w:r w:rsidRPr="00FC2DB0">
        <w:rPr>
          <w:b/>
          <w:bCs/>
        </w:rPr>
        <w:t xml:space="preserve">Consistency with </w:t>
      </w:r>
      <w:r w:rsidR="009A2C52">
        <w:rPr>
          <w:b/>
          <w:bCs/>
        </w:rPr>
        <w:t>CPUC</w:t>
      </w:r>
      <w:r w:rsidRPr="00FC2DB0" w:rsidR="00B91CF5">
        <w:rPr>
          <w:b/>
          <w:bCs/>
        </w:rPr>
        <w:t xml:space="preserve"> rules</w:t>
      </w:r>
      <w:r w:rsidRPr="00FC2DB0">
        <w:rPr>
          <w:b/>
          <w:bCs/>
        </w:rPr>
        <w:t xml:space="preserve"> </w:t>
      </w:r>
      <w:r w:rsidRPr="00FC2DB0" w:rsidR="0065096F">
        <w:rPr>
          <w:b/>
          <w:bCs/>
        </w:rPr>
        <w:t>on</w:t>
      </w:r>
      <w:r w:rsidRPr="00FC2DB0">
        <w:rPr>
          <w:b/>
          <w:bCs/>
        </w:rPr>
        <w:t xml:space="preserve"> the purchase of RECs from a Qualifying Facility</w:t>
      </w:r>
    </w:p>
    <w:p w:rsidRPr="00ED446D" w:rsidR="001D111E" w:rsidP="00E32ED1" w:rsidRDefault="009E04DF" w14:paraId="2A790011" w14:textId="2F652396">
      <w:pPr>
        <w:rPr>
          <w:rFonts w:cs="Segoe UI"/>
          <w:szCs w:val="26"/>
        </w:rPr>
      </w:pPr>
      <w:r w:rsidRPr="00ED446D">
        <w:rPr>
          <w:rFonts w:cs="Segoe UI"/>
          <w:szCs w:val="26"/>
        </w:rPr>
        <w:t xml:space="preserve">Decision (D.)10-03-021, as modified by D.11-01-025, authorized the use of RECs for compliance with the California RPS. It also </w:t>
      </w:r>
      <w:r w:rsidRPr="00ED446D" w:rsidR="00E32ED1">
        <w:rPr>
          <w:rFonts w:cs="Segoe UI"/>
          <w:szCs w:val="26"/>
        </w:rPr>
        <w:t>addressed PU Code Section</w:t>
      </w:r>
      <w:r w:rsidRPr="00ED446D">
        <w:rPr>
          <w:rFonts w:cs="Segoe UI"/>
          <w:szCs w:val="26"/>
        </w:rPr>
        <w:t xml:space="preserve"> </w:t>
      </w:r>
      <w:r w:rsidRPr="00ED446D">
        <w:rPr>
          <w:rFonts w:cs="Segoe UI"/>
          <w:szCs w:val="26"/>
        </w:rPr>
        <w:lastRenderedPageBreak/>
        <w:t>399.21(a)(</w:t>
      </w:r>
      <w:r w:rsidRPr="00ED446D" w:rsidR="001D111E">
        <w:rPr>
          <w:rFonts w:cs="Segoe UI"/>
          <w:szCs w:val="26"/>
        </w:rPr>
        <w:t>6</w:t>
      </w:r>
      <w:r w:rsidRPr="00ED446D">
        <w:rPr>
          <w:rFonts w:cs="Segoe UI"/>
          <w:szCs w:val="26"/>
        </w:rPr>
        <w:t>)</w:t>
      </w:r>
      <w:r w:rsidRPr="00DF1E00" w:rsidR="00E32ED1">
        <w:rPr>
          <w:rFonts w:cs="Segoe UI"/>
          <w:szCs w:val="26"/>
          <w:vertAlign w:val="superscript"/>
        </w:rPr>
        <w:footnoteReference w:id="5"/>
      </w:r>
      <w:r w:rsidRPr="00ED446D">
        <w:rPr>
          <w:rFonts w:cs="Segoe UI"/>
          <w:szCs w:val="26"/>
        </w:rPr>
        <w:t xml:space="preserve"> </w:t>
      </w:r>
      <w:r w:rsidR="008B38DC">
        <w:rPr>
          <w:rFonts w:cs="Segoe UI"/>
          <w:szCs w:val="26"/>
        </w:rPr>
        <w:t>concerning</w:t>
      </w:r>
      <w:r w:rsidRPr="00ED446D">
        <w:rPr>
          <w:rFonts w:cs="Segoe UI"/>
          <w:szCs w:val="26"/>
        </w:rPr>
        <w:t xml:space="preserve"> RECs from electricity purchase contracts executed </w:t>
      </w:r>
      <w:r w:rsidRPr="00ED446D" w:rsidR="00E32ED1">
        <w:rPr>
          <w:rFonts w:cs="Segoe UI"/>
          <w:szCs w:val="26"/>
        </w:rPr>
        <w:t xml:space="preserve">after January 1, 2005 </w:t>
      </w:r>
      <w:r w:rsidRPr="00ED446D">
        <w:rPr>
          <w:rFonts w:cs="Segoe UI"/>
          <w:szCs w:val="26"/>
        </w:rPr>
        <w:t xml:space="preserve">pursuant to </w:t>
      </w:r>
      <w:r w:rsidRPr="00ED446D" w:rsidR="00E32ED1">
        <w:rPr>
          <w:rFonts w:cs="Segoe UI"/>
          <w:szCs w:val="26"/>
        </w:rPr>
        <w:t>Public Utility Regulatory Policies Act of 1978 (16 U.S.C. Sec. 2601</w:t>
      </w:r>
      <w:r w:rsidR="00B71CAB">
        <w:rPr>
          <w:rFonts w:cs="Segoe UI"/>
          <w:szCs w:val="26"/>
        </w:rPr>
        <w:t>,</w:t>
      </w:r>
      <w:r w:rsidRPr="00ED446D" w:rsidR="00E32ED1">
        <w:rPr>
          <w:rFonts w:cs="Segoe UI"/>
          <w:szCs w:val="26"/>
        </w:rPr>
        <w:t xml:space="preserve"> et seq.).  </w:t>
      </w:r>
    </w:p>
    <w:p w:rsidRPr="00ED446D" w:rsidR="0031221D" w:rsidP="003C43A4" w:rsidRDefault="0031221D" w14:paraId="18A2E32F" w14:textId="7DA9A56B">
      <w:pPr>
        <w:rPr>
          <w:rFonts w:cs="Segoe UI"/>
          <w:szCs w:val="26"/>
        </w:rPr>
      </w:pPr>
    </w:p>
    <w:p w:rsidRPr="00ED446D" w:rsidR="00A9716F" w:rsidP="00A9716F" w:rsidRDefault="00A9716F" w14:paraId="70D28404" w14:textId="77777777">
      <w:pPr>
        <w:rPr>
          <w:rFonts w:cs="Segoe UI"/>
          <w:szCs w:val="26"/>
        </w:rPr>
      </w:pPr>
      <w:r w:rsidRPr="00ED446D">
        <w:rPr>
          <w:rFonts w:cs="Segoe UI"/>
          <w:szCs w:val="26"/>
        </w:rPr>
        <w:t>D.10-03-021, as modified by D.11-01-025, acknowledged that California's law regarding creation of RECs from California PURPA contracts does not alter the laws of other states regarding the creation and designation of ownership of RECs associated with energy from PURPA contracts with utilities in those states. Thus, RECs associated with energy from a PURPA contract between a QF and a utility, both located in a state in the WECC other than California, could be sold to a California RPS-obligated LSE for RPS compliance if all of the following conditions were met:</w:t>
      </w:r>
    </w:p>
    <w:p w:rsidRPr="00ED446D" w:rsidR="00A9716F" w:rsidP="00A9716F" w:rsidRDefault="00A9716F" w14:paraId="571F8004" w14:textId="77777777">
      <w:pPr>
        <w:rPr>
          <w:rFonts w:cs="Segoe UI"/>
          <w:szCs w:val="26"/>
        </w:rPr>
      </w:pPr>
    </w:p>
    <w:p w:rsidRPr="00ED446D" w:rsidR="00A9716F" w:rsidP="00A9716F" w:rsidRDefault="00A9716F" w14:paraId="6E7F0F50" w14:textId="5612FEAB">
      <w:pPr>
        <w:pStyle w:val="ListParagraph"/>
        <w:numPr>
          <w:ilvl w:val="0"/>
          <w:numId w:val="20"/>
        </w:numPr>
        <w:rPr>
          <w:rFonts w:cs="Segoe UI"/>
          <w:szCs w:val="26"/>
        </w:rPr>
      </w:pPr>
      <w:r w:rsidRPr="00ED446D">
        <w:rPr>
          <w:rFonts w:cs="Segoe UI"/>
          <w:szCs w:val="26"/>
        </w:rPr>
        <w:t xml:space="preserve">The state with jurisdiction over the PURPA contract allows the creation of RECs that can be sold separately from the associated energy; </w:t>
      </w:r>
    </w:p>
    <w:p w:rsidRPr="00ED446D" w:rsidR="00A9716F" w:rsidP="00A9716F" w:rsidRDefault="00A9716F" w14:paraId="1B7B658D" w14:textId="31C0C368">
      <w:pPr>
        <w:pStyle w:val="ListParagraph"/>
        <w:numPr>
          <w:ilvl w:val="0"/>
          <w:numId w:val="20"/>
        </w:numPr>
        <w:rPr>
          <w:rFonts w:cs="Segoe UI"/>
          <w:szCs w:val="26"/>
        </w:rPr>
      </w:pPr>
      <w:r w:rsidRPr="00ED446D">
        <w:rPr>
          <w:rFonts w:cs="Segoe UI"/>
          <w:szCs w:val="26"/>
        </w:rPr>
        <w:t xml:space="preserve">The RECs have not been used as the basis of any green energy claims or for compliance with another state's RPS; </w:t>
      </w:r>
    </w:p>
    <w:p w:rsidRPr="00ED446D" w:rsidR="00A9716F" w:rsidP="00A9716F" w:rsidRDefault="00A9716F" w14:paraId="67F3A4DE" w14:textId="4B154C17">
      <w:pPr>
        <w:pStyle w:val="ListParagraph"/>
        <w:numPr>
          <w:ilvl w:val="0"/>
          <w:numId w:val="20"/>
        </w:numPr>
        <w:rPr>
          <w:rFonts w:cs="Segoe UI"/>
          <w:szCs w:val="26"/>
        </w:rPr>
      </w:pPr>
      <w:r w:rsidRPr="00ED446D">
        <w:rPr>
          <w:rFonts w:cs="Segoe UI"/>
          <w:szCs w:val="26"/>
        </w:rPr>
        <w:t xml:space="preserve">The generation associated with the RECs is RPS-eligible; </w:t>
      </w:r>
    </w:p>
    <w:p w:rsidRPr="00ED446D" w:rsidR="00A9716F" w:rsidP="00A9716F" w:rsidRDefault="00A9716F" w14:paraId="0908BFE7" w14:textId="3C6194BC">
      <w:pPr>
        <w:pStyle w:val="ListParagraph"/>
        <w:numPr>
          <w:ilvl w:val="0"/>
          <w:numId w:val="20"/>
        </w:numPr>
        <w:rPr>
          <w:rFonts w:cs="Segoe UI"/>
          <w:szCs w:val="26"/>
        </w:rPr>
      </w:pPr>
      <w:r w:rsidRPr="00ED446D">
        <w:rPr>
          <w:rFonts w:cs="Segoe UI"/>
          <w:szCs w:val="26"/>
        </w:rPr>
        <w:t xml:space="preserve">The CEC's rules for delivery of the energy associated with the RECs are met; </w:t>
      </w:r>
    </w:p>
    <w:p w:rsidRPr="00ED446D" w:rsidR="00A9716F" w:rsidP="00A9716F" w:rsidRDefault="00A9716F" w14:paraId="2FB6BFEF" w14:textId="21D849D3">
      <w:pPr>
        <w:pStyle w:val="ListParagraph"/>
        <w:numPr>
          <w:ilvl w:val="0"/>
          <w:numId w:val="20"/>
        </w:numPr>
        <w:rPr>
          <w:rFonts w:cs="Segoe UI"/>
          <w:szCs w:val="26"/>
        </w:rPr>
      </w:pPr>
      <w:r w:rsidRPr="00ED446D">
        <w:rPr>
          <w:rFonts w:cs="Segoe UI"/>
          <w:szCs w:val="26"/>
        </w:rPr>
        <w:t xml:space="preserve">The energy associated with the RECs was generated on or after </w:t>
      </w:r>
      <w:r w:rsidR="00C80BD8">
        <w:rPr>
          <w:rFonts w:cs="Segoe UI"/>
          <w:szCs w:val="26"/>
        </w:rPr>
        <w:br/>
      </w:r>
      <w:r w:rsidRPr="00ED446D">
        <w:rPr>
          <w:rFonts w:cs="Segoe UI"/>
          <w:szCs w:val="26"/>
        </w:rPr>
        <w:t>January 1, 2008; and</w:t>
      </w:r>
      <w:r w:rsidR="00B71CAB">
        <w:rPr>
          <w:rFonts w:cs="Segoe UI"/>
          <w:szCs w:val="26"/>
        </w:rPr>
        <w:t>,</w:t>
      </w:r>
    </w:p>
    <w:p w:rsidR="0031221D" w:rsidP="003C43A4" w:rsidRDefault="00A9716F" w14:paraId="6E9FCADE" w14:textId="68D4E8CC">
      <w:pPr>
        <w:pStyle w:val="ListParagraph"/>
        <w:numPr>
          <w:ilvl w:val="0"/>
          <w:numId w:val="20"/>
        </w:numPr>
      </w:pPr>
      <w:r w:rsidRPr="00ED446D">
        <w:rPr>
          <w:rFonts w:cs="Segoe UI"/>
          <w:szCs w:val="26"/>
        </w:rPr>
        <w:t>The RECs are properly recorded in WREGIS.</w:t>
      </w:r>
      <w:r w:rsidRPr="001E6A58">
        <w:rPr>
          <w:rFonts w:cs="Segoe UI"/>
          <w:vertAlign w:val="superscript"/>
        </w:rPr>
        <w:footnoteReference w:id="6"/>
      </w:r>
    </w:p>
    <w:p w:rsidRPr="00717F3D" w:rsidR="00A9716F" w:rsidP="00A9716F" w:rsidRDefault="00A9716F" w14:paraId="4AF3C6FB" w14:textId="77777777">
      <w:pPr>
        <w:rPr>
          <w:szCs w:val="26"/>
        </w:rPr>
      </w:pPr>
    </w:p>
    <w:p w:rsidRPr="003C43A4" w:rsidR="0031221D" w:rsidP="0031221D" w:rsidRDefault="00E32ED1" w14:paraId="0E668566" w14:textId="0194E4B2">
      <w:r w:rsidRPr="003C43A4">
        <w:t>A</w:t>
      </w:r>
      <w:r w:rsidRPr="003C43A4" w:rsidR="0031221D">
        <w:t xml:space="preserve">s noted above, the Agreement is for RECs associated with electricity generation that PacifiCorp is already procuring pursuant to a PURPA contract with </w:t>
      </w:r>
      <w:r w:rsidR="0057779E">
        <w:t>an</w:t>
      </w:r>
      <w:r w:rsidRPr="003C43A4" w:rsidR="0057779E">
        <w:t xml:space="preserve"> </w:t>
      </w:r>
      <w:r w:rsidR="00C80BD8">
        <w:br/>
      </w:r>
      <w:r w:rsidRPr="003C43A4" w:rsidR="0031221D">
        <w:t>RPS-eligible facility</w:t>
      </w:r>
      <w:r w:rsidRPr="003C43A4" w:rsidR="00F64312">
        <w:t xml:space="preserve"> located in Utah</w:t>
      </w:r>
      <w:r w:rsidRPr="003C43A4" w:rsidR="00875340">
        <w:t xml:space="preserve">, </w:t>
      </w:r>
      <w:r w:rsidRPr="003C43A4">
        <w:t>and it was executed in May 2020</w:t>
      </w:r>
      <w:r w:rsidRPr="003C43A4" w:rsidR="0031221D">
        <w:t>.</w:t>
      </w:r>
      <w:r w:rsidR="001D111E">
        <w:t xml:space="preserve">  Thus, the Agreement</w:t>
      </w:r>
      <w:r w:rsidR="00B71CAB">
        <w:t xml:space="preserve"> must satisfy the criteria</w:t>
      </w:r>
      <w:r w:rsidR="001D111E">
        <w:t>.</w:t>
      </w:r>
    </w:p>
    <w:p w:rsidRPr="00717F3D" w:rsidR="00A9716F" w:rsidP="00A9716F" w:rsidRDefault="00A9716F" w14:paraId="51C06A7A" w14:textId="112BED79">
      <w:pPr>
        <w:rPr>
          <w:szCs w:val="26"/>
        </w:rPr>
      </w:pPr>
    </w:p>
    <w:p w:rsidRPr="000C3F61" w:rsidR="00383C11" w:rsidP="00DE0F6A" w:rsidRDefault="001D111E" w14:paraId="4A6C2C16" w14:textId="04262E61">
      <w:r w:rsidRPr="003C43A4">
        <w:t xml:space="preserve">While consistency with all of the above criteria </w:t>
      </w:r>
      <w:bookmarkStart w:name="_Hlk62630480" w:id="3"/>
      <w:r w:rsidRPr="003C43A4">
        <w:t xml:space="preserve">cannot be determined until final RPS compliance determination, such as </w:t>
      </w:r>
      <w:r w:rsidR="00B71CAB">
        <w:t xml:space="preserve">if the </w:t>
      </w:r>
      <w:r w:rsidRPr="003C43A4">
        <w:t xml:space="preserve">RECs </w:t>
      </w:r>
      <w:r w:rsidR="00B71CAB">
        <w:t>were</w:t>
      </w:r>
      <w:r w:rsidRPr="003C43A4" w:rsidR="00B71CAB">
        <w:t xml:space="preserve"> </w:t>
      </w:r>
      <w:r w:rsidRPr="003C43A4">
        <w:t>properly recorded in WREGIS, several can be reviewed at this time</w:t>
      </w:r>
      <w:bookmarkEnd w:id="3"/>
      <w:r w:rsidRPr="003C43A4">
        <w:t xml:space="preserve">. First, Utah is the state with jurisdiction over the PacifiCorp’s PURPA contract and </w:t>
      </w:r>
      <w:hyperlink w:history="1" r:id="rId8">
        <w:r w:rsidRPr="00ED446D">
          <w:t>U</w:t>
        </w:r>
        <w:r w:rsidR="00F03005">
          <w:t xml:space="preserve">tah </w:t>
        </w:r>
        <w:r w:rsidRPr="00ED446D">
          <w:t>C</w:t>
        </w:r>
        <w:r w:rsidR="00F03005">
          <w:t>ode</w:t>
        </w:r>
        <w:r w:rsidRPr="00ED446D">
          <w:t xml:space="preserve"> § 54-17-602</w:t>
        </w:r>
      </w:hyperlink>
      <w:r w:rsidRPr="00ED446D">
        <w:t xml:space="preserve"> states that </w:t>
      </w:r>
      <w:r w:rsidRPr="00ED446D" w:rsidR="003C43A4">
        <w:t>the facility retains ownership of the REC</w:t>
      </w:r>
      <w:r w:rsidR="00DE0F6A">
        <w:t xml:space="preserve"> and the disposition of RECs </w:t>
      </w:r>
      <w:r w:rsidR="003D75AF">
        <w:t xml:space="preserve">has been previously ruled </w:t>
      </w:r>
      <w:r w:rsidR="00DE0F6A">
        <w:t xml:space="preserve">as “a contractual issue between the qualifying facility </w:t>
      </w:r>
      <w:r w:rsidR="00DE0F6A">
        <w:lastRenderedPageBreak/>
        <w:t>and PacifiCorp</w:t>
      </w:r>
      <w:r w:rsidR="003D75AF">
        <w:t>.</w:t>
      </w:r>
      <w:r w:rsidR="00DE0F6A">
        <w:t>”</w:t>
      </w:r>
      <w:r w:rsidR="00DE0F6A">
        <w:rPr>
          <w:rStyle w:val="FootnoteReference"/>
        </w:rPr>
        <w:footnoteReference w:id="7"/>
      </w:r>
      <w:r w:rsidRPr="00ED446D" w:rsidR="003C43A4">
        <w:t xml:space="preserve"> </w:t>
      </w:r>
      <w:r w:rsidR="00383C11">
        <w:t>Second</w:t>
      </w:r>
      <w:r w:rsidR="003D75AF">
        <w:t>,</w:t>
      </w:r>
      <w:r w:rsidR="00383C11">
        <w:t xml:space="preserve"> </w:t>
      </w:r>
      <w:r w:rsidR="003D75AF">
        <w:t xml:space="preserve">Escalante is registered with WREGIS, whose operating rules include the attestation that 100% of generation output be reported to and tracked by WREGIS.  As the RECs have not been retired, they </w:t>
      </w:r>
      <w:r w:rsidR="00454464">
        <w:t xml:space="preserve">have not been used as the basis for any green energy </w:t>
      </w:r>
      <w:r w:rsidRPr="000C3F61" w:rsidR="00454464">
        <w:t>claims or for compliance with another state's RPS requirement</w:t>
      </w:r>
      <w:r w:rsidRPr="000C3F61" w:rsidR="00383C11">
        <w:t>.  Third,</w:t>
      </w:r>
      <w:r w:rsidRPr="000C3F61" w:rsidR="00BE39BE">
        <w:t xml:space="preserve"> </w:t>
      </w:r>
      <w:r w:rsidRPr="000C3F61" w:rsidR="00FD1E89">
        <w:t>the Escalante Solar III facility</w:t>
      </w:r>
      <w:r w:rsidRPr="000C3F61" w:rsidR="00BE39BE">
        <w:t xml:space="preserve"> </w:t>
      </w:r>
      <w:r w:rsidRPr="000C3F61" w:rsidR="00383C11">
        <w:t>is</w:t>
      </w:r>
      <w:r w:rsidRPr="000C3F61" w:rsidR="00BE39BE">
        <w:t xml:space="preserve"> </w:t>
      </w:r>
      <w:r w:rsidRPr="000C3F61" w:rsidR="00454464">
        <w:t xml:space="preserve">certified as </w:t>
      </w:r>
      <w:r w:rsidRPr="000C3F61" w:rsidR="00BE39BE">
        <w:t>RPS-eligible, and the Agreement is predicated on the facility retaining eligibility</w:t>
      </w:r>
      <w:r w:rsidRPr="000C3F61" w:rsidR="00383C11">
        <w:t xml:space="preserve">.  </w:t>
      </w:r>
      <w:r w:rsidRPr="000C3F61" w:rsidR="00BE39BE">
        <w:t>Fourth</w:t>
      </w:r>
      <w:r w:rsidRPr="000C3F61" w:rsidR="005D587B">
        <w:t>, the delivery requirement is no longer applicable</w:t>
      </w:r>
      <w:r w:rsidRPr="000C3F61" w:rsidR="00383C11">
        <w:t>.</w:t>
      </w:r>
      <w:r w:rsidRPr="000C3F61" w:rsidR="005D587B">
        <w:rPr>
          <w:rStyle w:val="FootnoteReference"/>
        </w:rPr>
        <w:footnoteReference w:id="8"/>
      </w:r>
      <w:r w:rsidRPr="000C3F61" w:rsidR="00383C11">
        <w:t xml:space="preserve">  Fifth, </w:t>
      </w:r>
      <w:r w:rsidRPr="000C3F61" w:rsidR="00BE39BE">
        <w:t>energy generat</w:t>
      </w:r>
      <w:r w:rsidRPr="000C3F61" w:rsidR="00911096">
        <w:t>ion</w:t>
      </w:r>
      <w:r w:rsidRPr="000C3F61" w:rsidR="00BE39BE">
        <w:t xml:space="preserve"> </w:t>
      </w:r>
      <w:r w:rsidRPr="000C3F61" w:rsidR="00474F20">
        <w:t xml:space="preserve">can only </w:t>
      </w:r>
      <w:r w:rsidRPr="000C3F61" w:rsidR="00911096">
        <w:t>occur</w:t>
      </w:r>
      <w:r w:rsidRPr="000C3F61" w:rsidR="00BE39BE">
        <w:t xml:space="preserve"> after January 1, 2008</w:t>
      </w:r>
      <w:r w:rsidRPr="000C3F61" w:rsidR="0026091F">
        <w:t xml:space="preserve"> given that </w:t>
      </w:r>
      <w:r w:rsidRPr="000C3F61" w:rsidR="00F55AFB">
        <w:t>the facility did not begin operation until 2016</w:t>
      </w:r>
      <w:r w:rsidRPr="000C3F61" w:rsidR="00383C11">
        <w:t xml:space="preserve">.  </w:t>
      </w:r>
      <w:r w:rsidRPr="000C3F61" w:rsidR="00911096">
        <w:t>The s</w:t>
      </w:r>
      <w:r w:rsidRPr="000C3F61" w:rsidR="00383C11">
        <w:t>ixth</w:t>
      </w:r>
      <w:r w:rsidRPr="000C3F61" w:rsidR="00911096">
        <w:t xml:space="preserve"> point cannot be confirmed prior to </w:t>
      </w:r>
      <w:r w:rsidRPr="000C3F61" w:rsidR="005D587B">
        <w:t>generation of the</w:t>
      </w:r>
      <w:r w:rsidRPr="000C3F61" w:rsidR="00911096">
        <w:t xml:space="preserve"> REC</w:t>
      </w:r>
      <w:r w:rsidRPr="000C3F61" w:rsidR="005D587B">
        <w:t>s</w:t>
      </w:r>
      <w:r w:rsidRPr="000C3F61" w:rsidR="00911096">
        <w:t xml:space="preserve"> and verification by the CEC, but </w:t>
      </w:r>
      <w:r w:rsidRPr="000C3F61" w:rsidR="00FD1E89">
        <w:t xml:space="preserve">the </w:t>
      </w:r>
      <w:r w:rsidRPr="000C3F61" w:rsidR="00A60065">
        <w:t>Escalante</w:t>
      </w:r>
      <w:r w:rsidRPr="000C3F61" w:rsidR="00FD1E89">
        <w:t xml:space="preserve"> Solar III facility</w:t>
      </w:r>
      <w:r w:rsidRPr="000C3F61" w:rsidR="00A60065">
        <w:t xml:space="preserve"> is </w:t>
      </w:r>
      <w:r w:rsidRPr="000C3F61" w:rsidR="00454464">
        <w:t xml:space="preserve">registered with and </w:t>
      </w:r>
      <w:r w:rsidRPr="000C3F61" w:rsidR="00A60065">
        <w:t xml:space="preserve">tracked </w:t>
      </w:r>
      <w:r w:rsidRPr="000C3F61" w:rsidR="00454464">
        <w:t xml:space="preserve">by </w:t>
      </w:r>
      <w:r w:rsidRPr="000C3F61" w:rsidR="00911096">
        <w:t>WREGIS</w:t>
      </w:r>
      <w:r w:rsidRPr="000C3F61" w:rsidR="00FD1E89">
        <w:t>,</w:t>
      </w:r>
      <w:r w:rsidRPr="000C3F61" w:rsidR="00911096">
        <w:t xml:space="preserve"> and </w:t>
      </w:r>
      <w:r w:rsidRPr="000C3F61" w:rsidR="00FD1E89">
        <w:t>certificate transfer in WREGIS</w:t>
      </w:r>
      <w:r w:rsidRPr="000C3F61" w:rsidR="00911096">
        <w:t xml:space="preserve"> is</w:t>
      </w:r>
      <w:r w:rsidRPr="000C3F61" w:rsidR="00A60065">
        <w:t xml:space="preserve"> </w:t>
      </w:r>
      <w:r w:rsidRPr="000C3F61" w:rsidR="00BE39BE">
        <w:t xml:space="preserve">required </w:t>
      </w:r>
      <w:r w:rsidRPr="000C3F61" w:rsidR="00FD1E89">
        <w:t xml:space="preserve">as </w:t>
      </w:r>
      <w:r w:rsidRPr="000C3F61" w:rsidR="00BE39BE">
        <w:t>part of the Agreement</w:t>
      </w:r>
      <w:r w:rsidRPr="000C3F61" w:rsidR="00961895">
        <w:t xml:space="preserve"> and thus it should be able to comply</w:t>
      </w:r>
      <w:r w:rsidRPr="000C3F61" w:rsidR="00BE39BE">
        <w:t>.</w:t>
      </w:r>
    </w:p>
    <w:p w:rsidRPr="000C3F61" w:rsidR="00383C11" w:rsidP="00A9716F" w:rsidRDefault="00383C11" w14:paraId="7617ECDB" w14:textId="77777777"/>
    <w:p w:rsidRPr="003C43A4" w:rsidR="0031221D" w:rsidP="00A9716F" w:rsidRDefault="00383C11" w14:paraId="5551ECDA" w14:textId="5D30F65B">
      <w:r w:rsidRPr="000C3F61">
        <w:t xml:space="preserve">As such, although RPS compliance cannot be </w:t>
      </w:r>
      <w:r w:rsidRPr="000C3F61" w:rsidR="00D3433C">
        <w:t xml:space="preserve">conclusively </w:t>
      </w:r>
      <w:r w:rsidRPr="000C3F61">
        <w:t xml:space="preserve">determined at this time, it appears that the </w:t>
      </w:r>
      <w:r w:rsidRPr="000C3F61" w:rsidR="0031221D">
        <w:t xml:space="preserve">RECs that would be procured </w:t>
      </w:r>
      <w:r w:rsidRPr="000C3F61" w:rsidR="00961895">
        <w:t xml:space="preserve">because of </w:t>
      </w:r>
      <w:r w:rsidRPr="000C3F61" w:rsidR="0031221D">
        <w:t>the Agreement</w:t>
      </w:r>
      <w:r w:rsidRPr="000C3F61" w:rsidR="00B91CF5">
        <w:t xml:space="preserve"> </w:t>
      </w:r>
      <w:r w:rsidRPr="000C3F61" w:rsidR="0057779E">
        <w:t>w</w:t>
      </w:r>
      <w:r w:rsidRPr="000C3F61">
        <w:t xml:space="preserve">ould be </w:t>
      </w:r>
      <w:r w:rsidRPr="000C3F61" w:rsidR="00B91CF5">
        <w:t>able to</w:t>
      </w:r>
      <w:r w:rsidRPr="000C3F61" w:rsidR="0031221D">
        <w:t xml:space="preserve"> </w:t>
      </w:r>
      <w:r w:rsidRPr="000C3F61" w:rsidR="007C4558">
        <w:t>compl</w:t>
      </w:r>
      <w:r w:rsidRPr="000C3F61" w:rsidR="00B91CF5">
        <w:t>y</w:t>
      </w:r>
      <w:r w:rsidRPr="000C3F61" w:rsidR="007C4558">
        <w:t xml:space="preserve"> with</w:t>
      </w:r>
      <w:r w:rsidRPr="000C3F61" w:rsidR="0031221D">
        <w:t xml:space="preserve"> the six bulleted criteria</w:t>
      </w:r>
      <w:r w:rsidRPr="003C43A4" w:rsidR="0031221D">
        <w:t xml:space="preserve">.  </w:t>
      </w:r>
    </w:p>
    <w:p w:rsidRPr="00461EAE" w:rsidR="0031221D" w:rsidP="0031221D" w:rsidRDefault="0031221D" w14:paraId="42F85950" w14:textId="77777777"/>
    <w:p w:rsidRPr="00ED446D" w:rsidR="0031221D" w:rsidP="0031221D" w:rsidRDefault="008E7F02" w14:paraId="4C871E0A" w14:textId="734837F3">
      <w:r w:rsidRPr="00ED446D">
        <w:t xml:space="preserve">As such, </w:t>
      </w:r>
      <w:r w:rsidRPr="00ED446D">
        <w:rPr>
          <w:u w:val="single"/>
        </w:rPr>
        <w:t xml:space="preserve">the Agreement with Escalante is consistent with </w:t>
      </w:r>
      <w:r w:rsidR="009A2C52">
        <w:rPr>
          <w:u w:val="single"/>
        </w:rPr>
        <w:t>CPUC</w:t>
      </w:r>
      <w:r w:rsidRPr="00ED446D">
        <w:rPr>
          <w:u w:val="single"/>
        </w:rPr>
        <w:t xml:space="preserve"> </w:t>
      </w:r>
      <w:r w:rsidRPr="00ED446D" w:rsidR="00B91CF5">
        <w:rPr>
          <w:u w:val="single"/>
        </w:rPr>
        <w:t>rules regarding the purchase of RECs from Qualifying Facilities</w:t>
      </w:r>
      <w:r w:rsidR="00974732">
        <w:rPr>
          <w:u w:val="single"/>
        </w:rPr>
        <w:t xml:space="preserve"> outside the state of California</w:t>
      </w:r>
      <w:r w:rsidRPr="00ED446D" w:rsidR="00B91CF5">
        <w:rPr>
          <w:u w:val="single"/>
        </w:rPr>
        <w:t xml:space="preserve"> as </w:t>
      </w:r>
      <w:r w:rsidRPr="00ED446D">
        <w:rPr>
          <w:u w:val="single"/>
        </w:rPr>
        <w:t xml:space="preserve">established in </w:t>
      </w:r>
      <w:r w:rsidRPr="00ED446D" w:rsidR="00B91CF5">
        <w:rPr>
          <w:u w:val="single"/>
        </w:rPr>
        <w:t>D.10-03-021</w:t>
      </w:r>
      <w:r w:rsidRPr="00ED446D" w:rsidR="009F1D54">
        <w:rPr>
          <w:u w:val="single"/>
        </w:rPr>
        <w:t xml:space="preserve"> and modified by D.11-01-025</w:t>
      </w:r>
      <w:r w:rsidRPr="00ED446D">
        <w:t>.</w:t>
      </w:r>
    </w:p>
    <w:p w:rsidRPr="00717F3D" w:rsidR="0031221D" w:rsidP="00FE3D3A" w:rsidRDefault="0031221D" w14:paraId="386ED90C" w14:textId="77777777">
      <w:pPr>
        <w:rPr>
          <w:b/>
          <w:bCs/>
          <w:szCs w:val="26"/>
        </w:rPr>
      </w:pPr>
    </w:p>
    <w:p w:rsidRPr="00FC2DB0" w:rsidR="00FE3D3A" w:rsidP="005838A8" w:rsidRDefault="00FE3D3A" w14:paraId="60C38906" w14:textId="7CA3F159">
      <w:pPr>
        <w:spacing w:after="120"/>
        <w:rPr>
          <w:b/>
          <w:bCs/>
        </w:rPr>
      </w:pPr>
      <w:r w:rsidRPr="00FC2DB0">
        <w:rPr>
          <w:b/>
          <w:bCs/>
        </w:rPr>
        <w:t xml:space="preserve">Consistency with PacifiCorp’s RPS Procurement Plan </w:t>
      </w:r>
    </w:p>
    <w:p w:rsidRPr="00ED446D" w:rsidR="00DB671B" w:rsidP="00ED446D" w:rsidRDefault="00DB671B" w14:paraId="253A2787" w14:textId="48162741">
      <w:r w:rsidRPr="00ED446D">
        <w:t>Per SB 2 1X</w:t>
      </w:r>
      <w:r w:rsidRPr="004D703D">
        <w:rPr>
          <w:vertAlign w:val="superscript"/>
        </w:rPr>
        <w:footnoteReference w:id="9"/>
      </w:r>
      <w:r w:rsidRPr="00ED446D">
        <w:t xml:space="preserve">, Small and Multi-jurisdictional Utilities (SMJUs) such as PacifiCorp may use an Integrated Resource Plan (IRP) prepared for regulatory agencies in other states to satisfy the RPS procurement plan requirement, so long as the IRP meets PUC §399.17(d) requirements.  In D.08-05-029, issued May 30, 2008, the </w:t>
      </w:r>
      <w:r w:rsidR="009A2C52">
        <w:t>CPUC</w:t>
      </w:r>
      <w:r w:rsidRPr="00ED446D">
        <w:t xml:space="preserve"> authorized PacifiCorp to use its IRP, supplemented with annual filings, to fulfil the requirement to prepare a renewable energy procurement plan.  SMJUs were also directed to file a supplement in years in which the IRP is filed in other jurisdictions (on-year supplement) as well as years in which an IRP is not filed (off-year supplement).  Accordingly, PacifiCorp filed its 2018 Off-Year Supplement to its 2017 IRP on October 8, 2018.</w:t>
      </w:r>
    </w:p>
    <w:p w:rsidRPr="00ED446D" w:rsidR="00DB671B" w:rsidP="00ED446D" w:rsidRDefault="00DB671B" w14:paraId="1296F5F0" w14:textId="4D8E9D45">
      <w:r w:rsidRPr="00ED446D">
        <w:lastRenderedPageBreak/>
        <w:t xml:space="preserve">Pursuant to statute, </w:t>
      </w:r>
      <w:r w:rsidRPr="00ED446D" w:rsidR="00AF1CF6">
        <w:t>PacifiCorp</w:t>
      </w:r>
      <w:r w:rsidRPr="00ED446D">
        <w:t>’</w:t>
      </w:r>
      <w:r w:rsidR="00974732">
        <w:t>s</w:t>
      </w:r>
      <w:r w:rsidRPr="00ED446D">
        <w:t xml:space="preserve"> </w:t>
      </w:r>
      <w:r w:rsidRPr="00ED446D" w:rsidR="00AF1CF6">
        <w:t xml:space="preserve">2018 Off-Year Supplement </w:t>
      </w:r>
      <w:r w:rsidRPr="00ED446D">
        <w:t xml:space="preserve">includes: an assessment of supply and demand; description of potential RPS compliance delays; status update of projects within its RPS portfolio; and an assessment of the project failure and delay risk within its RPS portfolio.  </w:t>
      </w:r>
    </w:p>
    <w:p w:rsidRPr="00ED446D" w:rsidR="00DB671B" w:rsidP="00ED446D" w:rsidRDefault="00DB671B" w14:paraId="4465A658" w14:textId="77777777"/>
    <w:p w:rsidR="00BC1DE2" w:rsidP="00A04F9C" w:rsidRDefault="00A04F9C" w14:paraId="70B78A47" w14:textId="3A67F858">
      <w:r>
        <w:t xml:space="preserve">The 2018 Off-Year Supplement also included </w:t>
      </w:r>
      <w:r w:rsidR="0014613E">
        <w:t>PacifiCorp’s</w:t>
      </w:r>
      <w:r>
        <w:t xml:space="preserve"> plan to </w:t>
      </w:r>
      <w:r w:rsidRPr="00A04F9C">
        <w:t xml:space="preserve">procure and use </w:t>
      </w:r>
      <w:r w:rsidR="0014613E">
        <w:t>PCC 3 “</w:t>
      </w:r>
      <w:r w:rsidRPr="00A04F9C">
        <w:t>unbundled</w:t>
      </w:r>
      <w:r w:rsidR="0014613E">
        <w:t>”</w:t>
      </w:r>
      <w:r w:rsidRPr="00A04F9C">
        <w:t xml:space="preserve"> RECs for California RPS compliance as needed</w:t>
      </w:r>
      <w:r>
        <w:t xml:space="preserve">.  </w:t>
      </w:r>
      <w:r w:rsidRPr="00ED446D">
        <w:t xml:space="preserve">PacifiCorp </w:t>
      </w:r>
      <w:r>
        <w:t>asserts</w:t>
      </w:r>
      <w:r w:rsidRPr="00ED446D">
        <w:t xml:space="preserve"> that as a SMJU they are not restricted by the portfolio content category limitations and plan to use </w:t>
      </w:r>
      <w:r w:rsidR="009D4BF9">
        <w:t>"</w:t>
      </w:r>
      <w:r w:rsidRPr="00ED446D">
        <w:t>PCC 3 RECs to meet its RPS obligations as needed consistent with D.11-01-025.</w:t>
      </w:r>
      <w:r w:rsidR="000C3F61">
        <w:t>"</w:t>
      </w:r>
      <w:r w:rsidRPr="00ED446D">
        <w:t xml:space="preserve">  </w:t>
      </w:r>
      <w:r>
        <w:t xml:space="preserve">The CPUC accepted this approach, finding in D.19-02-007 that the 2017 IRP and 2018 Off-Year Supplement were consistent with CPUC requirements.  </w:t>
      </w:r>
    </w:p>
    <w:p w:rsidR="00BC1DE2" w:rsidP="00A04F9C" w:rsidRDefault="00BC1DE2" w14:paraId="688EC0B2" w14:textId="77777777"/>
    <w:p w:rsidRPr="00461EAE" w:rsidR="00DB671B" w:rsidP="00A04F9C" w:rsidRDefault="00A04F9C" w14:paraId="0AAB539E" w14:textId="4C40AF37">
      <w:r>
        <w:t>As such</w:t>
      </w:r>
      <w:r w:rsidRPr="00461EAE" w:rsidR="00DB671B">
        <w:t xml:space="preserve">, </w:t>
      </w:r>
      <w:r w:rsidRPr="00461EAE" w:rsidR="00DB671B">
        <w:rPr>
          <w:u w:val="single"/>
        </w:rPr>
        <w:t xml:space="preserve">the </w:t>
      </w:r>
      <w:r w:rsidRPr="00461EAE" w:rsidR="00A16F5B">
        <w:rPr>
          <w:u w:val="single"/>
        </w:rPr>
        <w:t>Agreement</w:t>
      </w:r>
      <w:r w:rsidRPr="00461EAE" w:rsidR="00DB671B">
        <w:rPr>
          <w:u w:val="single"/>
        </w:rPr>
        <w:t xml:space="preserve"> is consistent with </w:t>
      </w:r>
      <w:r w:rsidRPr="00461EAE" w:rsidR="00A16F5B">
        <w:rPr>
          <w:u w:val="single"/>
        </w:rPr>
        <w:t>PacifiCorp’s</w:t>
      </w:r>
      <w:r w:rsidRPr="00461EAE" w:rsidR="00DB671B">
        <w:rPr>
          <w:u w:val="single"/>
        </w:rPr>
        <w:t xml:space="preserve"> 201</w:t>
      </w:r>
      <w:r w:rsidRPr="00461EAE" w:rsidR="00A16F5B">
        <w:rPr>
          <w:u w:val="single"/>
        </w:rPr>
        <w:t>8</w:t>
      </w:r>
      <w:r w:rsidRPr="00461EAE" w:rsidR="00DB671B">
        <w:rPr>
          <w:u w:val="single"/>
        </w:rPr>
        <w:t xml:space="preserve"> </w:t>
      </w:r>
      <w:r w:rsidRPr="00461EAE" w:rsidR="00A16F5B">
        <w:rPr>
          <w:u w:val="single"/>
        </w:rPr>
        <w:t>Off-Year Supplement</w:t>
      </w:r>
      <w:r w:rsidRPr="00461EAE" w:rsidR="00DB671B">
        <w:t>.</w:t>
      </w:r>
    </w:p>
    <w:p w:rsidRPr="00717F3D" w:rsidR="00DB671B" w:rsidP="00DB671B" w:rsidRDefault="00DB671B" w14:paraId="52BF5E71" w14:textId="7756C621">
      <w:pPr>
        <w:ind w:left="360"/>
      </w:pPr>
    </w:p>
    <w:p w:rsidRPr="00FC2DB0" w:rsidR="00FE3D3A" w:rsidP="005838A8" w:rsidRDefault="00FE3D3A" w14:paraId="486C9162" w14:textId="439D886E">
      <w:pPr>
        <w:spacing w:after="120"/>
        <w:rPr>
          <w:b/>
          <w:bCs/>
        </w:rPr>
      </w:pPr>
      <w:r w:rsidRPr="00FC2DB0">
        <w:rPr>
          <w:b/>
          <w:bCs/>
        </w:rPr>
        <w:t>Consistency with RPS Portfolio Need</w:t>
      </w:r>
    </w:p>
    <w:p w:rsidR="00BC1DE2" w:rsidP="00461EAE" w:rsidRDefault="00404744" w14:paraId="16F47DD5" w14:textId="77777777">
      <w:r w:rsidRPr="00461EAE">
        <w:t xml:space="preserve">As noted in its </w:t>
      </w:r>
      <w:r w:rsidRPr="00461EAE" w:rsidR="007A4FBD">
        <w:t>2018 Off-Year IRP Supplement and 2019 On-Year IRP Supplement</w:t>
      </w:r>
      <w:r w:rsidRPr="00461EAE">
        <w:t>, PacifiCorp</w:t>
      </w:r>
      <w:r w:rsidRPr="00461EAE" w:rsidR="00E1279B">
        <w:t xml:space="preserve"> forecasts a deficit with respect to California RPS requirements</w:t>
      </w:r>
      <w:r w:rsidRPr="00461EAE">
        <w:t xml:space="preserve">.  </w:t>
      </w:r>
      <w:r w:rsidRPr="00461EAE" w:rsidR="00AF4AC6">
        <w:t xml:space="preserve">PacifiCorp </w:t>
      </w:r>
      <w:r w:rsidR="00777DF3">
        <w:t>asserts</w:t>
      </w:r>
      <w:r w:rsidRPr="00461EAE" w:rsidR="00777DF3">
        <w:t xml:space="preserve"> </w:t>
      </w:r>
      <w:r w:rsidRPr="00461EAE" w:rsidR="00AF4AC6">
        <w:t xml:space="preserve">in AL </w:t>
      </w:r>
      <w:r w:rsidR="007B4411">
        <w:t>617-E/E-A</w:t>
      </w:r>
      <w:r w:rsidRPr="00461EAE" w:rsidR="00AF4AC6">
        <w:t xml:space="preserve"> that t</w:t>
      </w:r>
      <w:r w:rsidRPr="00461EAE" w:rsidR="007A4FBD">
        <w:t>he procurement quant</w:t>
      </w:r>
      <w:r w:rsidRPr="00461EAE" w:rsidR="00640E45">
        <w:t>it</w:t>
      </w:r>
      <w:r w:rsidRPr="00461EAE" w:rsidR="007A4FBD">
        <w:t xml:space="preserve">y sought under this Agreement </w:t>
      </w:r>
      <w:r w:rsidRPr="00461EAE" w:rsidR="00AF4AC6">
        <w:t xml:space="preserve">is </w:t>
      </w:r>
      <w:r w:rsidRPr="00461EAE" w:rsidR="007A4FBD">
        <w:t>sufficient to comply with California RPS requirements</w:t>
      </w:r>
      <w:r w:rsidRPr="00461EAE" w:rsidR="00E1279B">
        <w:t xml:space="preserve"> as shown in confidential Appendix A</w:t>
      </w:r>
      <w:r w:rsidRPr="00461EAE" w:rsidR="007A4FBD">
        <w:t>.</w:t>
      </w:r>
      <w:r w:rsidRPr="00461EAE" w:rsidR="00E1279B">
        <w:t xml:space="preserve">  </w:t>
      </w:r>
      <w:r w:rsidRPr="00461EAE" w:rsidR="00AF4AC6">
        <w:t>A</w:t>
      </w:r>
      <w:r w:rsidRPr="00461EAE" w:rsidR="00E1279B">
        <w:t xml:space="preserve">s the procurement is for PCC 3 RECs, it will not affect </w:t>
      </w:r>
      <w:r w:rsidRPr="00461EAE" w:rsidR="00BC1D17">
        <w:t xml:space="preserve">PacifiCorp’s power procurement or resource portfolio needs.  </w:t>
      </w:r>
    </w:p>
    <w:p w:rsidR="00BC1DE2" w:rsidP="00461EAE" w:rsidRDefault="00BC1DE2" w14:paraId="663DE9E3" w14:textId="77777777"/>
    <w:p w:rsidRPr="00717F3D" w:rsidR="00DB671B" w:rsidP="00461EAE" w:rsidRDefault="00BC1D17" w14:paraId="288E753E" w14:textId="3C8C1CE9">
      <w:r w:rsidRPr="00461EAE">
        <w:t xml:space="preserve">As </w:t>
      </w:r>
      <w:r w:rsidRPr="00461EAE">
        <w:rPr>
          <w:u w:val="single"/>
        </w:rPr>
        <w:t xml:space="preserve">the Agreement is long-term, it will help ensure PacifiCorp satisfy its </w:t>
      </w:r>
      <w:r w:rsidRPr="00461EAE" w:rsidR="00B91CF5">
        <w:rPr>
          <w:u w:val="single"/>
        </w:rPr>
        <w:t>long-term</w:t>
      </w:r>
      <w:r w:rsidRPr="00461EAE">
        <w:rPr>
          <w:u w:val="single"/>
        </w:rPr>
        <w:t xml:space="preserve"> contracting obligation</w:t>
      </w:r>
      <w:r w:rsidRPr="00461EAE">
        <w:t>.</w:t>
      </w:r>
      <w:r w:rsidRPr="00717F3D">
        <w:t xml:space="preserve">  </w:t>
      </w:r>
    </w:p>
    <w:p w:rsidRPr="00717F3D" w:rsidR="00F34E7B" w:rsidP="007A4FBD" w:rsidRDefault="00F34E7B" w14:paraId="6083FE3E" w14:textId="77777777">
      <w:pPr>
        <w:rPr>
          <w:szCs w:val="26"/>
        </w:rPr>
      </w:pPr>
    </w:p>
    <w:p w:rsidRPr="008245CA" w:rsidR="00234D3A" w:rsidP="005838A8" w:rsidRDefault="00BC1D17" w14:paraId="6D512010" w14:textId="6C7295DD">
      <w:pPr>
        <w:spacing w:after="120"/>
        <w:rPr>
          <w:b/>
          <w:bCs/>
        </w:rPr>
      </w:pPr>
      <w:r w:rsidRPr="008245CA">
        <w:rPr>
          <w:b/>
          <w:bCs/>
        </w:rPr>
        <w:t>Bilateral Contracting</w:t>
      </w:r>
    </w:p>
    <w:p w:rsidRPr="00461EAE" w:rsidR="00240E5D" w:rsidP="00461EAE" w:rsidRDefault="00240E5D" w14:paraId="50BBDB29" w14:textId="2FCBBE8D">
      <w:r w:rsidRPr="00461EAE">
        <w:t xml:space="preserve">The </w:t>
      </w:r>
      <w:r w:rsidR="009A2C52">
        <w:t>CPUC</w:t>
      </w:r>
      <w:r w:rsidRPr="00461EAE">
        <w:t xml:space="preserve"> has developed guidelines pursuant to which utilities may enter into bilateral RPS contracts. In D.03-06-071, the </w:t>
      </w:r>
      <w:r w:rsidR="009A2C52">
        <w:t>CPUC</w:t>
      </w:r>
      <w:r w:rsidRPr="00461EAE">
        <w:t xml:space="preserve"> authorized entry into bilateral RPS contracts provided that such contracts did not require Public Goods Charge funds and that they were “prudent.” In D.06-10-019, the </w:t>
      </w:r>
      <w:r w:rsidR="009A2C52">
        <w:t>CPUC</w:t>
      </w:r>
      <w:r w:rsidRPr="00461EAE">
        <w:t xml:space="preserve"> established rules pursuant to which the IOUs could enter into bilateral RPS contracts. </w:t>
      </w:r>
      <w:r w:rsidRPr="00461EAE" w:rsidR="005B2BE8">
        <w:t>PacifiCorp</w:t>
      </w:r>
      <w:r w:rsidRPr="00461EAE">
        <w:t xml:space="preserve"> adhered to these bilateral contracting rules because the </w:t>
      </w:r>
      <w:r w:rsidRPr="00461EAE" w:rsidR="005B2BE8">
        <w:t>Agreement with Escalante</w:t>
      </w:r>
      <w:r w:rsidRPr="00461EAE">
        <w:t xml:space="preserve"> is longer than one month in duration, was filed by advice letter</w:t>
      </w:r>
      <w:r w:rsidRPr="00461EAE" w:rsidR="005B2BE8">
        <w:t>,</w:t>
      </w:r>
      <w:r w:rsidRPr="00461EAE">
        <w:t xml:space="preserve"> and </w:t>
      </w:r>
      <w:r w:rsidRPr="00461EAE" w:rsidR="005B2BE8">
        <w:t>is</w:t>
      </w:r>
      <w:r w:rsidRPr="00461EAE">
        <w:t xml:space="preserve"> reasonably priced. </w:t>
      </w:r>
    </w:p>
    <w:p w:rsidRPr="00461EAE" w:rsidR="00240E5D" w:rsidP="00461EAE" w:rsidRDefault="00240E5D" w14:paraId="51D38C16" w14:textId="77777777"/>
    <w:p w:rsidRPr="00461EAE" w:rsidR="00240E5D" w:rsidP="00461EAE" w:rsidRDefault="00240E5D" w14:paraId="3BB1F9D1" w14:textId="14ECB100">
      <w:r w:rsidRPr="00461EAE">
        <w:lastRenderedPageBreak/>
        <w:t xml:space="preserve">In D.09-06-050, the </w:t>
      </w:r>
      <w:r w:rsidR="009A2C52">
        <w:t>CPUC</w:t>
      </w:r>
      <w:r w:rsidRPr="00461EAE">
        <w:t xml:space="preserve"> also determined that bilateral agreements should be reviewed according to the same processes and standards as projects that come through a solicitation. Accordingly, as described </w:t>
      </w:r>
      <w:r w:rsidRPr="00461EAE" w:rsidR="006C1B83">
        <w:t>above</w:t>
      </w:r>
      <w:r w:rsidRPr="00461EAE">
        <w:t xml:space="preserve">, the </w:t>
      </w:r>
      <w:r w:rsidRPr="00461EAE" w:rsidR="00530E17">
        <w:t>Agreement with Escalante</w:t>
      </w:r>
      <w:r w:rsidRPr="00461EAE">
        <w:t xml:space="preserve"> was </w:t>
      </w:r>
      <w:r w:rsidRPr="00461EAE" w:rsidR="00530E17">
        <w:t>considered against</w:t>
      </w:r>
      <w:r w:rsidRPr="00461EAE">
        <w:t xml:space="preserve"> RPS offers received in </w:t>
      </w:r>
      <w:r w:rsidRPr="00461EAE" w:rsidR="00530E17">
        <w:t>PacifiCorp’s</w:t>
      </w:r>
      <w:r w:rsidRPr="00461EAE">
        <w:t xml:space="preserve"> </w:t>
      </w:r>
      <w:r w:rsidR="00C80BD8">
        <w:br/>
      </w:r>
      <w:r w:rsidRPr="00461EAE" w:rsidR="00530E17">
        <w:t xml:space="preserve">November, </w:t>
      </w:r>
      <w:r w:rsidRPr="00461EAE">
        <w:t>201</w:t>
      </w:r>
      <w:r w:rsidRPr="00461EAE" w:rsidR="00530E17">
        <w:t>9</w:t>
      </w:r>
      <w:r w:rsidRPr="00461EAE">
        <w:t xml:space="preserve"> RPS solicitation. </w:t>
      </w:r>
    </w:p>
    <w:p w:rsidRPr="00461EAE" w:rsidR="00240E5D" w:rsidP="00461EAE" w:rsidRDefault="00240E5D" w14:paraId="35C987E4" w14:textId="77777777"/>
    <w:p w:rsidRPr="00717F3D" w:rsidR="00240E5D" w:rsidP="00461EAE" w:rsidRDefault="00530E17" w14:paraId="7330A5A6" w14:textId="5FB303FC">
      <w:r w:rsidRPr="00461EAE">
        <w:t>As such</w:t>
      </w:r>
      <w:r w:rsidRPr="00461EAE" w:rsidR="006C1B83">
        <w:t xml:space="preserve">, </w:t>
      </w:r>
      <w:r w:rsidRPr="00461EAE" w:rsidR="006C1B83">
        <w:rPr>
          <w:u w:val="single"/>
        </w:rPr>
        <w:t>t</w:t>
      </w:r>
      <w:r w:rsidRPr="00461EAE" w:rsidR="00240E5D">
        <w:rPr>
          <w:u w:val="single"/>
        </w:rPr>
        <w:t xml:space="preserve">he </w:t>
      </w:r>
      <w:r w:rsidRPr="00461EAE" w:rsidR="006C1B83">
        <w:rPr>
          <w:u w:val="single"/>
        </w:rPr>
        <w:t>Agreement with Escalante</w:t>
      </w:r>
      <w:r w:rsidRPr="00461EAE" w:rsidR="00240E5D">
        <w:rPr>
          <w:u w:val="single"/>
        </w:rPr>
        <w:t xml:space="preserve"> is consistent with the bilateral contracting guidelines established in D.06-10-019 and D.09-06-050</w:t>
      </w:r>
      <w:r w:rsidRPr="00717F3D" w:rsidR="00240E5D">
        <w:t>.</w:t>
      </w:r>
    </w:p>
    <w:p w:rsidR="00234D3A" w:rsidRDefault="00234D3A" w14:paraId="4F4561DF" w14:textId="33C890B0"/>
    <w:p w:rsidR="00404744" w:rsidP="005838A8" w:rsidRDefault="00BC1D17" w14:paraId="1E145535" w14:textId="7741DD93">
      <w:pPr>
        <w:spacing w:after="120"/>
        <w:rPr>
          <w:b/>
          <w:bCs/>
        </w:rPr>
      </w:pPr>
      <w:r w:rsidRPr="00BC1D17">
        <w:rPr>
          <w:b/>
          <w:bCs/>
        </w:rPr>
        <w:t xml:space="preserve">Consistency with </w:t>
      </w:r>
      <w:r w:rsidR="009A2C52">
        <w:rPr>
          <w:b/>
          <w:bCs/>
        </w:rPr>
        <w:t>CPUC</w:t>
      </w:r>
      <w:r w:rsidRPr="00BC1D17">
        <w:rPr>
          <w:b/>
          <w:bCs/>
        </w:rPr>
        <w:t xml:space="preserve">’s </w:t>
      </w:r>
      <w:r w:rsidR="00404744">
        <w:rPr>
          <w:b/>
          <w:bCs/>
        </w:rPr>
        <w:t>L</w:t>
      </w:r>
      <w:r w:rsidRPr="00BC1D17">
        <w:rPr>
          <w:b/>
          <w:bCs/>
        </w:rPr>
        <w:t>east-</w:t>
      </w:r>
      <w:r w:rsidR="00404744">
        <w:rPr>
          <w:b/>
          <w:bCs/>
        </w:rPr>
        <w:t>C</w:t>
      </w:r>
      <w:r w:rsidRPr="00BC1D17">
        <w:rPr>
          <w:b/>
          <w:bCs/>
        </w:rPr>
        <w:t xml:space="preserve">ost </w:t>
      </w:r>
      <w:r w:rsidR="00404744">
        <w:rPr>
          <w:b/>
          <w:bCs/>
        </w:rPr>
        <w:t>B</w:t>
      </w:r>
      <w:r w:rsidRPr="00BC1D17">
        <w:rPr>
          <w:b/>
          <w:bCs/>
        </w:rPr>
        <w:t>est-</w:t>
      </w:r>
      <w:r w:rsidR="00404744">
        <w:rPr>
          <w:b/>
          <w:bCs/>
        </w:rPr>
        <w:t>F</w:t>
      </w:r>
      <w:r w:rsidRPr="00BC1D17">
        <w:rPr>
          <w:b/>
          <w:bCs/>
        </w:rPr>
        <w:t>it requirements</w:t>
      </w:r>
    </w:p>
    <w:p w:rsidRPr="00717F3D" w:rsidR="00404744" w:rsidP="00456D8A" w:rsidRDefault="00404744" w14:paraId="2179DC49" w14:textId="762A224E">
      <w:r w:rsidRPr="00717F3D">
        <w:t xml:space="preserve">In D.04-07-029, the </w:t>
      </w:r>
      <w:r w:rsidR="009A2C52">
        <w:t>CPUC</w:t>
      </w:r>
      <w:r w:rsidRPr="00717F3D">
        <w:t xml:space="preserve"> directs the utilities to use certain criteria in their </w:t>
      </w:r>
      <w:r w:rsidR="00055560">
        <w:t>Least-Cost Best-Fit (</w:t>
      </w:r>
      <w:r w:rsidRPr="00717F3D">
        <w:t>LCBF</w:t>
      </w:r>
      <w:r w:rsidR="00055560">
        <w:t>)</w:t>
      </w:r>
      <w:r w:rsidRPr="00717F3D">
        <w:t xml:space="preserve"> selection of renewable resources.   The decision offers guidance regarding the process by which the utility ranks bids in order to select or “shortlist” the bids with which it will commence negotiations.  </w:t>
      </w:r>
      <w:r w:rsidR="005E0F17">
        <w:t>Further, i</w:t>
      </w:r>
      <w:r w:rsidRPr="00717F3D">
        <w:t xml:space="preserve">n D.10-03-021, as modified by D.11-01-025, the </w:t>
      </w:r>
      <w:r w:rsidR="009A2C52">
        <w:t>CPUC</w:t>
      </w:r>
      <w:r w:rsidRPr="00717F3D">
        <w:t xml:space="preserve"> note</w:t>
      </w:r>
      <w:r w:rsidRPr="00717F3D" w:rsidR="002A458F">
        <w:t>d</w:t>
      </w:r>
      <w:r w:rsidRPr="00717F3D">
        <w:t xml:space="preserve"> that utilities should explain in their advice letters seeking approval of REC-only contracts their methodology for evaluating the contracts.</w:t>
      </w:r>
    </w:p>
    <w:p w:rsidRPr="00717F3D" w:rsidR="00404744" w:rsidP="00456D8A" w:rsidRDefault="00404744" w14:paraId="6441FE36" w14:textId="77777777"/>
    <w:p w:rsidR="00BC1DE2" w:rsidP="00456D8A" w:rsidRDefault="00AF4AC6" w14:paraId="475183DB" w14:textId="77777777">
      <w:r w:rsidRPr="00717F3D">
        <w:t xml:space="preserve">In AL 617-E, PacifiCorp </w:t>
      </w:r>
      <w:r w:rsidR="0073575D">
        <w:t>states that it compared the Agreement to results from a recent PacifiCorp solicitation and “the terms of the Agreement proved to be significantly better” than any of the solicitation bid</w:t>
      </w:r>
      <w:r w:rsidRPr="0024515C" w:rsidR="0073575D">
        <w:t>s.</w:t>
      </w:r>
      <w:r w:rsidRPr="0024515C" w:rsidR="005E0F17">
        <w:t xml:space="preserve">  </w:t>
      </w:r>
    </w:p>
    <w:p w:rsidR="00BC1DE2" w:rsidP="00456D8A" w:rsidRDefault="00BC1DE2" w14:paraId="2AE05F55" w14:textId="77777777"/>
    <w:p w:rsidRPr="00717F3D" w:rsidR="00234D3A" w:rsidP="00456D8A" w:rsidRDefault="000D3C7D" w14:paraId="4A3E1D01" w14:textId="1D3C3C42">
      <w:r>
        <w:rPr>
          <w:u w:val="single"/>
        </w:rPr>
        <w:t>Thus,</w:t>
      </w:r>
      <w:r w:rsidR="005E0F17">
        <w:rPr>
          <w:u w:val="single"/>
        </w:rPr>
        <w:t xml:space="preserve"> AL </w:t>
      </w:r>
      <w:r w:rsidR="007B4411">
        <w:rPr>
          <w:u w:val="single"/>
        </w:rPr>
        <w:t>617-E/E-A</w:t>
      </w:r>
      <w:r w:rsidR="005E0F17">
        <w:rPr>
          <w:u w:val="single"/>
        </w:rPr>
        <w:t xml:space="preserve"> is consistent with D.10-03-021, as modified, regarding </w:t>
      </w:r>
      <w:r>
        <w:rPr>
          <w:u w:val="single"/>
        </w:rPr>
        <w:t>providing the methodology for evaluating a REC-only contract</w:t>
      </w:r>
      <w:r w:rsidR="005E0F17">
        <w:rPr>
          <w:u w:val="single"/>
        </w:rPr>
        <w:t>.</w:t>
      </w:r>
    </w:p>
    <w:p w:rsidR="00234D3A" w:rsidRDefault="00234D3A" w14:paraId="652D7977" w14:textId="1C99C93D"/>
    <w:p w:rsidRPr="001E5265" w:rsidR="0024515C" w:rsidP="0024515C" w:rsidRDefault="0024515C" w14:paraId="2B3D2B40" w14:textId="77777777">
      <w:pPr>
        <w:spacing w:after="120"/>
        <w:rPr>
          <w:b/>
        </w:rPr>
      </w:pPr>
      <w:r w:rsidRPr="001E5265">
        <w:rPr>
          <w:b/>
        </w:rPr>
        <w:t>Cost reasonableness</w:t>
      </w:r>
    </w:p>
    <w:p w:rsidR="00BC1DE2" w:rsidP="0024515C" w:rsidRDefault="0024515C" w14:paraId="0580A6ED" w14:textId="574EF769">
      <w:r w:rsidRPr="00717F3D">
        <w:t xml:space="preserve">The </w:t>
      </w:r>
      <w:r>
        <w:t>CPUC</w:t>
      </w:r>
      <w:r w:rsidRPr="00717F3D">
        <w:t xml:space="preserve">’s reasonableness review for RPS contract prices includes comparisons of proposed contracts to recent RPS solicitations and contracts executed in the </w:t>
      </w:r>
      <w:r w:rsidR="00C80BD8">
        <w:br/>
      </w:r>
      <w:r w:rsidRPr="00717F3D">
        <w:t xml:space="preserve">12 months prior to the proposed contracts execution date.  Although the price from Escalante was bilaterally negotiated and not the direct result of a solicitation, PacifiCorp's November, 2019 RFP included soliciting long-term unbundled RECs, and </w:t>
      </w:r>
      <w:r w:rsidR="00C73E24">
        <w:t>as PacifiCorp asserts</w:t>
      </w:r>
      <w:r w:rsidR="00BC1DE2">
        <w:t>,</w:t>
      </w:r>
      <w:r w:rsidR="00F31B72">
        <w:t xml:space="preserve"> </w:t>
      </w:r>
      <w:r w:rsidR="00C73E24">
        <w:t>the</w:t>
      </w:r>
      <w:r w:rsidRPr="00717F3D">
        <w:t xml:space="preserve"> Escalante price was lower than the best long-term REC bid received for that RFP</w:t>
      </w:r>
      <w:r w:rsidR="00BC1DE2">
        <w:t>.</w:t>
      </w:r>
    </w:p>
    <w:p w:rsidR="00BC1DE2" w:rsidP="0024515C" w:rsidRDefault="00BC1DE2" w14:paraId="4B38C060" w14:textId="77777777"/>
    <w:p w:rsidRPr="00717F3D" w:rsidR="0024515C" w:rsidP="0024515C" w:rsidRDefault="00BC1DE2" w14:paraId="64B11089" w14:textId="60F151C7">
      <w:r>
        <w:t>We</w:t>
      </w:r>
      <w:r w:rsidRPr="003A2D92" w:rsidR="0024515C">
        <w:t xml:space="preserve"> determine that the Agreement’s costs are reasonable.</w:t>
      </w:r>
    </w:p>
    <w:p w:rsidRPr="00717F3D" w:rsidR="0024515C" w:rsidP="0024515C" w:rsidRDefault="0024515C" w14:paraId="77D45340" w14:textId="77777777"/>
    <w:p w:rsidRPr="00717F3D" w:rsidR="0024515C" w:rsidP="0024515C" w:rsidRDefault="0024515C" w14:paraId="0CF36558" w14:textId="0B7649A5">
      <w:r w:rsidRPr="00717F3D">
        <w:t>For more information on the cost reasonableness analysis see Confidential Appendix A for a detailed discussion.</w:t>
      </w:r>
    </w:p>
    <w:p w:rsidRPr="00717F3D" w:rsidR="0024515C" w:rsidP="0024515C" w:rsidRDefault="0024515C" w14:paraId="70839E8F" w14:textId="77777777">
      <w:pPr>
        <w:rPr>
          <w:u w:val="single"/>
        </w:rPr>
      </w:pPr>
      <w:r w:rsidRPr="00717F3D">
        <w:rPr>
          <w:u w:val="single"/>
        </w:rPr>
        <w:lastRenderedPageBreak/>
        <w:t xml:space="preserve">The total expected costs of the Agreement are reasonable based on its prices relative to PacifiCorp’s </w:t>
      </w:r>
      <w:r>
        <w:rPr>
          <w:u w:val="single"/>
        </w:rPr>
        <w:t xml:space="preserve">recent </w:t>
      </w:r>
      <w:r w:rsidRPr="00717F3D">
        <w:rPr>
          <w:u w:val="single"/>
        </w:rPr>
        <w:t xml:space="preserve">solicitation.  </w:t>
      </w:r>
    </w:p>
    <w:p w:rsidRPr="00717F3D" w:rsidR="0024515C" w:rsidP="0024515C" w:rsidRDefault="0024515C" w14:paraId="0466B9A2" w14:textId="77777777">
      <w:pPr>
        <w:rPr>
          <w:u w:val="single"/>
        </w:rPr>
      </w:pPr>
    </w:p>
    <w:p w:rsidRPr="00717F3D" w:rsidR="0024515C" w:rsidP="0024515C" w:rsidRDefault="0024515C" w14:paraId="73EC1BB1" w14:textId="77777777">
      <w:pPr>
        <w:rPr>
          <w:u w:val="single"/>
        </w:rPr>
      </w:pPr>
      <w:r w:rsidRPr="00717F3D">
        <w:rPr>
          <w:u w:val="single"/>
        </w:rPr>
        <w:t xml:space="preserve">Provided that the RECs are from an eligible renewable energy resource, payments made by PacifiCorp pursuant to the Agreement are fully recoverable in rates over the life of the Agreement, subject to </w:t>
      </w:r>
      <w:r>
        <w:rPr>
          <w:u w:val="single"/>
        </w:rPr>
        <w:t>CPUC</w:t>
      </w:r>
      <w:r w:rsidRPr="00717F3D">
        <w:rPr>
          <w:u w:val="single"/>
        </w:rPr>
        <w:t xml:space="preserve"> review of PacifiCorp’s administration of the Agreement.</w:t>
      </w:r>
    </w:p>
    <w:p w:rsidR="0024515C" w:rsidP="005838A8" w:rsidRDefault="0024515C" w14:paraId="73BF3EFA" w14:textId="77777777">
      <w:pPr>
        <w:spacing w:after="120"/>
        <w:rPr>
          <w:b/>
          <w:bCs/>
        </w:rPr>
      </w:pPr>
    </w:p>
    <w:p w:rsidR="00234D3A" w:rsidP="005838A8" w:rsidRDefault="00BC1D17" w14:paraId="52C9D810" w14:textId="0834FC49">
      <w:pPr>
        <w:spacing w:after="120"/>
        <w:rPr>
          <w:b/>
          <w:bCs/>
        </w:rPr>
      </w:pPr>
      <w:r w:rsidRPr="00404744">
        <w:rPr>
          <w:b/>
          <w:bCs/>
        </w:rPr>
        <w:t>Compliance with RPS Standard Terms and Conditions</w:t>
      </w:r>
    </w:p>
    <w:p w:rsidRPr="00717F3D" w:rsidR="00404744" w:rsidP="00456D8A" w:rsidRDefault="0070276B" w14:paraId="3651DCCB" w14:textId="61777793">
      <w:r>
        <w:t xml:space="preserve">The </w:t>
      </w:r>
      <w:r w:rsidR="009A2C52">
        <w:t>CPUC</w:t>
      </w:r>
      <w:r>
        <w:t xml:space="preserve"> adopted a set of standard terms and conditions (STCs) required in RPS contracts, five of which are considered “non-modifiable.”  The STCs were compiled in D.08-04-009 and subsequently amended in D.08-08-028, D.10-03-021, as modified by D.11-01-025, and D.13-11-024.</w:t>
      </w:r>
      <w:r w:rsidRPr="00717F3D" w:rsidR="00E82886">
        <w:t xml:space="preserve">  </w:t>
      </w:r>
    </w:p>
    <w:p w:rsidRPr="00717F3D" w:rsidR="005536AF" w:rsidP="00456D8A" w:rsidRDefault="005536AF" w14:paraId="64A4BA48" w14:textId="77777777"/>
    <w:p w:rsidRPr="00717F3D" w:rsidR="002002A8" w:rsidP="00456D8A" w:rsidRDefault="00C070A4" w14:paraId="4F5A09DD" w14:textId="53F3F1E4">
      <w:pPr>
        <w:rPr>
          <w:u w:val="single"/>
        </w:rPr>
      </w:pPr>
      <w:r w:rsidRPr="00717F3D">
        <w:rPr>
          <w:u w:val="single"/>
        </w:rPr>
        <w:t xml:space="preserve">The </w:t>
      </w:r>
      <w:r w:rsidRPr="00717F3D" w:rsidR="00823BB9">
        <w:rPr>
          <w:u w:val="single"/>
        </w:rPr>
        <w:t>Agreement</w:t>
      </w:r>
      <w:r w:rsidRPr="00717F3D">
        <w:rPr>
          <w:u w:val="single"/>
        </w:rPr>
        <w:t xml:space="preserve"> includes all of the </w:t>
      </w:r>
      <w:r w:rsidR="009A2C52">
        <w:rPr>
          <w:u w:val="single"/>
        </w:rPr>
        <w:t>CPUC</w:t>
      </w:r>
      <w:r w:rsidRPr="00717F3D">
        <w:rPr>
          <w:u w:val="single"/>
        </w:rPr>
        <w:t xml:space="preserve"> adopted RPS “non-modifiable” standard terms and conditions, as set forth in D.08-04-009, D.08-08-028, and </w:t>
      </w:r>
      <w:r w:rsidR="00C80BD8">
        <w:rPr>
          <w:u w:val="single"/>
        </w:rPr>
        <w:br/>
      </w:r>
      <w:r w:rsidRPr="00717F3D">
        <w:rPr>
          <w:u w:val="single"/>
        </w:rPr>
        <w:t>D.10-03-021, as modified by D.11-01-025</w:t>
      </w:r>
      <w:r w:rsidRPr="00717F3D" w:rsidR="0070276B">
        <w:rPr>
          <w:u w:val="single"/>
        </w:rPr>
        <w:t xml:space="preserve"> and D.13-11-024</w:t>
      </w:r>
      <w:r w:rsidRPr="00717F3D">
        <w:rPr>
          <w:u w:val="single"/>
        </w:rPr>
        <w:t>.</w:t>
      </w:r>
    </w:p>
    <w:p w:rsidR="00C070A4" w:rsidP="00C070A4" w:rsidRDefault="00C070A4" w14:paraId="7109DB81" w14:textId="77777777"/>
    <w:p w:rsidRPr="00C070A4" w:rsidR="00C070A4" w:rsidP="005838A8" w:rsidRDefault="00C070A4" w14:paraId="34A3A76A" w14:textId="1FD43248">
      <w:pPr>
        <w:spacing w:after="120"/>
        <w:rPr>
          <w:b/>
        </w:rPr>
      </w:pPr>
      <w:r w:rsidRPr="00C070A4">
        <w:rPr>
          <w:b/>
        </w:rPr>
        <w:t>Consistency with portfolio content categories</w:t>
      </w:r>
    </w:p>
    <w:p w:rsidRPr="00717F3D" w:rsidR="00C070A4" w:rsidP="00456D8A" w:rsidRDefault="00C070A4" w14:paraId="2A99B605" w14:textId="5093A573">
      <w:r w:rsidRPr="00717F3D">
        <w:t xml:space="preserve">In D.11-12-052, </w:t>
      </w:r>
      <w:r w:rsidR="004C5859">
        <w:t>we</w:t>
      </w:r>
      <w:r w:rsidRPr="00717F3D">
        <w:t xml:space="preserve"> defined and implemented portfolio content categories for the RPS program.  In addition, </w:t>
      </w:r>
      <w:r w:rsidR="004C5859">
        <w:t>we</w:t>
      </w:r>
      <w:r w:rsidRPr="00717F3D">
        <w:t xml:space="preserve"> authorized the Director of Energy Division to require the investor-owned utilities to provide information regarding the proposed contract’s portfolio content category classification in each advice letter seeking </w:t>
      </w:r>
      <w:r w:rsidR="009A2C52">
        <w:t>CPUC</w:t>
      </w:r>
      <w:r w:rsidRPr="00717F3D">
        <w:t xml:space="preserve">-approval of an RPS contract.  The purpose of the information is to allow the </w:t>
      </w:r>
      <w:r w:rsidR="009A2C52">
        <w:t>CPUC</w:t>
      </w:r>
      <w:r w:rsidRPr="00717F3D">
        <w:t xml:space="preserve"> to evaluate the claimed portfolio content category of the proposed RPS contract and the risks and value to ratepayers if the proposed contract is subsequently classified as a different portfolio content category.  </w:t>
      </w:r>
      <w:r w:rsidR="00C80BD8">
        <w:br/>
      </w:r>
      <w:r w:rsidRPr="00717F3D">
        <w:t>D.11-12-052 also affirmed that small and multi-jurisdictional utilities meeting the criteria set out in Section 399.18(b) and Section 399.17(b) are not subject to the requirements and limitations of procurement from each portfolio content category.</w:t>
      </w:r>
    </w:p>
    <w:p w:rsidRPr="00717F3D" w:rsidR="00C070A4" w:rsidP="00456D8A" w:rsidRDefault="00C070A4" w14:paraId="4D7D9CF2" w14:textId="66FAD18B"/>
    <w:p w:rsidRPr="00717F3D" w:rsidR="00C070A4" w:rsidP="00456D8A" w:rsidRDefault="00C070A4" w14:paraId="0D9F00C4" w14:textId="677DA58D">
      <w:r w:rsidRPr="00717F3D">
        <w:t xml:space="preserve">In AL </w:t>
      </w:r>
      <w:r w:rsidR="007B4411">
        <w:t>617-E/E-A</w:t>
      </w:r>
      <w:r w:rsidRPr="00717F3D">
        <w:t xml:space="preserve">, PacifiCorp claims that the procurement pursuant to the </w:t>
      </w:r>
      <w:r w:rsidRPr="00717F3D" w:rsidR="00685B37">
        <w:t>Agreement</w:t>
      </w:r>
      <w:r w:rsidRPr="00717F3D">
        <w:t xml:space="preserve"> will be classified as Portfolio Content Category 3.  To support its claim, </w:t>
      </w:r>
      <w:r w:rsidRPr="00717F3D" w:rsidR="00685B37">
        <w:t>PacifiCorp</w:t>
      </w:r>
      <w:r w:rsidRPr="00717F3D">
        <w:t xml:space="preserve"> states that the products being purchased are unbundled RECs and that the RECs will be associated with energy generated from </w:t>
      </w:r>
      <w:r w:rsidRPr="00717F3D" w:rsidR="00685B37">
        <w:t xml:space="preserve">a </w:t>
      </w:r>
      <w:r w:rsidRPr="00717F3D">
        <w:t>certified RPS-eligible facilit</w:t>
      </w:r>
      <w:r w:rsidRPr="00717F3D" w:rsidR="00685B37">
        <w:t>y</w:t>
      </w:r>
      <w:r w:rsidRPr="00717F3D">
        <w:t>.</w:t>
      </w:r>
    </w:p>
    <w:p w:rsidRPr="00717F3D" w:rsidR="00C070A4" w:rsidP="00456D8A" w:rsidRDefault="00C070A4" w14:paraId="127DCB79" w14:textId="77777777">
      <w:pPr>
        <w:rPr>
          <w:bCs/>
        </w:rPr>
      </w:pPr>
    </w:p>
    <w:p w:rsidRPr="00717F3D" w:rsidR="00C070A4" w:rsidP="00456D8A" w:rsidRDefault="00C070A4" w14:paraId="27ED1F6B" w14:textId="2161A08A">
      <w:pPr>
        <w:rPr>
          <w:bCs/>
          <w:u w:val="single"/>
        </w:rPr>
      </w:pPr>
      <w:r w:rsidRPr="00717F3D">
        <w:rPr>
          <w:bCs/>
          <w:u w:val="single"/>
        </w:rPr>
        <w:lastRenderedPageBreak/>
        <w:t xml:space="preserve">Consistent with D.11-12-052, </w:t>
      </w:r>
      <w:r w:rsidRPr="00717F3D" w:rsidR="00823BB9">
        <w:rPr>
          <w:bCs/>
          <w:u w:val="single"/>
        </w:rPr>
        <w:t>PacifiCorp</w:t>
      </w:r>
      <w:r w:rsidRPr="00717F3D">
        <w:rPr>
          <w:bCs/>
          <w:u w:val="single"/>
        </w:rPr>
        <w:t xml:space="preserve"> provided information in AL </w:t>
      </w:r>
      <w:r w:rsidR="007B4411">
        <w:rPr>
          <w:bCs/>
          <w:u w:val="single"/>
        </w:rPr>
        <w:t>617-E/E-A</w:t>
      </w:r>
      <w:r w:rsidRPr="00717F3D">
        <w:rPr>
          <w:bCs/>
          <w:u w:val="single"/>
        </w:rPr>
        <w:t xml:space="preserve"> regarding the expected portfolio content category classification of the renewable energy credits procured pursuant to the </w:t>
      </w:r>
      <w:r w:rsidRPr="00717F3D" w:rsidR="00823BB9">
        <w:rPr>
          <w:bCs/>
          <w:u w:val="single"/>
        </w:rPr>
        <w:t>Agreement</w:t>
      </w:r>
      <w:r w:rsidRPr="00717F3D">
        <w:rPr>
          <w:bCs/>
          <w:u w:val="single"/>
        </w:rPr>
        <w:t xml:space="preserve">.  </w:t>
      </w:r>
    </w:p>
    <w:p w:rsidRPr="00717F3D" w:rsidR="00823BB9" w:rsidP="00456D8A" w:rsidRDefault="00823BB9" w14:paraId="5FEDC135" w14:textId="77777777">
      <w:pPr>
        <w:rPr>
          <w:bCs/>
        </w:rPr>
      </w:pPr>
    </w:p>
    <w:p w:rsidRPr="00717F3D" w:rsidR="00C070A4" w:rsidP="00456D8A" w:rsidRDefault="00C070A4" w14:paraId="3F45B556" w14:textId="6C30E1E9">
      <w:pPr>
        <w:rPr>
          <w:bCs/>
        </w:rPr>
      </w:pPr>
      <w:r w:rsidRPr="00717F3D">
        <w:rPr>
          <w:bCs/>
        </w:rPr>
        <w:t xml:space="preserve">In this resolution, however, </w:t>
      </w:r>
      <w:r w:rsidRPr="00717F3D">
        <w:rPr>
          <w:bCs/>
          <w:u w:val="single"/>
        </w:rPr>
        <w:t xml:space="preserve">the </w:t>
      </w:r>
      <w:r w:rsidR="009A2C52">
        <w:rPr>
          <w:bCs/>
          <w:u w:val="single"/>
        </w:rPr>
        <w:t>CPUC</w:t>
      </w:r>
      <w:r w:rsidRPr="00717F3D">
        <w:rPr>
          <w:bCs/>
          <w:u w:val="single"/>
        </w:rPr>
        <w:t xml:space="preserve"> makes no determination regarding the proposed agreements’ portfolio content category classification because RPS contract evaluation process is a separate process from the RPS compliance determination and portfolio content category classification</w:t>
      </w:r>
      <w:r w:rsidRPr="00717F3D">
        <w:rPr>
          <w:bCs/>
        </w:rPr>
        <w:t xml:space="preserve"> which requires consideration of several factors based on various showings in a compliance filing</w:t>
      </w:r>
      <w:r w:rsidRPr="00717F3D" w:rsidR="00823BB9">
        <w:rPr>
          <w:rStyle w:val="FootnoteReference"/>
          <w:bCs/>
        </w:rPr>
        <w:footnoteReference w:id="10"/>
      </w:r>
      <w:r w:rsidRPr="00717F3D">
        <w:rPr>
          <w:bCs/>
        </w:rPr>
        <w:t xml:space="preserve">.   Thus, making a portfolio content classification determination in this resolution regarding the procurement considered herein is not appropriate.  </w:t>
      </w:r>
      <w:r w:rsidRPr="00717F3D" w:rsidR="00823BB9">
        <w:rPr>
          <w:bCs/>
        </w:rPr>
        <w:t>PacifiCorp</w:t>
      </w:r>
      <w:r w:rsidRPr="00717F3D">
        <w:rPr>
          <w:bCs/>
        </w:rPr>
        <w:t xml:space="preserve"> should incorporate the procurement resulting from the </w:t>
      </w:r>
      <w:r w:rsidRPr="00717F3D" w:rsidR="00823BB9">
        <w:rPr>
          <w:bCs/>
        </w:rPr>
        <w:t>Agreement</w:t>
      </w:r>
      <w:r w:rsidRPr="00717F3D">
        <w:rPr>
          <w:bCs/>
        </w:rPr>
        <w:t xml:space="preserve"> and all applicable supporting documentation to demonstrate portfolio content category classification in the appropriate compliance showing(s) consistent with all applicable RPS program rules.</w:t>
      </w:r>
    </w:p>
    <w:p w:rsidRPr="00C070A4" w:rsidR="00823BB9" w:rsidP="006E4623" w:rsidRDefault="00823BB9" w14:paraId="4C9C91C2" w14:textId="77777777">
      <w:pPr>
        <w:ind w:left="360"/>
        <w:rPr>
          <w:bCs/>
        </w:rPr>
      </w:pPr>
    </w:p>
    <w:p w:rsidRPr="00823BB9" w:rsidR="00C070A4" w:rsidP="005838A8" w:rsidRDefault="00C070A4" w14:paraId="76082C59" w14:textId="0F81A532">
      <w:pPr>
        <w:spacing w:after="120"/>
        <w:rPr>
          <w:b/>
        </w:rPr>
      </w:pPr>
      <w:r w:rsidRPr="00823BB9">
        <w:rPr>
          <w:b/>
        </w:rPr>
        <w:t xml:space="preserve">Consistency with long-term contracting requirements </w:t>
      </w:r>
    </w:p>
    <w:p w:rsidR="00FD1E89" w:rsidP="00456D8A" w:rsidRDefault="00823BB9" w14:paraId="12BB45E7" w14:textId="4B3EFCA7">
      <w:pPr>
        <w:rPr>
          <w:bCs/>
        </w:rPr>
      </w:pPr>
      <w:r w:rsidRPr="00717F3D">
        <w:rPr>
          <w:bCs/>
        </w:rPr>
        <w:t xml:space="preserve">D.12-06-038 established a minimum quantity condition on the ability of retail sellers to count an eligible contract of less than 10 years duration for compliance with the RPS program.  </w:t>
      </w:r>
      <w:r w:rsidR="00C75005">
        <w:rPr>
          <w:bCs/>
        </w:rPr>
        <w:t xml:space="preserve">D.17-06-026 implemented </w:t>
      </w:r>
      <w:r w:rsidRPr="00C75005" w:rsidR="00C75005">
        <w:rPr>
          <w:bCs/>
        </w:rPr>
        <w:t xml:space="preserve">new </w:t>
      </w:r>
      <w:r w:rsidR="00C75005">
        <w:rPr>
          <w:bCs/>
        </w:rPr>
        <w:t xml:space="preserve">rules for </w:t>
      </w:r>
      <w:r w:rsidRPr="00C75005" w:rsidR="00C75005">
        <w:rPr>
          <w:bCs/>
        </w:rPr>
        <w:t>long-term contract</w:t>
      </w:r>
      <w:r w:rsidR="00C75005">
        <w:rPr>
          <w:bCs/>
        </w:rPr>
        <w:t>s</w:t>
      </w:r>
      <w:r w:rsidRPr="00C75005" w:rsidR="00C75005">
        <w:rPr>
          <w:bCs/>
        </w:rPr>
        <w:t xml:space="preserve"> and excess procurement </w:t>
      </w:r>
      <w:r w:rsidR="00C75005">
        <w:rPr>
          <w:bCs/>
        </w:rPr>
        <w:t>for all Compliance Periods beginning 2021, and p</w:t>
      </w:r>
      <w:r w:rsidRPr="00C75005" w:rsidR="00C75005">
        <w:rPr>
          <w:bCs/>
        </w:rPr>
        <w:t>rovide</w:t>
      </w:r>
      <w:r w:rsidR="00C75005">
        <w:rPr>
          <w:bCs/>
        </w:rPr>
        <w:t>d</w:t>
      </w:r>
      <w:r w:rsidRPr="00C75005" w:rsidR="00C75005">
        <w:rPr>
          <w:bCs/>
        </w:rPr>
        <w:t xml:space="preserve"> </w:t>
      </w:r>
      <w:r w:rsidR="00D3433C">
        <w:rPr>
          <w:bCs/>
        </w:rPr>
        <w:t>a means for retail sellers to comply with the new rules</w:t>
      </w:r>
      <w:r w:rsidRPr="00C75005" w:rsidR="00C75005">
        <w:rPr>
          <w:bCs/>
        </w:rPr>
        <w:t xml:space="preserve"> in the </w:t>
      </w:r>
      <w:r w:rsidR="00C80BD8">
        <w:rPr>
          <w:bCs/>
        </w:rPr>
        <w:br/>
      </w:r>
      <w:r w:rsidRPr="00C75005" w:rsidR="00C75005">
        <w:rPr>
          <w:bCs/>
        </w:rPr>
        <w:t xml:space="preserve">2017-2020 </w:t>
      </w:r>
      <w:r w:rsidR="00C75005">
        <w:rPr>
          <w:bCs/>
        </w:rPr>
        <w:t>C</w:t>
      </w:r>
      <w:r w:rsidRPr="00C75005" w:rsidR="00C75005">
        <w:rPr>
          <w:bCs/>
        </w:rPr>
        <w:t xml:space="preserve">ompliance </w:t>
      </w:r>
      <w:r w:rsidR="00C75005">
        <w:rPr>
          <w:bCs/>
        </w:rPr>
        <w:t>P</w:t>
      </w:r>
      <w:r w:rsidRPr="00C75005" w:rsidR="00C75005">
        <w:rPr>
          <w:bCs/>
        </w:rPr>
        <w:t>eriod</w:t>
      </w:r>
      <w:r w:rsidR="00D3433C">
        <w:rPr>
          <w:bCs/>
        </w:rPr>
        <w:t xml:space="preserve"> if they chose to</w:t>
      </w:r>
      <w:r w:rsidR="00C75005">
        <w:rPr>
          <w:bCs/>
        </w:rPr>
        <w:t>.</w:t>
      </w:r>
      <w:r w:rsidR="002E16AA">
        <w:rPr>
          <w:bCs/>
        </w:rPr>
        <w:t xml:space="preserve"> </w:t>
      </w:r>
    </w:p>
    <w:p w:rsidR="00FD1E89" w:rsidP="00456D8A" w:rsidRDefault="00FD1E89" w14:paraId="757A3545" w14:textId="77777777">
      <w:pPr>
        <w:rPr>
          <w:bCs/>
        </w:rPr>
      </w:pPr>
    </w:p>
    <w:p w:rsidR="005536AF" w:rsidP="00456D8A" w:rsidRDefault="00FD1E89" w14:paraId="177B5376" w14:textId="4A6F5E45">
      <w:pPr>
        <w:rPr>
          <w:bCs/>
        </w:rPr>
      </w:pPr>
      <w:r>
        <w:rPr>
          <w:bCs/>
        </w:rPr>
        <w:t xml:space="preserve">As </w:t>
      </w:r>
      <w:r w:rsidR="00C75005">
        <w:rPr>
          <w:bCs/>
        </w:rPr>
        <w:t>PacifiCorp elected for early compliance</w:t>
      </w:r>
      <w:r>
        <w:rPr>
          <w:bCs/>
        </w:rPr>
        <w:t xml:space="preserve">, it </w:t>
      </w:r>
      <w:r w:rsidR="00C87AA3">
        <w:rPr>
          <w:bCs/>
        </w:rPr>
        <w:t>must</w:t>
      </w:r>
      <w:r w:rsidR="002E16AA">
        <w:rPr>
          <w:bCs/>
        </w:rPr>
        <w:t xml:space="preserve"> </w:t>
      </w:r>
      <w:r w:rsidRPr="00C87AA3" w:rsidR="00C87AA3">
        <w:rPr>
          <w:bCs/>
        </w:rPr>
        <w:t xml:space="preserve">demonstrate that at least </w:t>
      </w:r>
      <w:r w:rsidR="00C80BD8">
        <w:rPr>
          <w:bCs/>
        </w:rPr>
        <w:br/>
      </w:r>
      <w:r w:rsidRPr="00C87AA3" w:rsidR="00C87AA3">
        <w:rPr>
          <w:bCs/>
        </w:rPr>
        <w:t xml:space="preserve">65 percent of the RECs that it counts toward compliance with its </w:t>
      </w:r>
      <w:r w:rsidR="00C87AA3">
        <w:rPr>
          <w:bCs/>
        </w:rPr>
        <w:t>RPS</w:t>
      </w:r>
      <w:r w:rsidRPr="00C87AA3" w:rsidR="00C87AA3">
        <w:rPr>
          <w:bCs/>
        </w:rPr>
        <w:t xml:space="preserve"> </w:t>
      </w:r>
      <w:r w:rsidR="00C87AA3">
        <w:rPr>
          <w:bCs/>
        </w:rPr>
        <w:t>P</w:t>
      </w:r>
      <w:r w:rsidRPr="00C87AA3" w:rsidR="00C87AA3">
        <w:rPr>
          <w:bCs/>
        </w:rPr>
        <w:t xml:space="preserve">rocurement </w:t>
      </w:r>
      <w:r w:rsidR="00C87AA3">
        <w:rPr>
          <w:bCs/>
        </w:rPr>
        <w:t>Q</w:t>
      </w:r>
      <w:r w:rsidRPr="00C87AA3" w:rsidR="00C87AA3">
        <w:rPr>
          <w:bCs/>
        </w:rPr>
        <w:t xml:space="preserve">uantity </w:t>
      </w:r>
      <w:r w:rsidR="00C87AA3">
        <w:rPr>
          <w:bCs/>
        </w:rPr>
        <w:t>R</w:t>
      </w:r>
      <w:r w:rsidRPr="00C87AA3" w:rsidR="00C87AA3">
        <w:rPr>
          <w:bCs/>
        </w:rPr>
        <w:t>equirement in the</w:t>
      </w:r>
      <w:r w:rsidR="00562A04">
        <w:rPr>
          <w:bCs/>
        </w:rPr>
        <w:t xml:space="preserve"> 2017-2020</w:t>
      </w:r>
      <w:r w:rsidRPr="00C87AA3" w:rsidR="00C87AA3">
        <w:rPr>
          <w:bCs/>
        </w:rPr>
        <w:t xml:space="preserve"> </w:t>
      </w:r>
      <w:r w:rsidR="00562A04">
        <w:rPr>
          <w:bCs/>
        </w:rPr>
        <w:t>C</w:t>
      </w:r>
      <w:r w:rsidRPr="00C87AA3" w:rsidR="00C87AA3">
        <w:rPr>
          <w:bCs/>
        </w:rPr>
        <w:t xml:space="preserve">ompliance </w:t>
      </w:r>
      <w:r w:rsidR="00562A04">
        <w:rPr>
          <w:bCs/>
        </w:rPr>
        <w:t>P</w:t>
      </w:r>
      <w:r w:rsidRPr="00C87AA3" w:rsidR="00C87AA3">
        <w:rPr>
          <w:bCs/>
        </w:rPr>
        <w:t xml:space="preserve">eriod are associated with contracts for eligible renewable energy resources that are long-term </w:t>
      </w:r>
      <w:r w:rsidR="00C87AA3">
        <w:rPr>
          <w:bCs/>
        </w:rPr>
        <w:t>(</w:t>
      </w:r>
      <w:r w:rsidR="00E22DFB">
        <w:rPr>
          <w:bCs/>
        </w:rPr>
        <w:t>10 or more years</w:t>
      </w:r>
      <w:r w:rsidR="00C87AA3">
        <w:rPr>
          <w:bCs/>
        </w:rPr>
        <w:t xml:space="preserve"> in duration)</w:t>
      </w:r>
      <w:r w:rsidR="00E22DFB">
        <w:rPr>
          <w:bCs/>
        </w:rPr>
        <w:t>.</w:t>
      </w:r>
      <w:r w:rsidRPr="00717F3D" w:rsidR="00823BB9">
        <w:rPr>
          <w:bCs/>
        </w:rPr>
        <w:t xml:space="preserve"> </w:t>
      </w:r>
    </w:p>
    <w:p w:rsidRPr="00717F3D" w:rsidR="00203BB0" w:rsidP="00456D8A" w:rsidRDefault="00203BB0" w14:paraId="33A72FB8" w14:textId="77777777">
      <w:pPr>
        <w:rPr>
          <w:bCs/>
        </w:rPr>
      </w:pPr>
    </w:p>
    <w:p w:rsidRPr="007D286A" w:rsidR="00823BB9" w:rsidP="00456D8A" w:rsidRDefault="00823BB9" w14:paraId="02490E35" w14:textId="2B411CFD">
      <w:pPr>
        <w:rPr>
          <w:bCs/>
          <w:u w:val="single"/>
        </w:rPr>
      </w:pPr>
      <w:r w:rsidRPr="00717F3D">
        <w:rPr>
          <w:bCs/>
          <w:u w:val="single"/>
        </w:rPr>
        <w:t xml:space="preserve">Because the </w:t>
      </w:r>
      <w:r w:rsidRPr="00717F3D" w:rsidR="007D286A">
        <w:rPr>
          <w:bCs/>
          <w:u w:val="single"/>
        </w:rPr>
        <w:t>Agreement</w:t>
      </w:r>
      <w:r w:rsidRPr="00717F3D">
        <w:rPr>
          <w:bCs/>
          <w:u w:val="single"/>
        </w:rPr>
        <w:t xml:space="preserve"> is 10 years in duration</w:t>
      </w:r>
      <w:r w:rsidRPr="00717F3D" w:rsidR="007D286A">
        <w:rPr>
          <w:bCs/>
          <w:u w:val="single"/>
        </w:rPr>
        <w:t>,</w:t>
      </w:r>
      <w:r w:rsidRPr="00717F3D">
        <w:rPr>
          <w:bCs/>
          <w:u w:val="single"/>
        </w:rPr>
        <w:t xml:space="preserve"> </w:t>
      </w:r>
      <w:r w:rsidRPr="00717F3D" w:rsidR="007D286A">
        <w:rPr>
          <w:bCs/>
          <w:u w:val="single"/>
        </w:rPr>
        <w:t>it</w:t>
      </w:r>
      <w:r w:rsidRPr="00717F3D">
        <w:rPr>
          <w:bCs/>
          <w:u w:val="single"/>
        </w:rPr>
        <w:t xml:space="preserve"> will contribute towards </w:t>
      </w:r>
      <w:r w:rsidRPr="00717F3D" w:rsidR="007D286A">
        <w:rPr>
          <w:bCs/>
          <w:u w:val="single"/>
        </w:rPr>
        <w:t>PacifiCorp</w:t>
      </w:r>
      <w:r w:rsidRPr="00717F3D">
        <w:rPr>
          <w:bCs/>
          <w:u w:val="single"/>
        </w:rPr>
        <w:t>’ RPS long-term contracting requirement</w:t>
      </w:r>
      <w:r w:rsidR="008D221A">
        <w:rPr>
          <w:bCs/>
          <w:u w:val="single"/>
        </w:rPr>
        <w:t xml:space="preserve">s </w:t>
      </w:r>
      <w:r w:rsidR="00B05CCF">
        <w:rPr>
          <w:bCs/>
          <w:u w:val="single"/>
        </w:rPr>
        <w:t>pursuant to</w:t>
      </w:r>
      <w:r w:rsidRPr="00717F3D" w:rsidR="00B05CCF">
        <w:rPr>
          <w:bCs/>
          <w:u w:val="single"/>
        </w:rPr>
        <w:t xml:space="preserve"> </w:t>
      </w:r>
      <w:r w:rsidRPr="00717F3D">
        <w:rPr>
          <w:bCs/>
          <w:u w:val="single"/>
        </w:rPr>
        <w:t>D.12-06-038</w:t>
      </w:r>
      <w:r w:rsidR="00C75005">
        <w:rPr>
          <w:bCs/>
          <w:u w:val="single"/>
        </w:rPr>
        <w:t xml:space="preserve"> and D.</w:t>
      </w:r>
      <w:r w:rsidR="008D221A">
        <w:rPr>
          <w:bCs/>
          <w:u w:val="single"/>
        </w:rPr>
        <w:t>17-06-026</w:t>
      </w:r>
      <w:r w:rsidRPr="00717F3D">
        <w:rPr>
          <w:bCs/>
          <w:u w:val="single"/>
        </w:rPr>
        <w:t>.</w:t>
      </w:r>
    </w:p>
    <w:p w:rsidR="007D286A" w:rsidP="00823BB9" w:rsidRDefault="007D286A" w14:paraId="17AE9F96" w14:textId="77777777">
      <w:pPr>
        <w:rPr>
          <w:bCs/>
        </w:rPr>
      </w:pPr>
    </w:p>
    <w:p w:rsidRPr="00C070A4" w:rsidR="001E5265" w:rsidP="00C070A4" w:rsidRDefault="001E5265" w14:paraId="5B859264" w14:textId="77777777">
      <w:pPr>
        <w:rPr>
          <w:bCs/>
        </w:rPr>
      </w:pPr>
    </w:p>
    <w:p w:rsidR="00C070A4" w:rsidP="005838A8" w:rsidRDefault="00C070A4" w14:paraId="659C60AB" w14:textId="604B1351">
      <w:pPr>
        <w:spacing w:after="120"/>
        <w:rPr>
          <w:b/>
        </w:rPr>
      </w:pPr>
      <w:r w:rsidRPr="001E5265">
        <w:rPr>
          <w:b/>
        </w:rPr>
        <w:lastRenderedPageBreak/>
        <w:t>Compliance with the Interim Greenhouse Gas Emissions Performance Standard</w:t>
      </w:r>
    </w:p>
    <w:p w:rsidRPr="00717F3D" w:rsidR="00AD5FB1" w:rsidP="00456D8A" w:rsidRDefault="00AD5FB1" w14:paraId="32446534" w14:textId="026D00D0">
      <w:pPr>
        <w:rPr>
          <w:bCs/>
        </w:rPr>
      </w:pPr>
      <w:r w:rsidRPr="00717F3D">
        <w:rPr>
          <w:bCs/>
        </w:rPr>
        <w:t xml:space="preserve">Sections 8340 and 8341 require that the </w:t>
      </w:r>
      <w:r w:rsidR="009A2C52">
        <w:rPr>
          <w:bCs/>
        </w:rPr>
        <w:t>CPUC</w:t>
      </w:r>
      <w:r w:rsidRPr="00717F3D">
        <w:rPr>
          <w:bCs/>
        </w:rPr>
        <w:t xml:space="preserve"> consider emissions costs associated with new long-term (five years or greater) baseload power contracts procured on behalf of California ratepayers. </w:t>
      </w:r>
    </w:p>
    <w:p w:rsidRPr="00717F3D" w:rsidR="00AD5FB1" w:rsidP="00456D8A" w:rsidRDefault="00AD5FB1" w14:paraId="04EB4314" w14:textId="77777777">
      <w:pPr>
        <w:rPr>
          <w:bCs/>
        </w:rPr>
      </w:pPr>
    </w:p>
    <w:p w:rsidRPr="00717F3D" w:rsidR="00AD5FB1" w:rsidP="00456D8A" w:rsidRDefault="00AD5FB1" w14:paraId="5078F8CF" w14:textId="0C276A5A">
      <w:pPr>
        <w:rPr>
          <w:bCs/>
        </w:rPr>
      </w:pPr>
      <w:r w:rsidRPr="00717F3D">
        <w:rPr>
          <w:bCs/>
        </w:rPr>
        <w:t xml:space="preserve">D.07-01-039 adopted an interim EPS that establishes an emission rate for obligated facilities at levels no greater than the greenhouse gas emissions of a combined-cycle gas turbine power plant. Generating facilities using certain renewable resources are deemed compliant with the EPS. </w:t>
      </w:r>
    </w:p>
    <w:p w:rsidRPr="00717F3D" w:rsidR="00AC1CBF" w:rsidP="00456D8A" w:rsidRDefault="00AC1CBF" w14:paraId="5F27C93F" w14:textId="14606BD4">
      <w:pPr>
        <w:rPr>
          <w:bCs/>
        </w:rPr>
      </w:pPr>
    </w:p>
    <w:p w:rsidRPr="00717F3D" w:rsidR="00AC1CBF" w:rsidP="00456D8A" w:rsidRDefault="00AC1CBF" w14:paraId="3E87C4C6" w14:textId="338A5B94">
      <w:pPr>
        <w:rPr>
          <w:bCs/>
        </w:rPr>
      </w:pPr>
      <w:r w:rsidRPr="00717F3D">
        <w:rPr>
          <w:bCs/>
        </w:rPr>
        <w:t xml:space="preserve">Section 8341(d)(9) </w:t>
      </w:r>
      <w:r w:rsidR="005A6E33">
        <w:rPr>
          <w:bCs/>
        </w:rPr>
        <w:t>allows</w:t>
      </w:r>
      <w:r w:rsidRPr="00717F3D" w:rsidR="005A6E33">
        <w:rPr>
          <w:bCs/>
        </w:rPr>
        <w:t xml:space="preserve"> </w:t>
      </w:r>
      <w:r w:rsidRPr="00717F3D">
        <w:rPr>
          <w:bCs/>
        </w:rPr>
        <w:t>an alternate compliance mechanism for an electrical corporation that provides electric service to 75,000 or fewer retail end-use customers in California</w:t>
      </w:r>
      <w:r w:rsidR="005A6E33">
        <w:rPr>
          <w:bCs/>
        </w:rPr>
        <w:t>.  This alternate requires</w:t>
      </w:r>
      <w:r w:rsidRPr="00717F3D">
        <w:rPr>
          <w:bCs/>
        </w:rPr>
        <w:t xml:space="preserve"> a showing by the electrical corporation of both of the following:</w:t>
      </w:r>
    </w:p>
    <w:p w:rsidRPr="00717F3D" w:rsidR="00AC1CBF" w:rsidP="00456D8A" w:rsidRDefault="00AC1CBF" w14:paraId="7994AC34" w14:textId="77777777">
      <w:pPr>
        <w:rPr>
          <w:bCs/>
        </w:rPr>
      </w:pPr>
    </w:p>
    <w:p w:rsidRPr="00717F3D" w:rsidR="00AC1CBF" w:rsidP="00456D8A" w:rsidRDefault="00AC1CBF" w14:paraId="579F43A5" w14:textId="5DE7FA6E">
      <w:pPr>
        <w:pStyle w:val="ListParagraph"/>
        <w:numPr>
          <w:ilvl w:val="0"/>
          <w:numId w:val="19"/>
        </w:numPr>
        <w:rPr>
          <w:bCs/>
        </w:rPr>
      </w:pPr>
      <w:r w:rsidRPr="00717F3D">
        <w:rPr>
          <w:bCs/>
        </w:rPr>
        <w:t>A majority of the electrical corporation’s retail end-use customers for electric service are located outside of California</w:t>
      </w:r>
      <w:r w:rsidR="005A6E33">
        <w:rPr>
          <w:bCs/>
        </w:rPr>
        <w:t>; and,</w:t>
      </w:r>
    </w:p>
    <w:p w:rsidRPr="00717F3D" w:rsidR="002836FB" w:rsidP="00456D8A" w:rsidRDefault="002836FB" w14:paraId="5E4FDB90" w14:textId="77777777">
      <w:pPr>
        <w:rPr>
          <w:bCs/>
        </w:rPr>
      </w:pPr>
    </w:p>
    <w:p w:rsidRPr="00717F3D" w:rsidR="002836FB" w:rsidP="00456D8A" w:rsidRDefault="002836FB" w14:paraId="445ADFFF" w14:textId="5D7F5DC3">
      <w:pPr>
        <w:pStyle w:val="ListParagraph"/>
        <w:numPr>
          <w:ilvl w:val="0"/>
          <w:numId w:val="19"/>
        </w:numPr>
        <w:rPr>
          <w:bCs/>
        </w:rPr>
      </w:pPr>
      <w:r w:rsidRPr="00717F3D">
        <w:rPr>
          <w:bCs/>
        </w:rPr>
        <w:t>The emissions of greenhouse gases to generate electricity for the retail end-use customers of the electrical corporation are subject to a review by the utility regulatory commission of at least one other state in which the electrical corporation provides regulated retail electric service.</w:t>
      </w:r>
    </w:p>
    <w:p w:rsidRPr="00717F3D" w:rsidR="00AC1CBF" w:rsidP="00456D8A" w:rsidRDefault="00AC1CBF" w14:paraId="521553BF" w14:textId="0ECF09A8">
      <w:pPr>
        <w:rPr>
          <w:bCs/>
        </w:rPr>
      </w:pPr>
    </w:p>
    <w:p w:rsidRPr="00717F3D" w:rsidR="002836FB" w:rsidP="00456D8A" w:rsidRDefault="002836FB" w14:paraId="48C5D8DB" w14:textId="691D1BAE">
      <w:pPr>
        <w:rPr>
          <w:bCs/>
        </w:rPr>
      </w:pPr>
      <w:r w:rsidRPr="00717F3D">
        <w:rPr>
          <w:bCs/>
        </w:rPr>
        <w:t>Approximately 45,000 out of PacifiCorp’s 1.8 million customers are in California, satisfying criteria (A).</w:t>
      </w:r>
    </w:p>
    <w:p w:rsidRPr="00717F3D" w:rsidR="002836FB" w:rsidP="00456D8A" w:rsidRDefault="002836FB" w14:paraId="1CBBBF0D" w14:textId="699D0B38">
      <w:pPr>
        <w:rPr>
          <w:bCs/>
        </w:rPr>
      </w:pPr>
    </w:p>
    <w:p w:rsidRPr="00717F3D" w:rsidR="002836FB" w:rsidP="00456D8A" w:rsidRDefault="000C3F61" w14:paraId="48C457B5" w14:textId="5EA27975">
      <w:pPr>
        <w:rPr>
          <w:bCs/>
        </w:rPr>
      </w:pPr>
      <w:r w:rsidRPr="000C3F61">
        <w:rPr>
          <w:bCs/>
        </w:rPr>
        <w:t xml:space="preserve">Pursuant </w:t>
      </w:r>
      <w:r w:rsidRPr="000C3F61" w:rsidR="00E72481">
        <w:rPr>
          <w:bCs/>
        </w:rPr>
        <w:t xml:space="preserve">to </w:t>
      </w:r>
      <w:r w:rsidRPr="000C3F61" w:rsidR="00C5426D">
        <w:rPr>
          <w:bCs/>
        </w:rPr>
        <w:t xml:space="preserve">D.07-01-039, an electrical corporation satisfies criteria (B) </w:t>
      </w:r>
      <w:r w:rsidRPr="00717F3D" w:rsidR="00C5426D">
        <w:rPr>
          <w:bCs/>
        </w:rPr>
        <w:t>when any of the following occur: 1) a state jurisdiction requires the utility to review and report on the potential impacts of different carbon policies within its Integrated Resource Planning process; 2) when it requires the utility to disclose its greenhouse gas emissions or expected change in overall emissions as a result of changes to its portfolio, including new capacity additions; or 3) when a state jurisdiction adopts rules specifically regulating emissions of greenhouse gases from electricity generating facilities.</w:t>
      </w:r>
    </w:p>
    <w:p w:rsidRPr="00717F3D" w:rsidR="00C5426D" w:rsidP="00456D8A" w:rsidRDefault="00C5426D" w14:paraId="52EA2E32" w14:textId="7CFB2108">
      <w:pPr>
        <w:rPr>
          <w:bCs/>
        </w:rPr>
      </w:pPr>
    </w:p>
    <w:p w:rsidRPr="00717F3D" w:rsidR="002836FB" w:rsidP="00456D8A" w:rsidRDefault="00C5426D" w14:paraId="37B2286E" w14:textId="38FB052B">
      <w:pPr>
        <w:rPr>
          <w:bCs/>
        </w:rPr>
      </w:pPr>
      <w:r w:rsidRPr="00717F3D">
        <w:rPr>
          <w:bCs/>
        </w:rPr>
        <w:t xml:space="preserve">D.07-01-039 </w:t>
      </w:r>
      <w:r w:rsidRPr="00717F3D" w:rsidR="008A2D3B">
        <w:rPr>
          <w:bCs/>
        </w:rPr>
        <w:t xml:space="preserve">concluded that PacifiCorp met the alternative compliance requirements, but further required that </w:t>
      </w:r>
      <w:r w:rsidRPr="00717F3D" w:rsidR="00E427B5">
        <w:rPr>
          <w:bCs/>
        </w:rPr>
        <w:t>m</w:t>
      </w:r>
      <w:r w:rsidRPr="00717F3D" w:rsidR="008A2D3B">
        <w:rPr>
          <w:bCs/>
        </w:rPr>
        <w:t xml:space="preserve">ulti-jurisdictional utilities file annual </w:t>
      </w:r>
      <w:r w:rsidRPr="00717F3D" w:rsidR="008A2D3B">
        <w:rPr>
          <w:bCs/>
        </w:rPr>
        <w:lastRenderedPageBreak/>
        <w:t>advice letters annually on February 1 attesting that they continue to meet the alternative compliance requirements</w:t>
      </w:r>
      <w:r w:rsidRPr="00717F3D">
        <w:rPr>
          <w:bCs/>
        </w:rPr>
        <w:t xml:space="preserve">.  </w:t>
      </w:r>
    </w:p>
    <w:p w:rsidRPr="00717F3D" w:rsidR="00C5426D" w:rsidP="00456D8A" w:rsidRDefault="00C5426D" w14:paraId="19FEA977" w14:textId="77777777">
      <w:pPr>
        <w:rPr>
          <w:bCs/>
        </w:rPr>
      </w:pPr>
    </w:p>
    <w:p w:rsidR="00D672C9" w:rsidP="00456D8A" w:rsidRDefault="00C5426D" w14:paraId="2389B5BF" w14:textId="067088CA">
      <w:pPr>
        <w:rPr>
          <w:bCs/>
        </w:rPr>
      </w:pPr>
      <w:r w:rsidRPr="00717F3D">
        <w:rPr>
          <w:bCs/>
        </w:rPr>
        <w:t xml:space="preserve">PacifiCorp filed </w:t>
      </w:r>
      <w:r w:rsidRPr="00717F3D" w:rsidR="0074500F">
        <w:rPr>
          <w:bCs/>
        </w:rPr>
        <w:t xml:space="preserve">its </w:t>
      </w:r>
      <w:r w:rsidRPr="00717F3D">
        <w:rPr>
          <w:bCs/>
        </w:rPr>
        <w:t xml:space="preserve">most recent </w:t>
      </w:r>
      <w:r w:rsidR="00E72481">
        <w:rPr>
          <w:bCs/>
        </w:rPr>
        <w:t xml:space="preserve">annual </w:t>
      </w:r>
      <w:r w:rsidRPr="00717F3D">
        <w:rPr>
          <w:bCs/>
        </w:rPr>
        <w:t xml:space="preserve">filing </w:t>
      </w:r>
      <w:r w:rsidR="00E72481">
        <w:rPr>
          <w:bCs/>
        </w:rPr>
        <w:t>o</w:t>
      </w:r>
      <w:r w:rsidRPr="00717F3D" w:rsidR="00E427B5">
        <w:rPr>
          <w:bCs/>
        </w:rPr>
        <w:t xml:space="preserve">n </w:t>
      </w:r>
      <w:r w:rsidRPr="00717F3D" w:rsidR="0074500F">
        <w:rPr>
          <w:bCs/>
        </w:rPr>
        <w:t xml:space="preserve">February </w:t>
      </w:r>
      <w:r w:rsidRPr="00717F3D" w:rsidR="0024639F">
        <w:rPr>
          <w:bCs/>
        </w:rPr>
        <w:t>1</w:t>
      </w:r>
      <w:r w:rsidR="0024639F">
        <w:rPr>
          <w:bCs/>
        </w:rPr>
        <w:t>6</w:t>
      </w:r>
      <w:r w:rsidRPr="00717F3D" w:rsidR="0074500F">
        <w:rPr>
          <w:bCs/>
        </w:rPr>
        <w:t xml:space="preserve">, </w:t>
      </w:r>
      <w:r w:rsidRPr="00717F3D" w:rsidR="0024639F">
        <w:rPr>
          <w:bCs/>
        </w:rPr>
        <w:t>202</w:t>
      </w:r>
      <w:r w:rsidR="0024639F">
        <w:rPr>
          <w:bCs/>
        </w:rPr>
        <w:t>1, which was subsequently</w:t>
      </w:r>
      <w:r w:rsidRPr="00717F3D" w:rsidR="0074500F">
        <w:rPr>
          <w:bCs/>
        </w:rPr>
        <w:t xml:space="preserve"> approved.  </w:t>
      </w:r>
    </w:p>
    <w:p w:rsidR="00D672C9" w:rsidP="00456D8A" w:rsidRDefault="00D672C9" w14:paraId="3A19A011" w14:textId="77777777">
      <w:pPr>
        <w:rPr>
          <w:bCs/>
        </w:rPr>
      </w:pPr>
    </w:p>
    <w:p w:rsidRPr="00717F3D" w:rsidR="00AC1CBF" w:rsidP="00456D8A" w:rsidRDefault="009A217C" w14:paraId="1FB1331E" w14:textId="750E211F">
      <w:pPr>
        <w:rPr>
          <w:bCs/>
        </w:rPr>
      </w:pPr>
      <w:r w:rsidRPr="00717F3D">
        <w:rPr>
          <w:bCs/>
          <w:u w:val="single"/>
        </w:rPr>
        <w:t xml:space="preserve">As such, </w:t>
      </w:r>
      <w:r w:rsidRPr="00717F3D" w:rsidR="00AC1CBF">
        <w:rPr>
          <w:bCs/>
          <w:u w:val="single"/>
        </w:rPr>
        <w:t>PacifiCorp</w:t>
      </w:r>
      <w:r w:rsidRPr="00717F3D">
        <w:rPr>
          <w:bCs/>
          <w:u w:val="single"/>
        </w:rPr>
        <w:t xml:space="preserve"> </w:t>
      </w:r>
      <w:r w:rsidRPr="00717F3D" w:rsidR="00AC1CBF">
        <w:rPr>
          <w:bCs/>
          <w:u w:val="single"/>
        </w:rPr>
        <w:t>satisfies the Interim Emissions Performance Standard alternate compliance mechanism.</w:t>
      </w:r>
      <w:r w:rsidR="00AC1CBF">
        <w:rPr>
          <w:bCs/>
          <w:u w:val="single"/>
        </w:rPr>
        <w:t xml:space="preserve"> </w:t>
      </w:r>
    </w:p>
    <w:p w:rsidRPr="00717F3D" w:rsidR="00311ABA" w:rsidP="00311ABA" w:rsidRDefault="00311ABA" w14:paraId="471DDC9C" w14:textId="77777777">
      <w:pPr>
        <w:autoSpaceDE w:val="0"/>
        <w:autoSpaceDN w:val="0"/>
        <w:adjustRightInd w:val="0"/>
        <w:spacing w:after="120"/>
        <w:rPr>
          <w:b/>
        </w:rPr>
      </w:pPr>
    </w:p>
    <w:p w:rsidR="00A04F9C" w:rsidP="005838A8" w:rsidRDefault="00311ABA" w14:paraId="7D874C51" w14:textId="77777777">
      <w:pPr>
        <w:autoSpaceDE w:val="0"/>
        <w:autoSpaceDN w:val="0"/>
        <w:adjustRightInd w:val="0"/>
        <w:spacing w:after="120"/>
        <w:rPr>
          <w:b/>
        </w:rPr>
      </w:pPr>
      <w:r w:rsidRPr="00717F3D">
        <w:rPr>
          <w:b/>
        </w:rPr>
        <w:t>Safety Considerations</w:t>
      </w:r>
    </w:p>
    <w:p w:rsidRPr="00A04F9C" w:rsidR="00311ABA" w:rsidP="005838A8" w:rsidRDefault="00311ABA" w14:paraId="246196DD" w14:textId="231F297C">
      <w:pPr>
        <w:autoSpaceDE w:val="0"/>
        <w:autoSpaceDN w:val="0"/>
        <w:adjustRightInd w:val="0"/>
        <w:contextualSpacing/>
        <w:rPr>
          <w:b/>
        </w:rPr>
      </w:pPr>
      <w:r w:rsidRPr="00717F3D">
        <w:rPr>
          <w:szCs w:val="26"/>
        </w:rPr>
        <w:t xml:space="preserve">California PU Code §451 requires that every public utility maintain adequate, efficient, just, and reasonable service, instrumentalities, equipment and facilities to ensure the safety, health, and comfort of the public. </w:t>
      </w:r>
    </w:p>
    <w:p w:rsidRPr="00717F3D" w:rsidR="00311ABA" w:rsidP="00311ABA" w:rsidRDefault="00311ABA" w14:paraId="4EE56DE2" w14:textId="77777777">
      <w:pPr>
        <w:pStyle w:val="PlainText"/>
        <w:rPr>
          <w:rFonts w:ascii="Palatino" w:hAnsi="Palatino"/>
          <w:sz w:val="26"/>
          <w:szCs w:val="26"/>
        </w:rPr>
      </w:pPr>
    </w:p>
    <w:p w:rsidR="00311ABA" w:rsidP="00624FDF" w:rsidRDefault="0032647A" w14:paraId="52B54986" w14:textId="06E58E22">
      <w:pPr>
        <w:rPr>
          <w:szCs w:val="26"/>
        </w:rPr>
      </w:pPr>
      <w:r w:rsidRPr="0032647A">
        <w:rPr>
          <w:szCs w:val="26"/>
        </w:rPr>
        <w:t xml:space="preserve">The </w:t>
      </w:r>
      <w:r>
        <w:rPr>
          <w:szCs w:val="26"/>
        </w:rPr>
        <w:t>Agreement</w:t>
      </w:r>
      <w:r w:rsidRPr="0032647A">
        <w:rPr>
          <w:szCs w:val="26"/>
        </w:rPr>
        <w:t xml:space="preserve"> is for the sale of </w:t>
      </w:r>
      <w:r>
        <w:rPr>
          <w:szCs w:val="26"/>
        </w:rPr>
        <w:t>"unbundled" PCC</w:t>
      </w:r>
      <w:r w:rsidRPr="0032647A">
        <w:rPr>
          <w:szCs w:val="26"/>
        </w:rPr>
        <w:t xml:space="preserve"> </w:t>
      </w:r>
      <w:r w:rsidR="00D3433C">
        <w:rPr>
          <w:szCs w:val="26"/>
        </w:rPr>
        <w:t xml:space="preserve">3 </w:t>
      </w:r>
      <w:r w:rsidRPr="0032647A">
        <w:rPr>
          <w:szCs w:val="26"/>
        </w:rPr>
        <w:t>RECs</w:t>
      </w:r>
      <w:r>
        <w:rPr>
          <w:szCs w:val="26"/>
        </w:rPr>
        <w:t xml:space="preserve"> and</w:t>
      </w:r>
      <w:r w:rsidRPr="0032647A">
        <w:rPr>
          <w:szCs w:val="26"/>
        </w:rPr>
        <w:t xml:space="preserve"> does not alter existing power purchase agreements or any facility operations. Based on the information provided, </w:t>
      </w:r>
      <w:r w:rsidRPr="00DD63F7">
        <w:rPr>
          <w:szCs w:val="26"/>
        </w:rPr>
        <w:t xml:space="preserve">the agreement does not appear to result in any adverse safety impacts on the facilities or operations of </w:t>
      </w:r>
      <w:r w:rsidRPr="00DD63F7" w:rsidR="003A2D92">
        <w:rPr>
          <w:szCs w:val="26"/>
        </w:rPr>
        <w:t>PacifiCorp</w:t>
      </w:r>
      <w:r w:rsidRPr="00624FDF" w:rsidR="00311ABA">
        <w:rPr>
          <w:szCs w:val="26"/>
        </w:rPr>
        <w:t>.</w:t>
      </w:r>
    </w:p>
    <w:p w:rsidRPr="00717F3D" w:rsidR="002D4C4F" w:rsidP="00624FDF" w:rsidRDefault="002D4C4F" w14:paraId="20D1963A" w14:textId="77777777">
      <w:pPr>
        <w:rPr>
          <w:szCs w:val="26"/>
        </w:rPr>
      </w:pPr>
    </w:p>
    <w:p w:rsidRPr="001530D3" w:rsidR="004D5BB5" w:rsidP="004D5BB5" w:rsidRDefault="004D5BB5" w14:paraId="6704B4E0" w14:textId="77777777">
      <w:pPr>
        <w:keepNext/>
        <w:spacing w:after="120"/>
        <w:rPr>
          <w:rFonts w:ascii="Arial" w:hAnsi="Arial" w:cs="Arial"/>
          <w:b/>
          <w:szCs w:val="26"/>
          <w:u w:val="single"/>
        </w:rPr>
      </w:pPr>
      <w:r w:rsidRPr="001530D3">
        <w:rPr>
          <w:rFonts w:ascii="Arial" w:hAnsi="Arial" w:cs="Arial"/>
          <w:b/>
          <w:szCs w:val="26"/>
          <w:u w:val="single"/>
        </w:rPr>
        <w:t>RPS ELIGIBILITY</w:t>
      </w:r>
      <w:r>
        <w:rPr>
          <w:rFonts w:ascii="Arial" w:hAnsi="Arial" w:cs="Arial"/>
          <w:b/>
          <w:szCs w:val="26"/>
          <w:u w:val="single"/>
        </w:rPr>
        <w:t xml:space="preserve"> AND CPUC APPROVAL</w:t>
      </w:r>
    </w:p>
    <w:p w:rsidR="004D5BB5" w:rsidP="005838A8" w:rsidRDefault="004D5BB5" w14:paraId="3A9BD74F" w14:textId="0C6BAE03">
      <w:r w:rsidRPr="00717F3D">
        <w:t xml:space="preserve">Pursuant to Pub. Util. Code § 399.25, the CEC certifies eligible renewable energy resources.  Generation from a resource that is not CEC-certified cannot be used to meet RPS requirements.  To ensure that only CEC-certified energy is procured under a </w:t>
      </w:r>
      <w:r w:rsidR="009A2C52">
        <w:t>CPUC</w:t>
      </w:r>
      <w:r w:rsidRPr="00717F3D">
        <w:t xml:space="preserve">-approved RPS contract, the </w:t>
      </w:r>
      <w:r w:rsidR="009A2C52">
        <w:t>CPUC</w:t>
      </w:r>
      <w:r w:rsidRPr="00717F3D">
        <w:t xml:space="preserve"> has required standard and non-modifiable “eligibility” language in all RPS contracts.  That language requires a seller to warrant that the project qualifies and is certified by the CEC as an “Eligible Renewable Energy Resource,” that the project’s output delivered to the buyer qualifies under the requirements of the California RPS, and that the seller use commercially reasonable efforts to maintain eligibility should there be a change in law affecting eligibility.</w:t>
      </w:r>
      <w:r w:rsidRPr="00717F3D">
        <w:rPr>
          <w:rStyle w:val="FootnoteReference"/>
        </w:rPr>
        <w:footnoteReference w:id="11"/>
      </w:r>
      <w:r w:rsidRPr="00717F3D">
        <w:t xml:space="preserve"> </w:t>
      </w:r>
    </w:p>
    <w:p w:rsidRPr="00717F3D" w:rsidR="005838A8" w:rsidP="005838A8" w:rsidRDefault="005838A8" w14:paraId="19FF6B1B" w14:textId="77777777"/>
    <w:p w:rsidR="004D5BB5" w:rsidP="005838A8" w:rsidRDefault="004D5BB5" w14:paraId="079FB4B0" w14:textId="2B25DB43">
      <w:r w:rsidRPr="00717F3D">
        <w:t xml:space="preserve">The </w:t>
      </w:r>
      <w:r w:rsidR="009A2C52">
        <w:t>CPUC</w:t>
      </w:r>
      <w:r w:rsidRPr="00717F3D">
        <w:t xml:space="preserve"> requires a standard and non-modifiable clause in all RPS REC-only contracts that requires “CPUC Approval” of an agreement to include an explicit finding that </w:t>
      </w:r>
      <w:r w:rsidRPr="00603CA5" w:rsidR="006309FB">
        <w:t xml:space="preserve">“any procurement pursuant to this Agreement is procurement from an eligible renewable energy resource for purposes of determining Buyer's compliance with any obligation that it may have to procure eligible renewable </w:t>
      </w:r>
      <w:r w:rsidRPr="00603CA5" w:rsidR="006309FB">
        <w:lastRenderedPageBreak/>
        <w:t>energy resources pursuant to the California Renewables Portfolio Standard (Public Utilities Code Section 399.11 et seq.)</w:t>
      </w:r>
      <w:r w:rsidRPr="006309FB" w:rsidR="006309FB">
        <w:t>, D.11-12-020 and D.11-12-052, or other applicable law.”</w:t>
      </w:r>
      <w:r w:rsidRPr="00717F3D">
        <w:rPr>
          <w:rStyle w:val="FootnoteReference"/>
        </w:rPr>
        <w:footnoteReference w:id="12"/>
      </w:r>
    </w:p>
    <w:p w:rsidRPr="00717F3D" w:rsidR="005838A8" w:rsidP="005838A8" w:rsidRDefault="005838A8" w14:paraId="66595701" w14:textId="77777777"/>
    <w:p w:rsidR="004D5BB5" w:rsidP="005838A8" w:rsidRDefault="004D5BB5" w14:paraId="14E38641" w14:textId="24CE31B9">
      <w:r w:rsidRPr="00717F3D">
        <w:t xml:space="preserve">Notwithstanding this language, the </w:t>
      </w:r>
      <w:r w:rsidR="009A2C52">
        <w:t>CPUC</w:t>
      </w:r>
      <w:r w:rsidRPr="00717F3D">
        <w:t xml:space="preserve"> has no jurisdiction to determine whether a project is an eligible renewable energy resource, nor can the </w:t>
      </w:r>
      <w:r w:rsidR="009A2C52">
        <w:t>CPUC</w:t>
      </w:r>
      <w:r w:rsidRPr="00717F3D">
        <w:t xml:space="preserve"> determine prior to final CEC certification of a project, that “any procurement” pursuant to a specific contract will be “procurement from an eligible renewable energy resource.”  </w:t>
      </w:r>
    </w:p>
    <w:p w:rsidRPr="00717F3D" w:rsidR="005838A8" w:rsidP="005838A8" w:rsidRDefault="005838A8" w14:paraId="15564F1D" w14:textId="77777777"/>
    <w:p w:rsidR="004D5BB5" w:rsidP="005838A8" w:rsidRDefault="004D5BB5" w14:paraId="77A21592" w14:textId="7EE6F9E2">
      <w:r w:rsidRPr="00717F3D">
        <w:t xml:space="preserve">Therefore, while we include the required finding here, </w:t>
      </w:r>
      <w:r w:rsidRPr="00717F3D">
        <w:rPr>
          <w:u w:val="single"/>
        </w:rPr>
        <w:t xml:space="preserve">this finding has never been intended, and shall not be read now, to allow the generation from a non-RPS eligible resource to count towards an RPS compliance obligation.  Nor shall such a finding absolve a seller from its obligation to obtain CEC certification or absolve the purchasing utility of its obligation to enforce compliance with Standard Term and Condition 6, set forth in Appendix A of D.08-04-009 and included in the </w:t>
      </w:r>
      <w:r w:rsidR="00D260FF">
        <w:rPr>
          <w:u w:val="single"/>
        </w:rPr>
        <w:t>Agreement</w:t>
      </w:r>
      <w:r w:rsidRPr="00717F3D">
        <w:rPr>
          <w:u w:val="single"/>
        </w:rPr>
        <w:t>.</w:t>
      </w:r>
      <w:r w:rsidRPr="00717F3D">
        <w:t xml:space="preserve">  Such contract enforcement activities shall be reviewed pursuant to the </w:t>
      </w:r>
      <w:r w:rsidR="009A2C52">
        <w:t>CPUC</w:t>
      </w:r>
      <w:r w:rsidRPr="00717F3D">
        <w:t>’s authority to review the administration of such contracts.</w:t>
      </w:r>
      <w:r>
        <w:t xml:space="preserve"> </w:t>
      </w:r>
    </w:p>
    <w:p w:rsidR="006E4623" w:rsidRDefault="006E4623" w14:paraId="5784B4ED" w14:textId="77777777"/>
    <w:p w:rsidRPr="001530D3" w:rsidR="00762926" w:rsidP="00762926" w:rsidRDefault="00762926" w14:paraId="76087F99" w14:textId="77777777">
      <w:pPr>
        <w:pStyle w:val="Heading1"/>
        <w:spacing w:after="120"/>
      </w:pPr>
      <w:r w:rsidRPr="001530D3">
        <w:t>CONFIDENTIAL information</w:t>
      </w:r>
    </w:p>
    <w:p w:rsidR="00762926" w:rsidP="005838A8" w:rsidRDefault="00762926" w14:paraId="3F14101C" w14:textId="312821B8">
      <w:pPr>
        <w:autoSpaceDE w:val="0"/>
        <w:autoSpaceDN w:val="0"/>
        <w:adjustRightInd w:val="0"/>
        <w:rPr>
          <w:rFonts w:cs="Courier New"/>
        </w:rPr>
      </w:pPr>
      <w:r w:rsidRPr="00717F3D">
        <w:rPr>
          <w:rFonts w:cs="Courier New"/>
        </w:rPr>
        <w:t xml:space="preserve">The </w:t>
      </w:r>
      <w:r w:rsidR="009A2C52">
        <w:rPr>
          <w:rFonts w:cs="Courier New"/>
        </w:rPr>
        <w:t>CPUC</w:t>
      </w:r>
      <w:r w:rsidRPr="00717F3D">
        <w:rPr>
          <w:rFonts w:cs="Courier New"/>
        </w:rPr>
        <w:t xml:space="preserve">, in implementing Pub. Util. Code § 454.5(g), has determined in </w:t>
      </w:r>
      <w:r w:rsidR="00C80BD8">
        <w:rPr>
          <w:rFonts w:cs="Courier New"/>
        </w:rPr>
        <w:br/>
      </w:r>
      <w:r w:rsidRPr="00717F3D">
        <w:rPr>
          <w:rFonts w:cs="Courier New"/>
        </w:rPr>
        <w:t xml:space="preserve">D.06-06-066, as modified by D.07-05-032, that certain material submitted to the </w:t>
      </w:r>
      <w:r w:rsidR="009A2C52">
        <w:rPr>
          <w:rFonts w:cs="Courier New"/>
        </w:rPr>
        <w:t>CPUC</w:t>
      </w:r>
      <w:r w:rsidRPr="00717F3D">
        <w:rPr>
          <w:rFonts w:cs="Courier New"/>
        </w:rPr>
        <w:t xml:space="preserve"> as confidential should be kept confidential to ensure that market sensitive data does not influence the behavior of bidders in future RPS solicitations.  </w:t>
      </w:r>
      <w:r w:rsidR="00C80BD8">
        <w:rPr>
          <w:rFonts w:cs="Courier New"/>
        </w:rPr>
        <w:br/>
      </w:r>
      <w:r w:rsidRPr="00717F3D">
        <w:rPr>
          <w:rFonts w:cs="Courier New"/>
        </w:rPr>
        <w:t>D.06-06-066 adopted a time limit on the confidentiality of specific terms in RPS contracts.  Such information, such as price, is confidential for three years from the date the contract states that deliveries begin, except contracts between IOUs and their affiliates, which are public.</w:t>
      </w:r>
    </w:p>
    <w:p w:rsidRPr="00717F3D" w:rsidR="005838A8" w:rsidP="005838A8" w:rsidRDefault="005838A8" w14:paraId="2164BAC7" w14:textId="77777777">
      <w:pPr>
        <w:autoSpaceDE w:val="0"/>
        <w:autoSpaceDN w:val="0"/>
        <w:adjustRightInd w:val="0"/>
        <w:rPr>
          <w:rFonts w:cs="Courier New"/>
        </w:rPr>
      </w:pPr>
    </w:p>
    <w:p w:rsidRPr="00717F3D" w:rsidR="00762926" w:rsidP="00762926" w:rsidRDefault="00762926" w14:paraId="7FBAE200" w14:textId="77777777">
      <w:pPr>
        <w:autoSpaceDE w:val="0"/>
        <w:autoSpaceDN w:val="0"/>
        <w:adjustRightInd w:val="0"/>
        <w:spacing w:after="240"/>
        <w:rPr>
          <w:u w:val="single"/>
        </w:rPr>
      </w:pPr>
      <w:r w:rsidRPr="00717F3D">
        <w:rPr>
          <w:rFonts w:cs="Courier New"/>
          <w:u w:val="single"/>
        </w:rPr>
        <w:t>The confidential appendices, marked "[REDACTED]" in the public copy of this resolution, as well as the confidential portions of the advice letter, should remain confidential at this time.</w:t>
      </w:r>
    </w:p>
    <w:p w:rsidR="00762926" w:rsidP="00762926" w:rsidRDefault="00762926" w14:paraId="6331A8DF" w14:textId="77777777">
      <w:pPr>
        <w:pStyle w:val="Heading1"/>
      </w:pPr>
      <w:r>
        <w:lastRenderedPageBreak/>
        <w:t>Comments</w:t>
      </w:r>
    </w:p>
    <w:p w:rsidRPr="00717F3D" w:rsidR="00762926" w:rsidP="00762926" w:rsidRDefault="00762926" w14:paraId="032863DC" w14:textId="77777777">
      <w:r w:rsidRPr="00717F3D">
        <w:t>This is an uncontested matter in which the resolution grants the relief requested.  Accordingly, pursuant to PU Code 311(g)(2), the otherwise applicable 30-day period for public review and comment is being waived.</w:t>
      </w:r>
    </w:p>
    <w:p w:rsidR="00762926" w:rsidP="00762926" w:rsidRDefault="00762926" w14:paraId="3F8B912A" w14:textId="77777777">
      <w:pPr>
        <w:pStyle w:val="Style1"/>
        <w:tabs>
          <w:tab w:val="clear" w:pos="-720"/>
        </w:tabs>
        <w:suppressAutoHyphens w:val="0"/>
        <w:spacing w:after="0"/>
      </w:pPr>
    </w:p>
    <w:p w:rsidR="00762926" w:rsidP="00762926" w:rsidRDefault="00762926" w14:paraId="684CD279" w14:textId="77777777">
      <w:pPr>
        <w:pStyle w:val="Heading1"/>
      </w:pPr>
      <w:r>
        <w:t>Findings</w:t>
      </w:r>
    </w:p>
    <w:p w:rsidRPr="00717F3D" w:rsidR="008E7F02" w:rsidP="005838A8" w:rsidRDefault="00B91CF5" w14:paraId="3C25796C" w14:textId="2918ED86">
      <w:pPr>
        <w:numPr>
          <w:ilvl w:val="0"/>
          <w:numId w:val="4"/>
        </w:numPr>
        <w:spacing w:after="240"/>
      </w:pPr>
      <w:r w:rsidRPr="00717F3D">
        <w:t xml:space="preserve">The Agreement is consistent with </w:t>
      </w:r>
      <w:r w:rsidR="009A2C52">
        <w:t>CPUC</w:t>
      </w:r>
      <w:r w:rsidRPr="00717F3D">
        <w:t xml:space="preserve"> rules regarding the purchase of RECs from Qualifying Facilities as established in D.10-03-021</w:t>
      </w:r>
      <w:r w:rsidRPr="00717F3D" w:rsidR="00AC1CBF">
        <w:t xml:space="preserve"> </w:t>
      </w:r>
      <w:r w:rsidRPr="00717F3D" w:rsidR="00C5426D">
        <w:t>and</w:t>
      </w:r>
      <w:r w:rsidRPr="00717F3D" w:rsidR="00AC1CBF">
        <w:t xml:space="preserve"> modified by D.11-01-025</w:t>
      </w:r>
      <w:r w:rsidRPr="00717F3D">
        <w:t>.</w:t>
      </w:r>
    </w:p>
    <w:p w:rsidRPr="00717F3D" w:rsidR="004D5BB5" w:rsidP="005838A8" w:rsidRDefault="004D5BB5" w14:paraId="3925BEF9" w14:textId="3C5CE6ED">
      <w:pPr>
        <w:numPr>
          <w:ilvl w:val="0"/>
          <w:numId w:val="4"/>
        </w:numPr>
        <w:spacing w:after="240"/>
      </w:pPr>
      <w:r w:rsidRPr="00717F3D">
        <w:t>The Agreement is consistent with PacifiCorp’s 2018 Off-Year Supplement.</w:t>
      </w:r>
    </w:p>
    <w:p w:rsidRPr="00717F3D" w:rsidR="006374D7" w:rsidP="005838A8" w:rsidRDefault="006374D7" w14:paraId="396E7466" w14:textId="5313E33F">
      <w:pPr>
        <w:numPr>
          <w:ilvl w:val="0"/>
          <w:numId w:val="4"/>
        </w:numPr>
        <w:spacing w:after="240"/>
      </w:pPr>
      <w:r w:rsidRPr="00717F3D">
        <w:t>The Agreement is consistent with the bilateral contracting guidelines established in D.06-10-019 and D.09-06-050.</w:t>
      </w:r>
    </w:p>
    <w:p w:rsidR="0024515C" w:rsidP="005838A8" w:rsidRDefault="0060551A" w14:paraId="0CDD3AAD" w14:textId="3958940B">
      <w:pPr>
        <w:pStyle w:val="ListParagraph"/>
        <w:numPr>
          <w:ilvl w:val="0"/>
          <w:numId w:val="4"/>
        </w:numPr>
        <w:spacing w:after="240"/>
      </w:pPr>
      <w:r w:rsidRPr="0024515C">
        <w:t xml:space="preserve">AL </w:t>
      </w:r>
      <w:r w:rsidR="007B4411">
        <w:t>617-E/E-A</w:t>
      </w:r>
      <w:r w:rsidRPr="0024515C">
        <w:t xml:space="preserve"> is consistent with D.10-03-021, as modified, regarding providing the methodology for evaluating a REC-only contract</w:t>
      </w:r>
      <w:r w:rsidRPr="0024515C" w:rsidR="00055560">
        <w:t>.</w:t>
      </w:r>
    </w:p>
    <w:p w:rsidRPr="00717F3D" w:rsidR="0024515C" w:rsidP="0024515C" w:rsidRDefault="0024515C" w14:paraId="1E20BC97" w14:textId="1A617B01">
      <w:pPr>
        <w:numPr>
          <w:ilvl w:val="0"/>
          <w:numId w:val="4"/>
        </w:numPr>
        <w:spacing w:after="240"/>
      </w:pPr>
      <w:r w:rsidRPr="0024515C">
        <w:t xml:space="preserve"> </w:t>
      </w:r>
      <w:r w:rsidRPr="00717F3D">
        <w:t xml:space="preserve">The price and total expected costs of the Agreement are reasonable based on the bids received in PacifiCorp’s contemporaneous solicitation.  </w:t>
      </w:r>
    </w:p>
    <w:p w:rsidRPr="0024515C" w:rsidR="00055560" w:rsidP="0024515C" w:rsidRDefault="0024515C" w14:paraId="28C7FA7D" w14:textId="09F9DEF7">
      <w:pPr>
        <w:numPr>
          <w:ilvl w:val="0"/>
          <w:numId w:val="4"/>
        </w:numPr>
        <w:spacing w:after="240"/>
      </w:pPr>
      <w:r w:rsidRPr="00717F3D">
        <w:t xml:space="preserve">Provided that the Renewable Energy Credits are compliant with Standard Term and Condition 6, set forth in Appendix A of D.08-04-009 and included in the Agreement, payments made by PacifiCorp pursuant to the Agreement are fully recoverable in rates over the life of the Agreement, subject to </w:t>
      </w:r>
      <w:r>
        <w:t>CPUC</w:t>
      </w:r>
      <w:r w:rsidRPr="00717F3D">
        <w:t xml:space="preserve"> review of PacifiCorp’s administration of the Agreement</w:t>
      </w:r>
      <w:r>
        <w:t xml:space="preserve"> </w:t>
      </w:r>
      <w:r w:rsidRPr="000D3C7D">
        <w:rPr>
          <w:rFonts w:ascii="Palatino Linotype" w:hAnsi="Palatino Linotype"/>
        </w:rPr>
        <w:t>and any other conditions contained herein or required by law</w:t>
      </w:r>
      <w:r w:rsidRPr="00717F3D">
        <w:t>.</w:t>
      </w:r>
    </w:p>
    <w:p w:rsidRPr="00717F3D" w:rsidR="004D5BB5" w:rsidP="005838A8" w:rsidRDefault="004D5BB5" w14:paraId="7AEC27A0" w14:textId="3E1FFFC4">
      <w:pPr>
        <w:numPr>
          <w:ilvl w:val="0"/>
          <w:numId w:val="4"/>
        </w:numPr>
        <w:spacing w:after="240"/>
      </w:pPr>
      <w:r w:rsidRPr="00717F3D">
        <w:t xml:space="preserve">The Agreement includes the </w:t>
      </w:r>
      <w:r w:rsidR="009A2C52">
        <w:t>CPUC</w:t>
      </w:r>
      <w:r w:rsidRPr="00717F3D">
        <w:t xml:space="preserve">-adopted RPS standard terms and conditions including those deemed “non-modifiable”. </w:t>
      </w:r>
    </w:p>
    <w:p w:rsidRPr="00717F3D" w:rsidR="004D5BB5" w:rsidP="005838A8" w:rsidRDefault="004D5BB5" w14:paraId="50B91A63" w14:textId="20C59F96">
      <w:pPr>
        <w:numPr>
          <w:ilvl w:val="0"/>
          <w:numId w:val="4"/>
        </w:numPr>
        <w:spacing w:after="240"/>
      </w:pPr>
      <w:r w:rsidRPr="00717F3D">
        <w:t xml:space="preserve">Consistent with D.11-12-052, PacifiCorp provided information in </w:t>
      </w:r>
      <w:r w:rsidR="00113965">
        <w:br/>
      </w:r>
      <w:r w:rsidRPr="00717F3D">
        <w:t xml:space="preserve">AL </w:t>
      </w:r>
      <w:r w:rsidR="007B4411">
        <w:t>617-E/E-A</w:t>
      </w:r>
      <w:r w:rsidRPr="00717F3D">
        <w:t xml:space="preserve"> regarding the expected portfolio content category classification of the </w:t>
      </w:r>
      <w:r w:rsidR="00493B13">
        <w:t>REC</w:t>
      </w:r>
      <w:r w:rsidRPr="00717F3D">
        <w:t xml:space="preserve">s procured pursuant to the </w:t>
      </w:r>
      <w:r w:rsidR="00493B13">
        <w:t>Agreement</w:t>
      </w:r>
      <w:r w:rsidRPr="00717F3D">
        <w:t>.</w:t>
      </w:r>
    </w:p>
    <w:p w:rsidRPr="00717F3D" w:rsidR="004D5BB5" w:rsidP="005838A8" w:rsidRDefault="004D5BB5" w14:paraId="68362C24" w14:textId="66DB510B">
      <w:pPr>
        <w:numPr>
          <w:ilvl w:val="0"/>
          <w:numId w:val="4"/>
        </w:numPr>
        <w:spacing w:after="240"/>
      </w:pPr>
      <w:r w:rsidRPr="00717F3D">
        <w:t xml:space="preserve">The </w:t>
      </w:r>
      <w:r w:rsidR="009A2C52">
        <w:t>CPUC</w:t>
      </w:r>
      <w:r w:rsidRPr="00717F3D">
        <w:t xml:space="preserve"> makes no determination regarding the proposed Agreements’ Portfolio Content Classification because RPS contract evaluation process is a separate process from the RPS compliance determination and portfolio content category classification.</w:t>
      </w:r>
    </w:p>
    <w:p w:rsidRPr="00717F3D" w:rsidR="004D5BB5" w:rsidP="005838A8" w:rsidRDefault="004D5BB5" w14:paraId="4FF14287" w14:textId="5888025A">
      <w:pPr>
        <w:numPr>
          <w:ilvl w:val="0"/>
          <w:numId w:val="4"/>
        </w:numPr>
        <w:spacing w:after="240"/>
      </w:pPr>
      <w:r w:rsidRPr="00717F3D">
        <w:lastRenderedPageBreak/>
        <w:t>Because the Agreement is 10 years in duration</w:t>
      </w:r>
      <w:r w:rsidR="00493B13">
        <w:t>, it</w:t>
      </w:r>
      <w:r w:rsidRPr="00717F3D">
        <w:t xml:space="preserve"> will contribute towards PacifiCorp’s RPS long-term contracting </w:t>
      </w:r>
      <w:r w:rsidRPr="00474F20">
        <w:t xml:space="preserve">requirement </w:t>
      </w:r>
      <w:r w:rsidRPr="00474F20" w:rsidR="00647418">
        <w:t>per</w:t>
      </w:r>
      <w:r w:rsidRPr="00474F20">
        <w:t xml:space="preserve"> D.12-06-038</w:t>
      </w:r>
      <w:r w:rsidRPr="00474F20" w:rsidR="001E6A58">
        <w:t xml:space="preserve"> and</w:t>
      </w:r>
      <w:r w:rsidR="001E6A58">
        <w:t xml:space="preserve"> </w:t>
      </w:r>
      <w:r w:rsidR="00113965">
        <w:br/>
      </w:r>
      <w:r w:rsidR="00647418">
        <w:t>17-06-026</w:t>
      </w:r>
      <w:r w:rsidRPr="00717F3D">
        <w:t>.</w:t>
      </w:r>
    </w:p>
    <w:p w:rsidRPr="00717F3D" w:rsidR="00AC1CBF" w:rsidP="005838A8" w:rsidRDefault="00AC1CBF" w14:paraId="24F6740A" w14:textId="6AA1D13B">
      <w:pPr>
        <w:numPr>
          <w:ilvl w:val="0"/>
          <w:numId w:val="4"/>
        </w:numPr>
        <w:spacing w:after="240"/>
      </w:pPr>
      <w:r w:rsidRPr="00717F3D">
        <w:t>PacifiCorp satisfies the Interim Emissions Performance Standard alternate compliance mechanism criteria.</w:t>
      </w:r>
    </w:p>
    <w:p w:rsidR="006D5483" w:rsidP="006D5483" w:rsidRDefault="00482E64" w14:paraId="5DD3A371" w14:textId="74CF0DC2">
      <w:pPr>
        <w:numPr>
          <w:ilvl w:val="0"/>
          <w:numId w:val="4"/>
        </w:numPr>
        <w:spacing w:after="240"/>
      </w:pPr>
      <w:r w:rsidRPr="00482E64">
        <w:t>Procurement pursuant to the Agreement is procurement from an eligible renewable energy resource for purposes of determining PacifiCorp’s compliance with any obligation that it may have to procure eligible renewable energy resources pursuant to the California Renewables Portfolio Standard (</w:t>
      </w:r>
      <w:r w:rsidRPr="00A25C50">
        <w:rPr>
          <w:i/>
          <w:iCs/>
        </w:rPr>
        <w:t>Public Utilities Code Section 399.11 et seq.</w:t>
      </w:r>
      <w:r w:rsidRPr="00482E64">
        <w:t xml:space="preserve">), D.11-12-020 and </w:t>
      </w:r>
      <w:r w:rsidR="00113965">
        <w:br/>
      </w:r>
      <w:r w:rsidRPr="00482E64">
        <w:t>D.11-12-052, or other applicable law.</w:t>
      </w:r>
    </w:p>
    <w:p w:rsidRPr="006D5483" w:rsidR="006309FB" w:rsidP="006D5483" w:rsidRDefault="006309FB" w14:paraId="4B11FEFA" w14:textId="5C204A6A">
      <w:pPr>
        <w:numPr>
          <w:ilvl w:val="0"/>
          <w:numId w:val="4"/>
        </w:numPr>
        <w:spacing w:after="240"/>
      </w:pPr>
      <w:r w:rsidRPr="006309FB">
        <w:t xml:space="preserve">The immediately preceding finding </w:t>
      </w:r>
      <w:r w:rsidR="00A25C50">
        <w:t xml:space="preserve">has never been intended and </w:t>
      </w:r>
      <w:r w:rsidRPr="006309FB">
        <w:t>shall not be read to allow generation from a non-RPS eligible renewable energy resource under the Agreement to count towards an RPS compliance obligation</w:t>
      </w:r>
      <w:r w:rsidR="00A25C50">
        <w:t xml:space="preserve"> absent CEC certification</w:t>
      </w:r>
      <w:r w:rsidRPr="006309FB">
        <w:t>. Nor shall that finding absolve PacifiCorp</w:t>
      </w:r>
      <w:r w:rsidR="00793A04">
        <w:t xml:space="preserve"> of its obligation to obtain CEC certification or the utility of its obligation </w:t>
      </w:r>
      <w:r w:rsidRPr="006309FB">
        <w:t>to enforce compliance with the Agreement</w:t>
      </w:r>
      <w:r w:rsidR="00793A04">
        <w:t xml:space="preserve"> or pursue remedies for breach of contract</w:t>
      </w:r>
      <w:r w:rsidRPr="006309FB">
        <w:t>.</w:t>
      </w:r>
    </w:p>
    <w:p w:rsidRPr="00717F3D" w:rsidR="00E83245" w:rsidP="005838A8" w:rsidRDefault="00E83245" w14:paraId="586CFC6E" w14:textId="77777777">
      <w:pPr>
        <w:pStyle w:val="ListParagraph"/>
        <w:numPr>
          <w:ilvl w:val="0"/>
          <w:numId w:val="4"/>
        </w:numPr>
        <w:spacing w:after="240"/>
      </w:pPr>
      <w:r w:rsidRPr="00717F3D">
        <w:t>The confidential appendices, marked "[REDACTED]" in the public copy of this resolution, as well as the confidential portions of the advice letter, should remain confidential at this time.</w:t>
      </w:r>
    </w:p>
    <w:p w:rsidRPr="00717F3D" w:rsidR="004D5BB5" w:rsidP="005838A8" w:rsidRDefault="004D5BB5" w14:paraId="47F49908" w14:textId="6912B586">
      <w:pPr>
        <w:pStyle w:val="ListParagraph"/>
        <w:numPr>
          <w:ilvl w:val="0"/>
          <w:numId w:val="4"/>
        </w:numPr>
        <w:spacing w:after="240"/>
      </w:pPr>
      <w:r w:rsidRPr="00717F3D">
        <w:t xml:space="preserve">AL </w:t>
      </w:r>
      <w:r w:rsidR="007B4411">
        <w:t>617-E/E-A</w:t>
      </w:r>
      <w:r w:rsidRPr="00717F3D">
        <w:t xml:space="preserve"> should be approved without modification.</w:t>
      </w:r>
    </w:p>
    <w:p w:rsidR="00762926" w:rsidP="00762926" w:rsidRDefault="00762926" w14:paraId="6CDC4733" w14:textId="77777777">
      <w:pPr>
        <w:rPr>
          <w:b/>
        </w:rPr>
      </w:pPr>
    </w:p>
    <w:p w:rsidR="00762926" w:rsidP="00762926" w:rsidRDefault="00762926" w14:paraId="59A466F6" w14:textId="77777777">
      <w:pPr>
        <w:pStyle w:val="Heading1"/>
      </w:pPr>
      <w:r>
        <w:t>Therefore it is ordered that:</w:t>
      </w:r>
    </w:p>
    <w:p w:rsidRPr="00717F3D" w:rsidR="00762926" w:rsidP="00762926" w:rsidRDefault="00762926" w14:paraId="130ED9E4" w14:textId="79B791CA">
      <w:pPr>
        <w:numPr>
          <w:ilvl w:val="0"/>
          <w:numId w:val="5"/>
        </w:numPr>
        <w:rPr>
          <w:snapToGrid w:val="0"/>
        </w:rPr>
      </w:pPr>
      <w:r w:rsidRPr="00717F3D">
        <w:rPr>
          <w:snapToGrid w:val="0"/>
        </w:rPr>
        <w:t>PacifiCorp</w:t>
      </w:r>
      <w:r w:rsidR="00340481">
        <w:rPr>
          <w:snapToGrid w:val="0"/>
        </w:rPr>
        <w:t>’s request</w:t>
      </w:r>
      <w:r w:rsidRPr="00717F3D">
        <w:rPr>
          <w:snapToGrid w:val="0"/>
        </w:rPr>
        <w:t xml:space="preserve"> to enter into a </w:t>
      </w:r>
      <w:r w:rsidR="00493B13">
        <w:rPr>
          <w:snapToGrid w:val="0"/>
        </w:rPr>
        <w:t xml:space="preserve">Purchase and Sale </w:t>
      </w:r>
      <w:r w:rsidR="00196EF1">
        <w:rPr>
          <w:snapToGrid w:val="0"/>
        </w:rPr>
        <w:t>Agreement</w:t>
      </w:r>
      <w:r w:rsidR="00493B13">
        <w:rPr>
          <w:snapToGrid w:val="0"/>
        </w:rPr>
        <w:t xml:space="preserve"> for </w:t>
      </w:r>
      <w:r w:rsidRPr="00717F3D">
        <w:rPr>
          <w:snapToGrid w:val="0"/>
        </w:rPr>
        <w:t>R</w:t>
      </w:r>
      <w:r w:rsidR="00340481">
        <w:rPr>
          <w:snapToGrid w:val="0"/>
        </w:rPr>
        <w:t>enewable Energy Credits</w:t>
      </w:r>
      <w:r w:rsidRPr="00717F3D">
        <w:rPr>
          <w:snapToGrid w:val="0"/>
        </w:rPr>
        <w:t xml:space="preserve"> with Escalante Solar III, LLC, as requested in Advice Letter</w:t>
      </w:r>
      <w:r w:rsidR="00DA13D0">
        <w:rPr>
          <w:snapToGrid w:val="0"/>
        </w:rPr>
        <w:t>s</w:t>
      </w:r>
      <w:r w:rsidRPr="00717F3D">
        <w:rPr>
          <w:snapToGrid w:val="0"/>
        </w:rPr>
        <w:t xml:space="preserve"> </w:t>
      </w:r>
      <w:r w:rsidR="007B4411">
        <w:t>617-E/E-A</w:t>
      </w:r>
      <w:r w:rsidRPr="00717F3D">
        <w:t xml:space="preserve">, </w:t>
      </w:r>
      <w:r w:rsidRPr="00717F3D">
        <w:rPr>
          <w:snapToGrid w:val="0"/>
        </w:rPr>
        <w:t xml:space="preserve">is approved </w:t>
      </w:r>
      <w:r w:rsidRPr="00717F3D" w:rsidR="004D5BB5">
        <w:rPr>
          <w:snapToGrid w:val="0"/>
        </w:rPr>
        <w:t>without modification</w:t>
      </w:r>
      <w:r w:rsidRPr="00717F3D" w:rsidR="00E62E2A">
        <w:rPr>
          <w:snapToGrid w:val="0"/>
        </w:rPr>
        <w:t>.</w:t>
      </w:r>
    </w:p>
    <w:p w:rsidRPr="00717F3D" w:rsidR="00567DBF" w:rsidP="00493B13" w:rsidRDefault="00567DBF" w14:paraId="733728C0" w14:textId="26B511A1">
      <w:pPr>
        <w:pStyle w:val="ListParagraph"/>
        <w:ind w:left="360"/>
        <w:rPr>
          <w:snapToGrid w:val="0"/>
        </w:rPr>
      </w:pPr>
    </w:p>
    <w:p w:rsidRPr="00717F3D" w:rsidR="00762926" w:rsidP="00762926" w:rsidRDefault="00762926" w14:paraId="3BC9B03B" w14:textId="77777777">
      <w:pPr>
        <w:tabs>
          <w:tab w:val="left" w:pos="720"/>
          <w:tab w:val="left" w:pos="1296"/>
          <w:tab w:val="left" w:pos="2016"/>
          <w:tab w:val="left" w:pos="2736"/>
          <w:tab w:val="left" w:pos="3456"/>
          <w:tab w:val="left" w:pos="4176"/>
          <w:tab w:val="left" w:pos="5760"/>
        </w:tabs>
      </w:pPr>
    </w:p>
    <w:p w:rsidR="00C80BD8" w:rsidP="00762926" w:rsidRDefault="00C80BD8" w14:paraId="79A1E4FF" w14:textId="77777777">
      <w:pPr>
        <w:tabs>
          <w:tab w:val="left" w:pos="720"/>
          <w:tab w:val="left" w:pos="1296"/>
          <w:tab w:val="left" w:pos="2016"/>
          <w:tab w:val="left" w:pos="2736"/>
          <w:tab w:val="left" w:pos="3456"/>
          <w:tab w:val="left" w:pos="4176"/>
          <w:tab w:val="left" w:pos="5760"/>
        </w:tabs>
      </w:pPr>
    </w:p>
    <w:p w:rsidR="00C80BD8" w:rsidP="00762926" w:rsidRDefault="00C80BD8" w14:paraId="35BAA89E" w14:textId="77777777">
      <w:pPr>
        <w:tabs>
          <w:tab w:val="left" w:pos="720"/>
          <w:tab w:val="left" w:pos="1296"/>
          <w:tab w:val="left" w:pos="2016"/>
          <w:tab w:val="left" w:pos="2736"/>
          <w:tab w:val="left" w:pos="3456"/>
          <w:tab w:val="left" w:pos="4176"/>
          <w:tab w:val="left" w:pos="5760"/>
        </w:tabs>
      </w:pPr>
    </w:p>
    <w:p w:rsidR="00C80BD8" w:rsidP="00762926" w:rsidRDefault="00C80BD8" w14:paraId="38A78C95" w14:textId="77777777">
      <w:pPr>
        <w:tabs>
          <w:tab w:val="left" w:pos="720"/>
          <w:tab w:val="left" w:pos="1296"/>
          <w:tab w:val="left" w:pos="2016"/>
          <w:tab w:val="left" w:pos="2736"/>
          <w:tab w:val="left" w:pos="3456"/>
          <w:tab w:val="left" w:pos="4176"/>
          <w:tab w:val="left" w:pos="5760"/>
        </w:tabs>
      </w:pPr>
    </w:p>
    <w:p w:rsidR="00C80BD8" w:rsidP="00762926" w:rsidRDefault="00C80BD8" w14:paraId="522899E9" w14:textId="77777777">
      <w:pPr>
        <w:tabs>
          <w:tab w:val="left" w:pos="720"/>
          <w:tab w:val="left" w:pos="1296"/>
          <w:tab w:val="left" w:pos="2016"/>
          <w:tab w:val="left" w:pos="2736"/>
          <w:tab w:val="left" w:pos="3456"/>
          <w:tab w:val="left" w:pos="4176"/>
          <w:tab w:val="left" w:pos="5760"/>
        </w:tabs>
      </w:pPr>
    </w:p>
    <w:p w:rsidR="00C80BD8" w:rsidP="00762926" w:rsidRDefault="00C80BD8" w14:paraId="34256152" w14:textId="77777777">
      <w:pPr>
        <w:tabs>
          <w:tab w:val="left" w:pos="720"/>
          <w:tab w:val="left" w:pos="1296"/>
          <w:tab w:val="left" w:pos="2016"/>
          <w:tab w:val="left" w:pos="2736"/>
          <w:tab w:val="left" w:pos="3456"/>
          <w:tab w:val="left" w:pos="4176"/>
          <w:tab w:val="left" w:pos="5760"/>
        </w:tabs>
      </w:pPr>
    </w:p>
    <w:p w:rsidR="00C80BD8" w:rsidP="00762926" w:rsidRDefault="00C80BD8" w14:paraId="1791509C" w14:textId="77777777">
      <w:pPr>
        <w:tabs>
          <w:tab w:val="left" w:pos="720"/>
          <w:tab w:val="left" w:pos="1296"/>
          <w:tab w:val="left" w:pos="2016"/>
          <w:tab w:val="left" w:pos="2736"/>
          <w:tab w:val="left" w:pos="3456"/>
          <w:tab w:val="left" w:pos="4176"/>
          <w:tab w:val="left" w:pos="5760"/>
        </w:tabs>
      </w:pPr>
    </w:p>
    <w:p w:rsidRPr="00717F3D" w:rsidR="00762926" w:rsidP="00762926" w:rsidRDefault="00762926" w14:paraId="437AAE4F" w14:textId="19136188">
      <w:pPr>
        <w:tabs>
          <w:tab w:val="left" w:pos="720"/>
          <w:tab w:val="left" w:pos="1296"/>
          <w:tab w:val="left" w:pos="2016"/>
          <w:tab w:val="left" w:pos="2736"/>
          <w:tab w:val="left" w:pos="3456"/>
          <w:tab w:val="left" w:pos="4176"/>
          <w:tab w:val="left" w:pos="5760"/>
        </w:tabs>
      </w:pPr>
      <w:r w:rsidRPr="00717F3D">
        <w:lastRenderedPageBreak/>
        <w:t xml:space="preserve">This Resolution is effective </w:t>
      </w:r>
      <w:r w:rsidRPr="00717F3D" w:rsidR="00041E8C">
        <w:t xml:space="preserve">as of </w:t>
      </w:r>
      <w:r w:rsidR="00A30C13">
        <w:t>May 6</w:t>
      </w:r>
      <w:r w:rsidRPr="00717F3D" w:rsidR="00A76CD1">
        <w:t>, 2021</w:t>
      </w:r>
      <w:r w:rsidRPr="00717F3D">
        <w:t>.</w:t>
      </w:r>
    </w:p>
    <w:p w:rsidRPr="00717F3D" w:rsidR="00762926" w:rsidP="00762926" w:rsidRDefault="00762926" w14:paraId="547DF599" w14:textId="77777777">
      <w:pPr>
        <w:tabs>
          <w:tab w:val="left" w:pos="720"/>
          <w:tab w:val="left" w:pos="1296"/>
          <w:tab w:val="left" w:pos="2016"/>
          <w:tab w:val="left" w:pos="2736"/>
          <w:tab w:val="left" w:pos="3456"/>
          <w:tab w:val="left" w:pos="4176"/>
          <w:tab w:val="left" w:pos="5760"/>
        </w:tabs>
      </w:pPr>
    </w:p>
    <w:p w:rsidRPr="00717F3D" w:rsidR="00762926" w:rsidP="00762926" w:rsidRDefault="00762926" w14:paraId="7F43D3CE" w14:textId="0B7CBB88">
      <w:pPr>
        <w:rPr>
          <w:snapToGrid w:val="0"/>
        </w:rPr>
      </w:pPr>
      <w:r w:rsidRPr="00717F3D">
        <w:rPr>
          <w:snapToGrid w:val="0"/>
        </w:rPr>
        <w:t xml:space="preserve">I certify that the foregoing resolution was duly introduced, passed and adopted at a conference of the Public Utilities Commission of the State of California held on </w:t>
      </w:r>
      <w:r w:rsidR="00A30C13">
        <w:rPr>
          <w:snapToGrid w:val="0"/>
        </w:rPr>
        <w:t>May 6</w:t>
      </w:r>
      <w:r w:rsidRPr="00717F3D" w:rsidR="00A76CD1">
        <w:rPr>
          <w:snapToGrid w:val="0"/>
        </w:rPr>
        <w:t>, 2021</w:t>
      </w:r>
      <w:r w:rsidRPr="00717F3D">
        <w:rPr>
          <w:snapToGrid w:val="0"/>
        </w:rPr>
        <w:t>; the following Commissioners voting favorably thereon:</w:t>
      </w:r>
    </w:p>
    <w:p w:rsidRPr="00717F3D" w:rsidR="00762926" w:rsidP="00762926" w:rsidRDefault="00762926" w14:paraId="6821953F" w14:textId="77777777">
      <w:pPr>
        <w:tabs>
          <w:tab w:val="left" w:pos="720"/>
          <w:tab w:val="left" w:pos="1152"/>
          <w:tab w:val="left" w:pos="1728"/>
          <w:tab w:val="left" w:pos="3168"/>
          <w:tab w:val="left" w:pos="5040"/>
        </w:tabs>
        <w:ind w:right="144"/>
      </w:pPr>
    </w:p>
    <w:p w:rsidRPr="00717F3D" w:rsidR="00762926" w:rsidP="00762926" w:rsidRDefault="00762926" w14:paraId="6B678533" w14:textId="77777777">
      <w:pPr>
        <w:tabs>
          <w:tab w:val="left" w:pos="720"/>
          <w:tab w:val="left" w:pos="1152"/>
          <w:tab w:val="left" w:pos="1728"/>
          <w:tab w:val="left" w:pos="3168"/>
          <w:tab w:val="left" w:pos="5040"/>
        </w:tabs>
        <w:ind w:right="144"/>
      </w:pPr>
    </w:p>
    <w:p w:rsidRPr="00717F3D" w:rsidR="00762926" w:rsidP="00762926" w:rsidRDefault="00762926" w14:paraId="7D6DE445" w14:textId="77777777">
      <w:pPr>
        <w:tabs>
          <w:tab w:val="left" w:pos="720"/>
          <w:tab w:val="left" w:pos="1152"/>
          <w:tab w:val="left" w:pos="1728"/>
          <w:tab w:val="left" w:pos="3168"/>
          <w:tab w:val="left" w:pos="5040"/>
        </w:tabs>
        <w:ind w:right="144"/>
      </w:pPr>
    </w:p>
    <w:p w:rsidR="00EA481F" w:rsidP="00EA481F" w:rsidRDefault="00762926" w14:paraId="37D41106" w14:textId="21D39D3D">
      <w:pPr>
        <w:tabs>
          <w:tab w:val="left" w:pos="720"/>
          <w:tab w:val="left" w:pos="1152"/>
          <w:tab w:val="left" w:pos="1728"/>
          <w:tab w:val="left" w:pos="3168"/>
          <w:tab w:val="left" w:pos="5040"/>
        </w:tabs>
        <w:ind w:right="144"/>
        <w:jc w:val="both"/>
        <w:rPr>
          <w:rFonts w:ascii="Palatino Linotype" w:hAnsi="Palatino Linotype"/>
          <w:i/>
          <w:iCs/>
          <w:szCs w:val="26"/>
          <w:u w:val="single"/>
        </w:rPr>
      </w:pPr>
      <w:r w:rsidRPr="00717F3D">
        <w:tab/>
      </w:r>
      <w:r w:rsidRPr="00717F3D">
        <w:tab/>
      </w:r>
      <w:r w:rsidRPr="00717F3D">
        <w:tab/>
      </w:r>
      <w:r w:rsidRPr="00717F3D">
        <w:tab/>
      </w:r>
      <w:r w:rsidRPr="00717F3D">
        <w:tab/>
      </w:r>
      <w:r w:rsidR="00EA481F">
        <w:tab/>
      </w:r>
      <w:r w:rsidR="00EA481F">
        <w:rPr>
          <w:rFonts w:ascii="Palatino Linotype" w:hAnsi="Palatino Linotype"/>
          <w:i/>
          <w:iCs/>
          <w:szCs w:val="26"/>
          <w:u w:val="single"/>
        </w:rPr>
        <w:t>/s/ Rachel Peterson</w:t>
      </w:r>
    </w:p>
    <w:p w:rsidR="00EA481F" w:rsidP="00EA481F" w:rsidRDefault="00EA481F" w14:paraId="5D9DE85F" w14:textId="77777777">
      <w:pPr>
        <w:autoSpaceDE w:val="0"/>
        <w:autoSpaceDN w:val="0"/>
        <w:adjustRightInd w:val="0"/>
        <w:rPr>
          <w:rFonts w:ascii="Palatino Linotype" w:hAnsi="Palatino Linotype" w:eastAsia="Calibri" w:cs="Book Antiqua"/>
          <w:color w:val="000000"/>
          <w:sz w:val="24"/>
          <w:szCs w:val="26"/>
        </w:rPr>
      </w:pP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t>RACHEL PETERSON</w:t>
      </w:r>
    </w:p>
    <w:p w:rsidR="00EA481F" w:rsidP="00EA481F" w:rsidRDefault="00EA481F" w14:paraId="0DE87283" w14:textId="77777777">
      <w:pPr>
        <w:autoSpaceDE w:val="0"/>
        <w:autoSpaceDN w:val="0"/>
        <w:adjustRightInd w:val="0"/>
        <w:rPr>
          <w:rFonts w:ascii="Palatino Linotype" w:hAnsi="Palatino Linotype" w:eastAsia="Calibri" w:cs="Book Antiqua"/>
          <w:color w:val="000000"/>
          <w:sz w:val="24"/>
          <w:szCs w:val="26"/>
        </w:rPr>
      </w:pP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t>Executive Director</w:t>
      </w:r>
    </w:p>
    <w:p w:rsidR="00EA481F" w:rsidP="00EA481F" w:rsidRDefault="00EA481F" w14:paraId="297DB195" w14:textId="77777777">
      <w:pPr>
        <w:autoSpaceDE w:val="0"/>
        <w:autoSpaceDN w:val="0"/>
        <w:adjustRightInd w:val="0"/>
        <w:rPr>
          <w:rFonts w:ascii="Palatino Linotype" w:hAnsi="Palatino Linotype" w:eastAsia="Calibri" w:cs="Book Antiqua"/>
          <w:color w:val="000000"/>
          <w:sz w:val="24"/>
          <w:szCs w:val="26"/>
        </w:rPr>
      </w:pP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p>
    <w:p w:rsidR="00EA481F" w:rsidP="00EA481F" w:rsidRDefault="00EA481F" w14:paraId="56125820" w14:textId="77777777">
      <w:pPr>
        <w:autoSpaceDE w:val="0"/>
        <w:autoSpaceDN w:val="0"/>
        <w:adjustRightInd w:val="0"/>
        <w:ind w:left="5040" w:firstLine="720"/>
        <w:rPr>
          <w:rFonts w:ascii="Palatino Linotype" w:hAnsi="Palatino Linotype" w:eastAsia="Calibri" w:cs="Book Antiqua"/>
          <w:color w:val="000000"/>
          <w:sz w:val="24"/>
          <w:szCs w:val="26"/>
        </w:rPr>
      </w:pPr>
      <w:r>
        <w:rPr>
          <w:rFonts w:ascii="Palatino Linotype" w:hAnsi="Palatino Linotype" w:eastAsia="Calibri" w:cs="Book Antiqua"/>
          <w:color w:val="000000"/>
          <w:sz w:val="24"/>
          <w:szCs w:val="26"/>
        </w:rPr>
        <w:t>MARYBEL BATJER</w:t>
      </w:r>
    </w:p>
    <w:p w:rsidR="00EA481F" w:rsidP="00EA481F" w:rsidRDefault="00EA481F" w14:paraId="18CBA9E8" w14:textId="77777777">
      <w:pPr>
        <w:autoSpaceDE w:val="0"/>
        <w:autoSpaceDN w:val="0"/>
        <w:adjustRightInd w:val="0"/>
        <w:rPr>
          <w:rFonts w:ascii="Palatino Linotype" w:hAnsi="Palatino Linotype" w:eastAsia="Calibri" w:cs="Book Antiqua"/>
          <w:color w:val="000000"/>
          <w:sz w:val="24"/>
          <w:szCs w:val="26"/>
        </w:rPr>
      </w:pP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t xml:space="preserve">      </w:t>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t>President</w:t>
      </w:r>
    </w:p>
    <w:p w:rsidR="00EA481F" w:rsidP="00EA481F" w:rsidRDefault="00EA481F" w14:paraId="5841DA6F" w14:textId="77777777">
      <w:pPr>
        <w:autoSpaceDE w:val="0"/>
        <w:autoSpaceDN w:val="0"/>
        <w:adjustRightInd w:val="0"/>
        <w:rPr>
          <w:rFonts w:ascii="Palatino Linotype" w:hAnsi="Palatino Linotype" w:eastAsia="Calibri" w:cs="Book Antiqua"/>
          <w:color w:val="000000"/>
          <w:sz w:val="24"/>
          <w:szCs w:val="26"/>
        </w:rPr>
      </w:pP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t xml:space="preserve">MARTHA GUZMAN ACEVES </w:t>
      </w:r>
    </w:p>
    <w:p w:rsidR="00EA481F" w:rsidP="00EA481F" w:rsidRDefault="00EA481F" w14:paraId="7165B428" w14:textId="77777777">
      <w:pPr>
        <w:autoSpaceDE w:val="0"/>
        <w:autoSpaceDN w:val="0"/>
        <w:adjustRightInd w:val="0"/>
        <w:ind w:left="5760"/>
        <w:rPr>
          <w:rFonts w:ascii="Palatino Linotype" w:hAnsi="Palatino Linotype" w:eastAsia="Calibri" w:cs="Book Antiqua"/>
          <w:color w:val="000000"/>
          <w:sz w:val="24"/>
          <w:szCs w:val="26"/>
        </w:rPr>
      </w:pPr>
      <w:r>
        <w:rPr>
          <w:rFonts w:ascii="Palatino Linotype" w:hAnsi="Palatino Linotype" w:eastAsia="Calibri" w:cs="Book Antiqua"/>
          <w:color w:val="000000"/>
          <w:sz w:val="24"/>
          <w:szCs w:val="26"/>
        </w:rPr>
        <w:t>CLIFFORD RECHTSCHAFFEN</w:t>
      </w:r>
    </w:p>
    <w:p w:rsidR="00EA481F" w:rsidP="00EA481F" w:rsidRDefault="00EA481F" w14:paraId="65BD4895" w14:textId="77777777">
      <w:pPr>
        <w:autoSpaceDE w:val="0"/>
        <w:autoSpaceDN w:val="0"/>
        <w:adjustRightInd w:val="0"/>
        <w:ind w:left="5760"/>
        <w:rPr>
          <w:rFonts w:ascii="Palatino Linotype" w:hAnsi="Palatino Linotype" w:eastAsia="Calibri" w:cs="Book Antiqua"/>
          <w:color w:val="000000"/>
          <w:sz w:val="24"/>
          <w:szCs w:val="26"/>
        </w:rPr>
      </w:pPr>
      <w:r>
        <w:rPr>
          <w:rFonts w:ascii="Palatino Linotype" w:hAnsi="Palatino Linotype" w:eastAsia="Calibri" w:cs="Book Antiqua"/>
          <w:color w:val="000000"/>
          <w:sz w:val="24"/>
          <w:szCs w:val="26"/>
        </w:rPr>
        <w:t>GENEVIEVE SHIROMA</w:t>
      </w:r>
    </w:p>
    <w:p w:rsidR="00EA481F" w:rsidP="00EA481F" w:rsidRDefault="00EA481F" w14:paraId="29966541" w14:textId="77777777">
      <w:pPr>
        <w:autoSpaceDE w:val="0"/>
        <w:autoSpaceDN w:val="0"/>
        <w:adjustRightInd w:val="0"/>
        <w:ind w:left="5760"/>
        <w:rPr>
          <w:rFonts w:ascii="Palatino Linotype" w:hAnsi="Palatino Linotype" w:eastAsia="Calibri" w:cs="Book Antiqua"/>
          <w:color w:val="000000"/>
          <w:sz w:val="24"/>
          <w:szCs w:val="26"/>
        </w:rPr>
      </w:pPr>
      <w:r>
        <w:rPr>
          <w:rFonts w:ascii="Palatino Linotype" w:hAnsi="Palatino Linotype" w:eastAsia="Calibri" w:cs="Book Antiqua"/>
          <w:color w:val="000000"/>
          <w:sz w:val="24"/>
          <w:szCs w:val="26"/>
        </w:rPr>
        <w:t>DARCIE HOUCK</w:t>
      </w:r>
    </w:p>
    <w:p w:rsidR="00EA481F" w:rsidP="00EA481F" w:rsidRDefault="00EA481F" w14:paraId="09B74263" w14:textId="77777777">
      <w:pPr>
        <w:autoSpaceDE w:val="0"/>
        <w:autoSpaceDN w:val="0"/>
        <w:adjustRightInd w:val="0"/>
        <w:rPr>
          <w:rFonts w:ascii="Palatino Linotype" w:hAnsi="Palatino Linotype" w:eastAsia="Calibri" w:cs="Book Antiqua"/>
          <w:color w:val="000000"/>
          <w:szCs w:val="26"/>
        </w:rPr>
      </w:pP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t xml:space="preserve">       </w:t>
      </w:r>
      <w:r>
        <w:rPr>
          <w:rFonts w:ascii="Palatino Linotype" w:hAnsi="Palatino Linotype" w:eastAsia="Calibri" w:cs="Book Antiqua"/>
          <w:color w:val="000000"/>
          <w:sz w:val="24"/>
          <w:szCs w:val="26"/>
        </w:rPr>
        <w:tab/>
      </w:r>
      <w:r>
        <w:rPr>
          <w:rFonts w:ascii="Palatino Linotype" w:hAnsi="Palatino Linotype" w:eastAsia="Calibri" w:cs="Book Antiqua"/>
          <w:color w:val="000000"/>
          <w:sz w:val="24"/>
          <w:szCs w:val="26"/>
        </w:rPr>
        <w:tab/>
        <w:t>Commissioners</w:t>
      </w:r>
    </w:p>
    <w:p w:rsidR="00762926" w:rsidP="00EA481F" w:rsidRDefault="00762926" w14:paraId="4E560E8E" w14:textId="567A8649">
      <w:pPr>
        <w:tabs>
          <w:tab w:val="left" w:pos="720"/>
          <w:tab w:val="left" w:pos="1152"/>
          <w:tab w:val="left" w:pos="1728"/>
          <w:tab w:val="left" w:pos="3168"/>
          <w:tab w:val="left" w:pos="5040"/>
        </w:tabs>
        <w:ind w:right="144"/>
      </w:pPr>
    </w:p>
    <w:p w:rsidR="00EA481F" w:rsidP="00702964" w:rsidRDefault="00EA481F" w14:paraId="54844034" w14:textId="77777777">
      <w:pPr>
        <w:jc w:val="center"/>
      </w:pPr>
    </w:p>
    <w:p w:rsidR="00EA481F" w:rsidP="00702964" w:rsidRDefault="00EA481F" w14:paraId="41250AF6" w14:textId="77777777">
      <w:pPr>
        <w:jc w:val="center"/>
      </w:pPr>
    </w:p>
    <w:p w:rsidR="00EA481F" w:rsidP="00702964" w:rsidRDefault="00EA481F" w14:paraId="4EA03C23" w14:textId="77777777">
      <w:pPr>
        <w:jc w:val="center"/>
      </w:pPr>
    </w:p>
    <w:p w:rsidR="00EA481F" w:rsidP="00702964" w:rsidRDefault="00EA481F" w14:paraId="6CC1A8DC" w14:textId="77777777">
      <w:pPr>
        <w:jc w:val="center"/>
      </w:pPr>
    </w:p>
    <w:p w:rsidR="00EA481F" w:rsidP="00702964" w:rsidRDefault="00EA481F" w14:paraId="7ED84957" w14:textId="77777777">
      <w:pPr>
        <w:jc w:val="center"/>
      </w:pPr>
    </w:p>
    <w:p w:rsidR="00EA481F" w:rsidP="00702964" w:rsidRDefault="00EA481F" w14:paraId="0BEA2154" w14:textId="77777777">
      <w:pPr>
        <w:jc w:val="center"/>
      </w:pPr>
    </w:p>
    <w:p w:rsidR="00EA481F" w:rsidP="00702964" w:rsidRDefault="00EA481F" w14:paraId="09A86198" w14:textId="77777777">
      <w:pPr>
        <w:jc w:val="center"/>
      </w:pPr>
    </w:p>
    <w:p w:rsidR="00EA481F" w:rsidP="00702964" w:rsidRDefault="00EA481F" w14:paraId="7F56D511" w14:textId="77777777">
      <w:pPr>
        <w:jc w:val="center"/>
      </w:pPr>
    </w:p>
    <w:p w:rsidR="00EA481F" w:rsidP="00702964" w:rsidRDefault="00EA481F" w14:paraId="3CC438EB" w14:textId="77777777">
      <w:pPr>
        <w:jc w:val="center"/>
      </w:pPr>
    </w:p>
    <w:p w:rsidR="00EA481F" w:rsidP="00702964" w:rsidRDefault="00EA481F" w14:paraId="7948307C" w14:textId="77777777">
      <w:pPr>
        <w:jc w:val="center"/>
      </w:pPr>
    </w:p>
    <w:p w:rsidR="00EA481F" w:rsidP="00702964" w:rsidRDefault="00EA481F" w14:paraId="79BA2634" w14:textId="77777777">
      <w:pPr>
        <w:jc w:val="center"/>
      </w:pPr>
    </w:p>
    <w:p w:rsidR="00EA481F" w:rsidP="00702964" w:rsidRDefault="00EA481F" w14:paraId="641292BC" w14:textId="77777777">
      <w:pPr>
        <w:jc w:val="center"/>
      </w:pPr>
    </w:p>
    <w:p w:rsidR="00EA481F" w:rsidP="00702964" w:rsidRDefault="00EA481F" w14:paraId="4A5DB0CB" w14:textId="77777777">
      <w:pPr>
        <w:jc w:val="center"/>
      </w:pPr>
    </w:p>
    <w:p w:rsidR="00EA481F" w:rsidP="00702964" w:rsidRDefault="00EA481F" w14:paraId="47392EE7" w14:textId="77777777">
      <w:pPr>
        <w:jc w:val="center"/>
      </w:pPr>
    </w:p>
    <w:p w:rsidR="00EA481F" w:rsidP="00702964" w:rsidRDefault="00EA481F" w14:paraId="7B12C6F9" w14:textId="77777777">
      <w:pPr>
        <w:jc w:val="center"/>
      </w:pPr>
    </w:p>
    <w:p w:rsidR="00EA481F" w:rsidP="00702964" w:rsidRDefault="00EA481F" w14:paraId="2D1EA0CC" w14:textId="77777777">
      <w:pPr>
        <w:jc w:val="center"/>
      </w:pPr>
    </w:p>
    <w:p w:rsidR="00EA481F" w:rsidP="00702964" w:rsidRDefault="00EA481F" w14:paraId="5294F703" w14:textId="77777777">
      <w:pPr>
        <w:jc w:val="center"/>
      </w:pPr>
    </w:p>
    <w:p w:rsidR="00EA481F" w:rsidP="00702964" w:rsidRDefault="00EA481F" w14:paraId="0455D35A" w14:textId="77777777">
      <w:pPr>
        <w:jc w:val="center"/>
      </w:pPr>
    </w:p>
    <w:p w:rsidR="00EA481F" w:rsidP="00702964" w:rsidRDefault="00EA481F" w14:paraId="054E4247" w14:textId="77777777">
      <w:pPr>
        <w:jc w:val="center"/>
      </w:pPr>
    </w:p>
    <w:p w:rsidR="00EA481F" w:rsidP="00702964" w:rsidRDefault="00EA481F" w14:paraId="164BF0E6" w14:textId="77777777">
      <w:pPr>
        <w:jc w:val="center"/>
      </w:pPr>
    </w:p>
    <w:p w:rsidR="00EA481F" w:rsidP="00702964" w:rsidRDefault="00EA481F" w14:paraId="2086EF5E" w14:textId="77777777">
      <w:pPr>
        <w:jc w:val="center"/>
      </w:pPr>
    </w:p>
    <w:p w:rsidR="00EA481F" w:rsidP="00702964" w:rsidRDefault="00EA481F" w14:paraId="6C5BBB45" w14:textId="77777777">
      <w:pPr>
        <w:jc w:val="center"/>
      </w:pPr>
    </w:p>
    <w:p w:rsidR="00EA481F" w:rsidP="00702964" w:rsidRDefault="00EA481F" w14:paraId="39F2A970" w14:textId="77777777">
      <w:pPr>
        <w:jc w:val="center"/>
      </w:pPr>
    </w:p>
    <w:p w:rsidR="00EA481F" w:rsidP="00702964" w:rsidRDefault="00EA481F" w14:paraId="1628CFA5" w14:textId="77777777">
      <w:pPr>
        <w:jc w:val="center"/>
      </w:pPr>
    </w:p>
    <w:p w:rsidR="00EA481F" w:rsidP="00702964" w:rsidRDefault="00EA481F" w14:paraId="7CF4E3B9" w14:textId="77777777">
      <w:pPr>
        <w:jc w:val="center"/>
      </w:pPr>
    </w:p>
    <w:p w:rsidR="00EA481F" w:rsidP="00702964" w:rsidRDefault="00EA481F" w14:paraId="4704B771" w14:textId="77777777">
      <w:pPr>
        <w:jc w:val="center"/>
      </w:pPr>
    </w:p>
    <w:p w:rsidR="00EA481F" w:rsidP="00702964" w:rsidRDefault="00EA481F" w14:paraId="2A73517D" w14:textId="77777777">
      <w:pPr>
        <w:jc w:val="center"/>
      </w:pPr>
    </w:p>
    <w:p w:rsidR="00EA481F" w:rsidP="00702964" w:rsidRDefault="00EA481F" w14:paraId="0A811462" w14:textId="77777777">
      <w:pPr>
        <w:jc w:val="center"/>
      </w:pPr>
    </w:p>
    <w:p w:rsidR="00EA481F" w:rsidP="00702964" w:rsidRDefault="00EA481F" w14:paraId="7EA2FB79" w14:textId="77777777">
      <w:pPr>
        <w:jc w:val="center"/>
      </w:pPr>
    </w:p>
    <w:p w:rsidR="00EA481F" w:rsidP="00702964" w:rsidRDefault="00EA481F" w14:paraId="1AD9C1E3" w14:textId="77777777">
      <w:pPr>
        <w:jc w:val="center"/>
      </w:pPr>
    </w:p>
    <w:p w:rsidR="00EA481F" w:rsidP="00702964" w:rsidRDefault="00EA481F" w14:paraId="452FEC09" w14:textId="77777777">
      <w:pPr>
        <w:jc w:val="center"/>
      </w:pPr>
    </w:p>
    <w:p w:rsidR="00EA481F" w:rsidP="00702964" w:rsidRDefault="00EA481F" w14:paraId="552E99BF" w14:textId="77777777">
      <w:pPr>
        <w:jc w:val="center"/>
      </w:pPr>
    </w:p>
    <w:p w:rsidR="00EA481F" w:rsidP="00702964" w:rsidRDefault="00EA481F" w14:paraId="0F9C44C6" w14:textId="77777777">
      <w:pPr>
        <w:jc w:val="center"/>
      </w:pPr>
    </w:p>
    <w:p w:rsidR="00EA481F" w:rsidP="00702964" w:rsidRDefault="00EA481F" w14:paraId="1F638FC0" w14:textId="77777777">
      <w:pPr>
        <w:jc w:val="center"/>
      </w:pPr>
    </w:p>
    <w:p w:rsidR="00EA481F" w:rsidP="00702964" w:rsidRDefault="00EA481F" w14:paraId="7836BA9A" w14:textId="77777777">
      <w:pPr>
        <w:jc w:val="center"/>
      </w:pPr>
    </w:p>
    <w:p w:rsidR="00EA481F" w:rsidP="0054612B" w:rsidRDefault="00EA481F" w14:paraId="1C88AC89" w14:textId="77777777"/>
    <w:p w:rsidR="00EA481F" w:rsidP="00702964" w:rsidRDefault="00EA481F" w14:paraId="0ABF34D3" w14:textId="77777777">
      <w:pPr>
        <w:jc w:val="center"/>
      </w:pPr>
    </w:p>
    <w:p w:rsidR="00EA481F" w:rsidP="00702964" w:rsidRDefault="00EA481F" w14:paraId="74B8B7B3" w14:textId="77777777">
      <w:pPr>
        <w:jc w:val="center"/>
      </w:pPr>
    </w:p>
    <w:p w:rsidR="00EA481F" w:rsidP="00702964" w:rsidRDefault="00EA481F" w14:paraId="6D613201" w14:textId="77777777">
      <w:pPr>
        <w:jc w:val="center"/>
      </w:pPr>
    </w:p>
    <w:p w:rsidR="00EA481F" w:rsidP="00702964" w:rsidRDefault="00EA481F" w14:paraId="53602114" w14:textId="77777777">
      <w:pPr>
        <w:jc w:val="center"/>
      </w:pPr>
    </w:p>
    <w:p w:rsidR="00EA481F" w:rsidP="00702964" w:rsidRDefault="00EA481F" w14:paraId="58163906" w14:textId="77777777">
      <w:pPr>
        <w:jc w:val="center"/>
      </w:pPr>
    </w:p>
    <w:p w:rsidR="00EA481F" w:rsidP="00702964" w:rsidRDefault="00EA481F" w14:paraId="11C675FC" w14:textId="77777777">
      <w:pPr>
        <w:jc w:val="center"/>
      </w:pPr>
    </w:p>
    <w:p w:rsidR="00EA481F" w:rsidP="00702964" w:rsidRDefault="00EA481F" w14:paraId="3D9BF739" w14:textId="77777777">
      <w:pPr>
        <w:jc w:val="center"/>
      </w:pPr>
    </w:p>
    <w:p w:rsidR="00EA481F" w:rsidP="00702964" w:rsidRDefault="00EA481F" w14:paraId="6D32E828" w14:textId="77777777">
      <w:pPr>
        <w:jc w:val="center"/>
      </w:pPr>
    </w:p>
    <w:p w:rsidR="00EA481F" w:rsidP="00702964" w:rsidRDefault="00EA481F" w14:paraId="2C3D150B" w14:textId="77777777">
      <w:pPr>
        <w:jc w:val="center"/>
      </w:pPr>
    </w:p>
    <w:p w:rsidR="00011AB6" w:rsidP="00702964" w:rsidRDefault="00E83245" w14:paraId="61C39FFC" w14:textId="55014190">
      <w:pPr>
        <w:jc w:val="center"/>
      </w:pPr>
      <w:r>
        <w:br w:type="page"/>
      </w:r>
    </w:p>
    <w:p w:rsidR="00602A0E" w:rsidP="00602A0E" w:rsidRDefault="00602A0E" w14:paraId="76649367" w14:textId="77777777">
      <w:pPr>
        <w:pStyle w:val="Heading1"/>
      </w:pPr>
      <w:r>
        <w:lastRenderedPageBreak/>
        <w:t>Confidential Appendix A</w:t>
      </w:r>
    </w:p>
    <w:p w:rsidR="00602A0E" w:rsidP="00602A0E" w:rsidRDefault="00602A0E" w14:paraId="0B77DEDE" w14:textId="77777777"/>
    <w:p w:rsidRPr="00717F3D" w:rsidR="00602A0E" w:rsidP="00602A0E" w:rsidRDefault="00602A0E" w14:paraId="10AD9549" w14:textId="77777777">
      <w:r w:rsidRPr="00717F3D">
        <w:t>Evaluation Summary of the Agreement with Escalante Solar III, LLC</w:t>
      </w:r>
    </w:p>
    <w:p w:rsidR="00011AB6" w:rsidP="00011AB6" w:rsidRDefault="00011AB6" w14:paraId="48746ADD" w14:textId="77777777"/>
    <w:p w:rsidR="00E83245" w:rsidP="00702964" w:rsidRDefault="00011AB6" w14:paraId="58D6199E" w14:textId="6971C3CC">
      <w:pPr>
        <w:jc w:val="center"/>
        <w:rPr>
          <w:rFonts w:ascii="Helvetica" w:hAnsi="Helvetica"/>
          <w:b/>
          <w:caps/>
          <w:kern w:val="28"/>
          <w:u w:val="single"/>
        </w:rPr>
      </w:pPr>
      <w:r>
        <w:t>[</w:t>
      </w:r>
      <w:r w:rsidR="00702964">
        <w:t>R</w:t>
      </w:r>
      <w:r>
        <w:t>EDACTED]</w:t>
      </w:r>
    </w:p>
    <w:sectPr w:rsidR="00E83245">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C3C3" w14:textId="77777777" w:rsidR="00E24006" w:rsidRDefault="00E24006">
      <w:r>
        <w:separator/>
      </w:r>
    </w:p>
  </w:endnote>
  <w:endnote w:type="continuationSeparator" w:id="0">
    <w:p w14:paraId="4F7628A5" w14:textId="77777777" w:rsidR="00E24006" w:rsidRDefault="00E2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D11B" w14:textId="77777777" w:rsidR="00E72481" w:rsidRDefault="00E7248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5F3F7BC8" w:rsidR="00E72481" w:rsidRDefault="00F60F9A" w:rsidP="00F60F9A">
    <w:pPr>
      <w:pStyle w:val="Footer"/>
      <w:tabs>
        <w:tab w:val="clear" w:pos="4320"/>
        <w:tab w:val="center" w:pos="4680"/>
      </w:tabs>
      <w:jc w:val="left"/>
    </w:pPr>
    <w:r w:rsidRPr="00F60F9A">
      <w:rPr>
        <w:rStyle w:val="PageNumber"/>
      </w:rPr>
      <w:t xml:space="preserve">  </w:t>
    </w:r>
    <w:r w:rsidR="00264740" w:rsidRPr="00264740">
      <w:rPr>
        <w:rStyle w:val="PageNumber"/>
      </w:rPr>
      <w:t>382858733</w:t>
    </w:r>
    <w:r>
      <w:rPr>
        <w:rStyle w:val="PageNumber"/>
      </w:rPr>
      <w:tab/>
    </w:r>
    <w:r w:rsidR="00E72481">
      <w:rPr>
        <w:rStyle w:val="PageNumber"/>
      </w:rPr>
      <w:fldChar w:fldCharType="begin"/>
    </w:r>
    <w:r w:rsidR="00E72481">
      <w:rPr>
        <w:rStyle w:val="PageNumber"/>
      </w:rPr>
      <w:instrText xml:space="preserve"> PAGE </w:instrText>
    </w:r>
    <w:r w:rsidR="00E72481">
      <w:rPr>
        <w:rStyle w:val="PageNumber"/>
      </w:rPr>
      <w:fldChar w:fldCharType="separate"/>
    </w:r>
    <w:r w:rsidR="00E72481">
      <w:rPr>
        <w:rStyle w:val="PageNumber"/>
        <w:noProof/>
      </w:rPr>
      <w:t>1</w:t>
    </w:r>
    <w:r w:rsidR="00E7248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1ABC" w14:textId="77777777" w:rsidR="00E24006" w:rsidRDefault="00E24006">
      <w:r>
        <w:separator/>
      </w:r>
    </w:p>
  </w:footnote>
  <w:footnote w:type="continuationSeparator" w:id="0">
    <w:p w14:paraId="6646E481" w14:textId="77777777" w:rsidR="00E24006" w:rsidRDefault="00E24006">
      <w:r>
        <w:continuationSeparator/>
      </w:r>
    </w:p>
  </w:footnote>
  <w:footnote w:type="continuationNotice" w:id="1">
    <w:p w14:paraId="0110525F" w14:textId="77777777" w:rsidR="00E24006" w:rsidRDefault="00E24006">
      <w:pPr>
        <w:rPr>
          <w:sz w:val="22"/>
        </w:rPr>
      </w:pPr>
    </w:p>
    <w:p w14:paraId="6A34B557" w14:textId="77777777" w:rsidR="00E24006" w:rsidRDefault="00E24006">
      <w:pPr>
        <w:jc w:val="right"/>
        <w:rPr>
          <w:sz w:val="22"/>
        </w:rPr>
      </w:pPr>
      <w:r>
        <w:rPr>
          <w:i/>
          <w:sz w:val="22"/>
        </w:rPr>
        <w:t>Footnote continued on next page</w:t>
      </w:r>
    </w:p>
  </w:footnote>
  <w:footnote w:id="2">
    <w:p w14:paraId="636309DC" w14:textId="50349AFF" w:rsidR="00E72481" w:rsidRPr="00717F3D" w:rsidRDefault="00E72481" w:rsidP="00A07D69">
      <w:pPr>
        <w:pStyle w:val="NoSpacing"/>
        <w:rPr>
          <w:sz w:val="24"/>
          <w:szCs w:val="24"/>
        </w:rPr>
      </w:pPr>
      <w:r w:rsidRPr="00717F3D">
        <w:rPr>
          <w:rStyle w:val="FootnoteReference"/>
          <w:sz w:val="24"/>
          <w:szCs w:val="24"/>
        </w:rPr>
        <w:footnoteRef/>
      </w:r>
      <w:r w:rsidRPr="00717F3D">
        <w:rPr>
          <w:sz w:val="24"/>
          <w:szCs w:val="24"/>
        </w:rPr>
        <w:t xml:space="preserve"> SB 1078 (Sher, Chapter 516, Statutes of 2002); SB 107 (Simitian, Chapter 464, Statutes of 2006); SB 1036 (Perata, Chapter 685, Statutes of 2007); SB 2 (1X) (Simitian, Chapter 1, Statutes of 2011, First Extraordinary Session); SB 350 (de León, Chapter 547, Statutes of 2015; SB 100 (de León, Chapter 312, Statutes of 2018), effective on January 1, 2019.</w:t>
      </w:r>
    </w:p>
  </w:footnote>
  <w:footnote w:id="3">
    <w:p w14:paraId="27A1B237" w14:textId="77777777" w:rsidR="00E72481" w:rsidRPr="00717F3D" w:rsidRDefault="00E72481" w:rsidP="00AF1E58">
      <w:pPr>
        <w:pStyle w:val="NoSpacing"/>
        <w:rPr>
          <w:sz w:val="24"/>
          <w:szCs w:val="24"/>
        </w:rPr>
      </w:pPr>
      <w:r w:rsidRPr="00717F3D">
        <w:rPr>
          <w:rStyle w:val="FootnoteReference"/>
          <w:sz w:val="24"/>
          <w:szCs w:val="24"/>
        </w:rPr>
        <w:footnoteRef/>
      </w:r>
      <w:r w:rsidRPr="00717F3D">
        <w:rPr>
          <w:sz w:val="24"/>
          <w:szCs w:val="24"/>
        </w:rPr>
        <w:t xml:space="preserve"> All further statutory references are to the Public Utilities Code unless otherwise specified.</w:t>
      </w:r>
    </w:p>
  </w:footnote>
  <w:footnote w:id="4">
    <w:p w14:paraId="113023CA" w14:textId="77777777" w:rsidR="00E72481" w:rsidRPr="00717F3D" w:rsidRDefault="00E72481" w:rsidP="00AD5FB1">
      <w:pPr>
        <w:pStyle w:val="FootnoteText"/>
        <w:numPr>
          <w:ilvl w:val="0"/>
          <w:numId w:val="0"/>
        </w:numPr>
        <w:ind w:left="360" w:hanging="360"/>
        <w:rPr>
          <w:szCs w:val="24"/>
        </w:rPr>
      </w:pPr>
      <w:r w:rsidRPr="00717F3D">
        <w:rPr>
          <w:rStyle w:val="FootnoteReference"/>
          <w:szCs w:val="24"/>
        </w:rPr>
        <w:footnoteRef/>
      </w:r>
      <w:r w:rsidRPr="00717F3D">
        <w:rPr>
          <w:szCs w:val="24"/>
        </w:rPr>
        <w:t xml:space="preserve"> SB 100 (De León, Chapter 312, Statutes of 2018) effective on January 1, 2019.</w:t>
      </w:r>
    </w:p>
  </w:footnote>
  <w:footnote w:id="5">
    <w:p w14:paraId="7DF03963" w14:textId="7BBCA7A0" w:rsidR="00E72481" w:rsidRDefault="00E72481" w:rsidP="003A2D92">
      <w:pPr>
        <w:pStyle w:val="FootnoteText"/>
        <w:numPr>
          <w:ilvl w:val="0"/>
          <w:numId w:val="0"/>
        </w:numPr>
        <w:spacing w:after="0"/>
        <w:ind w:left="360" w:hanging="360"/>
        <w:contextualSpacing/>
      </w:pPr>
      <w:r>
        <w:rPr>
          <w:rStyle w:val="FootnoteReference"/>
        </w:rPr>
        <w:footnoteRef/>
      </w:r>
      <w:r>
        <w:t xml:space="preserve"> Previously numbered as PU Code Section 399.16(a)(6)</w:t>
      </w:r>
    </w:p>
  </w:footnote>
  <w:footnote w:id="6">
    <w:p w14:paraId="162D7457" w14:textId="5B2DEB47" w:rsidR="00E72481" w:rsidRPr="007C4558" w:rsidRDefault="00E72481" w:rsidP="003A2D92">
      <w:pPr>
        <w:autoSpaceDE w:val="0"/>
        <w:autoSpaceDN w:val="0"/>
        <w:adjustRightInd w:val="0"/>
        <w:contextualSpacing/>
        <w:rPr>
          <w:sz w:val="24"/>
        </w:rPr>
      </w:pPr>
      <w:r w:rsidRPr="0031221D">
        <w:rPr>
          <w:rStyle w:val="FootnoteReference"/>
        </w:rPr>
        <w:footnoteRef/>
      </w:r>
      <w:r>
        <w:rPr>
          <w:sz w:val="24"/>
          <w:szCs w:val="24"/>
        </w:rPr>
        <w:t xml:space="preserve"> </w:t>
      </w:r>
      <w:r w:rsidRPr="00ED446D">
        <w:rPr>
          <w:sz w:val="24"/>
          <w:szCs w:val="24"/>
        </w:rPr>
        <w:t xml:space="preserve">D.10-03-021 </w:t>
      </w:r>
      <w:r>
        <w:rPr>
          <w:sz w:val="24"/>
          <w:szCs w:val="24"/>
        </w:rPr>
        <w:t>p.</w:t>
      </w:r>
      <w:r w:rsidRPr="00ED446D">
        <w:rPr>
          <w:sz w:val="24"/>
          <w:szCs w:val="24"/>
        </w:rPr>
        <w:t xml:space="preserve"> 69</w:t>
      </w:r>
      <w:r w:rsidRPr="00F4684F">
        <w:rPr>
          <w:sz w:val="24"/>
          <w:szCs w:val="24"/>
        </w:rPr>
        <w:t>.</w:t>
      </w:r>
    </w:p>
  </w:footnote>
  <w:footnote w:id="7">
    <w:p w14:paraId="3FF07B7F" w14:textId="343BA9A2" w:rsidR="00E72481" w:rsidRDefault="00E72481" w:rsidP="00DE0F6A">
      <w:pPr>
        <w:pStyle w:val="FootnoteText"/>
        <w:numPr>
          <w:ilvl w:val="0"/>
          <w:numId w:val="0"/>
        </w:numPr>
        <w:contextualSpacing/>
      </w:pPr>
      <w:r>
        <w:rPr>
          <w:rStyle w:val="FootnoteReference"/>
        </w:rPr>
        <w:footnoteRef/>
      </w:r>
      <w:r>
        <w:t xml:space="preserve"> </w:t>
      </w:r>
      <w:r w:rsidRPr="000C3F61">
        <w:rPr>
          <w:i/>
          <w:iCs/>
        </w:rPr>
        <w:t>Monticello Wind Farm, LLC v. Public Service Commission of Utah</w:t>
      </w:r>
      <w:r>
        <w:t xml:space="preserve"> (Utah 2019) 449 P.3d 128, 142; </w:t>
      </w:r>
      <w:r w:rsidRPr="00DE0F6A">
        <w:rPr>
          <w:i/>
          <w:iCs/>
        </w:rPr>
        <w:t>see also</w:t>
      </w:r>
      <w:r>
        <w:rPr>
          <w:i/>
          <w:iCs/>
        </w:rPr>
        <w:t>,</w:t>
      </w:r>
      <w:r>
        <w:t xml:space="preserve"> </w:t>
      </w:r>
      <w:r w:rsidRPr="000C3F61">
        <w:rPr>
          <w:i/>
          <w:iCs/>
        </w:rPr>
        <w:t>In Re PacifiCorp</w:t>
      </w:r>
      <w:r>
        <w:t xml:space="preserve"> (Oct. 31, 2005) No. 03-035-14, 2005 WL 3710324 (“REC ownership is a contractual issue between the QF and the Company.”).</w:t>
      </w:r>
    </w:p>
  </w:footnote>
  <w:footnote w:id="8">
    <w:p w14:paraId="1CF1F112" w14:textId="1F1D9CE7" w:rsidR="00E72481" w:rsidRDefault="00E72481" w:rsidP="00DE0F6A">
      <w:pPr>
        <w:pStyle w:val="FootnoteText"/>
        <w:numPr>
          <w:ilvl w:val="0"/>
          <w:numId w:val="0"/>
        </w:numPr>
        <w:spacing w:after="0"/>
        <w:contextualSpacing/>
      </w:pPr>
      <w:r>
        <w:rPr>
          <w:rStyle w:val="FootnoteReference"/>
        </w:rPr>
        <w:footnoteRef/>
      </w:r>
      <w:r>
        <w:t xml:space="preserve"> </w:t>
      </w:r>
      <w:r w:rsidRPr="005D587B">
        <w:t>“Delivery” requirement for RPS eligibility was repealed in D.11-12-052</w:t>
      </w:r>
      <w:r>
        <w:t>.</w:t>
      </w:r>
    </w:p>
  </w:footnote>
  <w:footnote w:id="9">
    <w:p w14:paraId="5D666469" w14:textId="4E191B5D" w:rsidR="00E72481" w:rsidRDefault="00E72481" w:rsidP="00DE0F6A">
      <w:pPr>
        <w:pStyle w:val="FootnoteText"/>
        <w:numPr>
          <w:ilvl w:val="0"/>
          <w:numId w:val="0"/>
        </w:numPr>
        <w:spacing w:after="0"/>
        <w:contextualSpacing/>
      </w:pPr>
      <w:r>
        <w:rPr>
          <w:rStyle w:val="FootnoteReference"/>
        </w:rPr>
        <w:footnoteRef/>
      </w:r>
      <w:r>
        <w:t xml:space="preserve"> Simitian, Stats. 2011, ch. 1.</w:t>
      </w:r>
    </w:p>
  </w:footnote>
  <w:footnote w:id="10">
    <w:p w14:paraId="1F809A7C" w14:textId="601AA930" w:rsidR="00E72481" w:rsidRDefault="00E72481" w:rsidP="00AD5FB1">
      <w:pPr>
        <w:pStyle w:val="FootnoteText"/>
        <w:numPr>
          <w:ilvl w:val="0"/>
          <w:numId w:val="0"/>
        </w:numPr>
      </w:pPr>
      <w:r>
        <w:rPr>
          <w:rStyle w:val="FootnoteReference"/>
        </w:rPr>
        <w:footnoteRef/>
      </w:r>
      <w:r>
        <w:t xml:space="preserve"> </w:t>
      </w:r>
      <w:r w:rsidRPr="00823BB9">
        <w:t>D.11-12-052, pp. 8, 12.</w:t>
      </w:r>
    </w:p>
  </w:footnote>
  <w:footnote w:id="11">
    <w:p w14:paraId="20227774" w14:textId="77777777" w:rsidR="00E72481" w:rsidRPr="001077C8" w:rsidRDefault="00E72481" w:rsidP="00E83245">
      <w:pPr>
        <w:pStyle w:val="FootnoteText"/>
        <w:numPr>
          <w:ilvl w:val="0"/>
          <w:numId w:val="0"/>
        </w:numPr>
        <w:contextualSpacing/>
        <w:rPr>
          <w:sz w:val="22"/>
          <w:szCs w:val="22"/>
        </w:rPr>
      </w:pPr>
      <w:r>
        <w:rPr>
          <w:rStyle w:val="FootnoteReference"/>
        </w:rPr>
        <w:footnoteRef/>
      </w:r>
      <w:r>
        <w:t xml:space="preserve">  </w:t>
      </w:r>
      <w:r w:rsidRPr="001077C8">
        <w:rPr>
          <w:i/>
          <w:sz w:val="22"/>
          <w:szCs w:val="22"/>
        </w:rPr>
        <w:t xml:space="preserve">See, e.g. </w:t>
      </w:r>
      <w:r w:rsidRPr="001077C8">
        <w:rPr>
          <w:sz w:val="22"/>
          <w:szCs w:val="22"/>
        </w:rPr>
        <w:t>D. 08-04-009 at Appendix A, STC 6, Eligibility.</w:t>
      </w:r>
    </w:p>
  </w:footnote>
  <w:footnote w:id="12">
    <w:p w14:paraId="654D68E4" w14:textId="77777777" w:rsidR="00E72481" w:rsidRPr="001077C8" w:rsidRDefault="00E72481" w:rsidP="00E83245">
      <w:pPr>
        <w:pStyle w:val="FootnoteText"/>
        <w:numPr>
          <w:ilvl w:val="0"/>
          <w:numId w:val="0"/>
        </w:numPr>
        <w:contextualSpacing/>
        <w:rPr>
          <w:sz w:val="22"/>
          <w:szCs w:val="22"/>
        </w:rPr>
      </w:pPr>
      <w:r>
        <w:rPr>
          <w:rStyle w:val="FootnoteReference"/>
        </w:rPr>
        <w:footnoteRef/>
      </w:r>
      <w:r>
        <w:t xml:space="preserve">  </w:t>
      </w:r>
      <w:r w:rsidRPr="001077C8">
        <w:rPr>
          <w:i/>
          <w:sz w:val="22"/>
          <w:szCs w:val="22"/>
        </w:rPr>
        <w:t xml:space="preserve">See, e.g. </w:t>
      </w:r>
      <w:r w:rsidRPr="001077C8">
        <w:rPr>
          <w:sz w:val="22"/>
          <w:szCs w:val="22"/>
        </w:rPr>
        <w:t>D. 08-04-009 at Appendix A, STC 1, CPUC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349" w14:textId="77F3ABAA" w:rsidR="00E72481" w:rsidRDefault="00E72481">
    <w:pPr>
      <w:pStyle w:val="Header"/>
      <w:tabs>
        <w:tab w:val="clear" w:pos="4320"/>
        <w:tab w:val="clear" w:pos="8640"/>
        <w:tab w:val="center" w:pos="4680"/>
        <w:tab w:val="right" w:pos="9180"/>
      </w:tabs>
    </w:pPr>
    <w:r>
      <w:t>Resolution E-5128</w:t>
    </w:r>
    <w:r>
      <w:tab/>
    </w:r>
    <w:r>
      <w:tab/>
    </w:r>
    <w:r w:rsidR="00C80BD8">
      <w:t>May 6, 2021</w:t>
    </w:r>
  </w:p>
  <w:p w14:paraId="279E5C15" w14:textId="650CCFB1" w:rsidR="00E72481" w:rsidRDefault="00E72481">
    <w:pPr>
      <w:pStyle w:val="Header"/>
      <w:tabs>
        <w:tab w:val="clear" w:pos="4320"/>
        <w:tab w:val="clear" w:pos="8640"/>
        <w:tab w:val="center" w:pos="4680"/>
        <w:tab w:val="right" w:pos="9180"/>
      </w:tabs>
    </w:pPr>
    <w:r>
      <w:t>PacifiCorp AL 617-E/E-A/MB7</w:t>
    </w:r>
  </w:p>
  <w:p w14:paraId="013F4CD4" w14:textId="77777777" w:rsidR="00E72481" w:rsidRDefault="00E72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F806" w14:textId="16338514" w:rsidR="00E72481" w:rsidRPr="00EA481F" w:rsidRDefault="00EA481F" w:rsidP="00EA481F">
    <w:pPr>
      <w:pStyle w:val="Header"/>
    </w:pPr>
    <w:bookmarkStart w:id="4" w:name="_Hlk71278985"/>
    <w:bookmarkStart w:id="5" w:name="_Hlk71278986"/>
    <w:bookmarkStart w:id="6" w:name="_Hlk71278987"/>
    <w:bookmarkStart w:id="7" w:name="_Hlk71278988"/>
    <w:r>
      <w:tab/>
    </w:r>
    <w:r>
      <w:tab/>
      <w:t>Date of Issuance: May 7, 2021</w: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F522D"/>
    <w:multiLevelType w:val="hybridMultilevel"/>
    <w:tmpl w:val="C014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2641"/>
    <w:multiLevelType w:val="hybridMultilevel"/>
    <w:tmpl w:val="47FE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92D33"/>
    <w:multiLevelType w:val="hybridMultilevel"/>
    <w:tmpl w:val="557043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5"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0F7C05"/>
    <w:multiLevelType w:val="hybridMultilevel"/>
    <w:tmpl w:val="3AC04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9A009C"/>
    <w:multiLevelType w:val="hybridMultilevel"/>
    <w:tmpl w:val="163698F0"/>
    <w:lvl w:ilvl="0" w:tplc="68783A5A">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C7277FC"/>
    <w:multiLevelType w:val="hybridMultilevel"/>
    <w:tmpl w:val="AFC8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4" w15:restartNumberingAfterBreak="0">
    <w:nsid w:val="5A357CF8"/>
    <w:multiLevelType w:val="hybridMultilevel"/>
    <w:tmpl w:val="FB241C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F58D9"/>
    <w:multiLevelType w:val="hybridMultilevel"/>
    <w:tmpl w:val="590A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E11B0"/>
    <w:multiLevelType w:val="hybridMultilevel"/>
    <w:tmpl w:val="3BAA3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8F6E11"/>
    <w:multiLevelType w:val="hybridMultilevel"/>
    <w:tmpl w:val="B3FA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8"/>
  </w:num>
  <w:num w:numId="4">
    <w:abstractNumId w:val="13"/>
  </w:num>
  <w:num w:numId="5">
    <w:abstractNumId w:val="5"/>
  </w:num>
  <w:num w:numId="6">
    <w:abstractNumId w:val="9"/>
  </w:num>
  <w:num w:numId="7">
    <w:abstractNumId w:val="19"/>
  </w:num>
  <w:num w:numId="8">
    <w:abstractNumId w:val="21"/>
  </w:num>
  <w:num w:numId="9">
    <w:abstractNumId w:val="7"/>
  </w:num>
  <w:num w:numId="10">
    <w:abstractNumId w:val="15"/>
  </w:num>
  <w:num w:numId="11">
    <w:abstractNumId w:val="0"/>
  </w:num>
  <w:num w:numId="12">
    <w:abstractNumId w:val="18"/>
  </w:num>
  <w:num w:numId="13">
    <w:abstractNumId w:val="1"/>
  </w:num>
  <w:num w:numId="14">
    <w:abstractNumId w:val="20"/>
  </w:num>
  <w:num w:numId="15">
    <w:abstractNumId w:val="2"/>
  </w:num>
  <w:num w:numId="16">
    <w:abstractNumId w:val="3"/>
  </w:num>
  <w:num w:numId="17">
    <w:abstractNumId w:val="6"/>
  </w:num>
  <w:num w:numId="18">
    <w:abstractNumId w:val="12"/>
  </w:num>
  <w:num w:numId="19">
    <w:abstractNumId w:val="10"/>
  </w:num>
  <w:num w:numId="20">
    <w:abstractNumId w:val="16"/>
  </w:num>
  <w:num w:numId="21">
    <w:abstractNumId w:val="14"/>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n-US" w:vendorID="8" w:dllVersion="513" w:checkStyle="1" w:appName="MSWor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36D6"/>
    <w:rsid w:val="00011AB6"/>
    <w:rsid w:val="00012D45"/>
    <w:rsid w:val="000140DA"/>
    <w:rsid w:val="00024AA4"/>
    <w:rsid w:val="00024C89"/>
    <w:rsid w:val="00025975"/>
    <w:rsid w:val="000373D2"/>
    <w:rsid w:val="00041E8C"/>
    <w:rsid w:val="00053358"/>
    <w:rsid w:val="00055467"/>
    <w:rsid w:val="00055560"/>
    <w:rsid w:val="00064FDD"/>
    <w:rsid w:val="00067AC5"/>
    <w:rsid w:val="00071BAE"/>
    <w:rsid w:val="00072378"/>
    <w:rsid w:val="000771FA"/>
    <w:rsid w:val="00083173"/>
    <w:rsid w:val="000A3833"/>
    <w:rsid w:val="000B5D11"/>
    <w:rsid w:val="000C3F61"/>
    <w:rsid w:val="000D2E16"/>
    <w:rsid w:val="000D35CD"/>
    <w:rsid w:val="000D3A75"/>
    <w:rsid w:val="000D3C7D"/>
    <w:rsid w:val="000D5665"/>
    <w:rsid w:val="000D6A14"/>
    <w:rsid w:val="000E0C9C"/>
    <w:rsid w:val="000E1C4C"/>
    <w:rsid w:val="000F4A22"/>
    <w:rsid w:val="000F4FC0"/>
    <w:rsid w:val="00112150"/>
    <w:rsid w:val="001133AB"/>
    <w:rsid w:val="00113965"/>
    <w:rsid w:val="00123704"/>
    <w:rsid w:val="00131223"/>
    <w:rsid w:val="00142FB8"/>
    <w:rsid w:val="0014613E"/>
    <w:rsid w:val="00150360"/>
    <w:rsid w:val="00157EF5"/>
    <w:rsid w:val="001634AC"/>
    <w:rsid w:val="00165280"/>
    <w:rsid w:val="00196EF1"/>
    <w:rsid w:val="001A32C5"/>
    <w:rsid w:val="001C5793"/>
    <w:rsid w:val="001D111E"/>
    <w:rsid w:val="001E5265"/>
    <w:rsid w:val="001E5E52"/>
    <w:rsid w:val="001E6A58"/>
    <w:rsid w:val="001F2D5F"/>
    <w:rsid w:val="001F358A"/>
    <w:rsid w:val="001F5325"/>
    <w:rsid w:val="002002A8"/>
    <w:rsid w:val="00200BD8"/>
    <w:rsid w:val="00203075"/>
    <w:rsid w:val="00203BB0"/>
    <w:rsid w:val="0021098D"/>
    <w:rsid w:val="00220A04"/>
    <w:rsid w:val="002212A4"/>
    <w:rsid w:val="00224AB2"/>
    <w:rsid w:val="00234D3A"/>
    <w:rsid w:val="00240E5D"/>
    <w:rsid w:val="0024459D"/>
    <w:rsid w:val="002447AA"/>
    <w:rsid w:val="0024515C"/>
    <w:rsid w:val="00245E84"/>
    <w:rsid w:val="0024639F"/>
    <w:rsid w:val="00255868"/>
    <w:rsid w:val="0026091F"/>
    <w:rsid w:val="00264740"/>
    <w:rsid w:val="00264B79"/>
    <w:rsid w:val="00282D87"/>
    <w:rsid w:val="002836FB"/>
    <w:rsid w:val="0028678C"/>
    <w:rsid w:val="00296666"/>
    <w:rsid w:val="002A458F"/>
    <w:rsid w:val="002B4D25"/>
    <w:rsid w:val="002B64FE"/>
    <w:rsid w:val="002B7938"/>
    <w:rsid w:val="002B79CC"/>
    <w:rsid w:val="002D3B08"/>
    <w:rsid w:val="002D4C4F"/>
    <w:rsid w:val="002E16AA"/>
    <w:rsid w:val="002E3FD4"/>
    <w:rsid w:val="002F3068"/>
    <w:rsid w:val="0030220F"/>
    <w:rsid w:val="00311ABA"/>
    <w:rsid w:val="0031221D"/>
    <w:rsid w:val="00323171"/>
    <w:rsid w:val="003257E6"/>
    <w:rsid w:val="0032647A"/>
    <w:rsid w:val="00340481"/>
    <w:rsid w:val="003433E9"/>
    <w:rsid w:val="00352351"/>
    <w:rsid w:val="003547EB"/>
    <w:rsid w:val="003550F2"/>
    <w:rsid w:val="003555D5"/>
    <w:rsid w:val="00357F80"/>
    <w:rsid w:val="003627E5"/>
    <w:rsid w:val="00382398"/>
    <w:rsid w:val="0038336F"/>
    <w:rsid w:val="00383C11"/>
    <w:rsid w:val="003858FC"/>
    <w:rsid w:val="00387C1D"/>
    <w:rsid w:val="00394B3A"/>
    <w:rsid w:val="003A2D92"/>
    <w:rsid w:val="003B1839"/>
    <w:rsid w:val="003B28DC"/>
    <w:rsid w:val="003B56CF"/>
    <w:rsid w:val="003C43A4"/>
    <w:rsid w:val="003C62BC"/>
    <w:rsid w:val="003D75AF"/>
    <w:rsid w:val="003E17F8"/>
    <w:rsid w:val="003E7676"/>
    <w:rsid w:val="003F6E5A"/>
    <w:rsid w:val="00400F6B"/>
    <w:rsid w:val="00404744"/>
    <w:rsid w:val="00405FE9"/>
    <w:rsid w:val="00411D6C"/>
    <w:rsid w:val="004213D2"/>
    <w:rsid w:val="004229C4"/>
    <w:rsid w:val="00422E73"/>
    <w:rsid w:val="00431BF6"/>
    <w:rsid w:val="00440AB7"/>
    <w:rsid w:val="00450A4C"/>
    <w:rsid w:val="00454464"/>
    <w:rsid w:val="00456D8A"/>
    <w:rsid w:val="00457296"/>
    <w:rsid w:val="00461EAE"/>
    <w:rsid w:val="00467956"/>
    <w:rsid w:val="00470B9B"/>
    <w:rsid w:val="00474F20"/>
    <w:rsid w:val="00482E64"/>
    <w:rsid w:val="0048328E"/>
    <w:rsid w:val="004905D3"/>
    <w:rsid w:val="00493B13"/>
    <w:rsid w:val="00496AEC"/>
    <w:rsid w:val="004A76BA"/>
    <w:rsid w:val="004B35D9"/>
    <w:rsid w:val="004C547C"/>
    <w:rsid w:val="004C5859"/>
    <w:rsid w:val="004C5FF1"/>
    <w:rsid w:val="004D3212"/>
    <w:rsid w:val="004D5BB5"/>
    <w:rsid w:val="004D620F"/>
    <w:rsid w:val="004D703D"/>
    <w:rsid w:val="004E1526"/>
    <w:rsid w:val="004E7CE5"/>
    <w:rsid w:val="004F40A9"/>
    <w:rsid w:val="004F506E"/>
    <w:rsid w:val="00525ED4"/>
    <w:rsid w:val="00530E17"/>
    <w:rsid w:val="0054612B"/>
    <w:rsid w:val="005536AF"/>
    <w:rsid w:val="00562A04"/>
    <w:rsid w:val="00567DBF"/>
    <w:rsid w:val="0057398B"/>
    <w:rsid w:val="00577672"/>
    <w:rsid w:val="0057779E"/>
    <w:rsid w:val="005805BF"/>
    <w:rsid w:val="00582C42"/>
    <w:rsid w:val="005838A8"/>
    <w:rsid w:val="00587385"/>
    <w:rsid w:val="00593807"/>
    <w:rsid w:val="00597C8F"/>
    <w:rsid w:val="005A1541"/>
    <w:rsid w:val="005A1BE1"/>
    <w:rsid w:val="005A6E33"/>
    <w:rsid w:val="005B2BE8"/>
    <w:rsid w:val="005C3DAC"/>
    <w:rsid w:val="005C6433"/>
    <w:rsid w:val="005D37FA"/>
    <w:rsid w:val="005D587B"/>
    <w:rsid w:val="005D6B9D"/>
    <w:rsid w:val="005E0247"/>
    <w:rsid w:val="005E0F17"/>
    <w:rsid w:val="005E1290"/>
    <w:rsid w:val="005E18CF"/>
    <w:rsid w:val="005F1942"/>
    <w:rsid w:val="00602A0E"/>
    <w:rsid w:val="00603CA5"/>
    <w:rsid w:val="0060551A"/>
    <w:rsid w:val="00613C9A"/>
    <w:rsid w:val="00624FDF"/>
    <w:rsid w:val="00626391"/>
    <w:rsid w:val="006309FB"/>
    <w:rsid w:val="006374D7"/>
    <w:rsid w:val="00640E45"/>
    <w:rsid w:val="00647418"/>
    <w:rsid w:val="00647915"/>
    <w:rsid w:val="0065096F"/>
    <w:rsid w:val="00662ED3"/>
    <w:rsid w:val="00677905"/>
    <w:rsid w:val="00685B37"/>
    <w:rsid w:val="006929DD"/>
    <w:rsid w:val="006942D7"/>
    <w:rsid w:val="006945E4"/>
    <w:rsid w:val="0069631C"/>
    <w:rsid w:val="006A2168"/>
    <w:rsid w:val="006A60A9"/>
    <w:rsid w:val="006B05EE"/>
    <w:rsid w:val="006B5344"/>
    <w:rsid w:val="006C1B83"/>
    <w:rsid w:val="006C7C15"/>
    <w:rsid w:val="006D0218"/>
    <w:rsid w:val="006D5483"/>
    <w:rsid w:val="006D726E"/>
    <w:rsid w:val="006E4623"/>
    <w:rsid w:val="006F0648"/>
    <w:rsid w:val="006F1F97"/>
    <w:rsid w:val="006F6351"/>
    <w:rsid w:val="006F6405"/>
    <w:rsid w:val="006F6A37"/>
    <w:rsid w:val="0070276B"/>
    <w:rsid w:val="00702964"/>
    <w:rsid w:val="007061E8"/>
    <w:rsid w:val="00707A86"/>
    <w:rsid w:val="00716095"/>
    <w:rsid w:val="00717F3D"/>
    <w:rsid w:val="00721B10"/>
    <w:rsid w:val="0072677B"/>
    <w:rsid w:val="00730855"/>
    <w:rsid w:val="0073575D"/>
    <w:rsid w:val="0074500F"/>
    <w:rsid w:val="00745821"/>
    <w:rsid w:val="007542E4"/>
    <w:rsid w:val="00762926"/>
    <w:rsid w:val="00766D11"/>
    <w:rsid w:val="0077233F"/>
    <w:rsid w:val="00777DF3"/>
    <w:rsid w:val="0078245D"/>
    <w:rsid w:val="00783744"/>
    <w:rsid w:val="00793A04"/>
    <w:rsid w:val="007A1258"/>
    <w:rsid w:val="007A281A"/>
    <w:rsid w:val="007A33EE"/>
    <w:rsid w:val="007A4FBD"/>
    <w:rsid w:val="007B28B1"/>
    <w:rsid w:val="007B4411"/>
    <w:rsid w:val="007C4558"/>
    <w:rsid w:val="007D1C81"/>
    <w:rsid w:val="007D286A"/>
    <w:rsid w:val="007D578F"/>
    <w:rsid w:val="007D61F9"/>
    <w:rsid w:val="007D67CA"/>
    <w:rsid w:val="00801D70"/>
    <w:rsid w:val="00811823"/>
    <w:rsid w:val="00816B73"/>
    <w:rsid w:val="00821085"/>
    <w:rsid w:val="00822061"/>
    <w:rsid w:val="00823BB9"/>
    <w:rsid w:val="00823FD3"/>
    <w:rsid w:val="008245CA"/>
    <w:rsid w:val="008331CA"/>
    <w:rsid w:val="00845EEE"/>
    <w:rsid w:val="008549DE"/>
    <w:rsid w:val="0085553F"/>
    <w:rsid w:val="00875340"/>
    <w:rsid w:val="00885CAA"/>
    <w:rsid w:val="008A2D3B"/>
    <w:rsid w:val="008B16A9"/>
    <w:rsid w:val="008B38DC"/>
    <w:rsid w:val="008D221A"/>
    <w:rsid w:val="008E1E9B"/>
    <w:rsid w:val="008E6797"/>
    <w:rsid w:val="008E7F02"/>
    <w:rsid w:val="008F0DB1"/>
    <w:rsid w:val="00903BC8"/>
    <w:rsid w:val="00911096"/>
    <w:rsid w:val="009148DF"/>
    <w:rsid w:val="00922698"/>
    <w:rsid w:val="009422FA"/>
    <w:rsid w:val="00942C2C"/>
    <w:rsid w:val="00946E2C"/>
    <w:rsid w:val="00961895"/>
    <w:rsid w:val="00966821"/>
    <w:rsid w:val="0097064D"/>
    <w:rsid w:val="00974732"/>
    <w:rsid w:val="00980298"/>
    <w:rsid w:val="0098076B"/>
    <w:rsid w:val="009809B1"/>
    <w:rsid w:val="009979CC"/>
    <w:rsid w:val="009A1E88"/>
    <w:rsid w:val="009A217C"/>
    <w:rsid w:val="009A24A8"/>
    <w:rsid w:val="009A2C52"/>
    <w:rsid w:val="009A50E0"/>
    <w:rsid w:val="009A5757"/>
    <w:rsid w:val="009B1AF7"/>
    <w:rsid w:val="009B3CB6"/>
    <w:rsid w:val="009B4B36"/>
    <w:rsid w:val="009B5CA7"/>
    <w:rsid w:val="009B6E79"/>
    <w:rsid w:val="009D4BF9"/>
    <w:rsid w:val="009D63EA"/>
    <w:rsid w:val="009D7160"/>
    <w:rsid w:val="009E04DF"/>
    <w:rsid w:val="009F1D54"/>
    <w:rsid w:val="009F3EF5"/>
    <w:rsid w:val="009F6EC6"/>
    <w:rsid w:val="00A033E6"/>
    <w:rsid w:val="00A04F9C"/>
    <w:rsid w:val="00A078E1"/>
    <w:rsid w:val="00A07D69"/>
    <w:rsid w:val="00A1123F"/>
    <w:rsid w:val="00A1526C"/>
    <w:rsid w:val="00A16F5B"/>
    <w:rsid w:val="00A218B6"/>
    <w:rsid w:val="00A22AC7"/>
    <w:rsid w:val="00A2488D"/>
    <w:rsid w:val="00A25C50"/>
    <w:rsid w:val="00A25F0F"/>
    <w:rsid w:val="00A30C13"/>
    <w:rsid w:val="00A32525"/>
    <w:rsid w:val="00A60065"/>
    <w:rsid w:val="00A60201"/>
    <w:rsid w:val="00A708F7"/>
    <w:rsid w:val="00A72992"/>
    <w:rsid w:val="00A76CD1"/>
    <w:rsid w:val="00A9716F"/>
    <w:rsid w:val="00AA1E8B"/>
    <w:rsid w:val="00AA5304"/>
    <w:rsid w:val="00AA6731"/>
    <w:rsid w:val="00AB5D6D"/>
    <w:rsid w:val="00AC1CBF"/>
    <w:rsid w:val="00AD5FB1"/>
    <w:rsid w:val="00AE5F53"/>
    <w:rsid w:val="00AE664C"/>
    <w:rsid w:val="00AE7D67"/>
    <w:rsid w:val="00AF1CF6"/>
    <w:rsid w:val="00AF1DF6"/>
    <w:rsid w:val="00AF1E58"/>
    <w:rsid w:val="00AF4AC6"/>
    <w:rsid w:val="00B038F9"/>
    <w:rsid w:val="00B05CCF"/>
    <w:rsid w:val="00B061C7"/>
    <w:rsid w:val="00B15637"/>
    <w:rsid w:val="00B17CB7"/>
    <w:rsid w:val="00B20AB3"/>
    <w:rsid w:val="00B53268"/>
    <w:rsid w:val="00B61034"/>
    <w:rsid w:val="00B62FE9"/>
    <w:rsid w:val="00B71CAB"/>
    <w:rsid w:val="00B87932"/>
    <w:rsid w:val="00B91CF5"/>
    <w:rsid w:val="00B927B5"/>
    <w:rsid w:val="00B97377"/>
    <w:rsid w:val="00BC1D17"/>
    <w:rsid w:val="00BC1DE2"/>
    <w:rsid w:val="00BC3E42"/>
    <w:rsid w:val="00BD6FF5"/>
    <w:rsid w:val="00BE39BE"/>
    <w:rsid w:val="00BF194A"/>
    <w:rsid w:val="00BF3D51"/>
    <w:rsid w:val="00C034B7"/>
    <w:rsid w:val="00C070A4"/>
    <w:rsid w:val="00C073CB"/>
    <w:rsid w:val="00C44DB0"/>
    <w:rsid w:val="00C5426D"/>
    <w:rsid w:val="00C61865"/>
    <w:rsid w:val="00C7108D"/>
    <w:rsid w:val="00C73E24"/>
    <w:rsid w:val="00C75005"/>
    <w:rsid w:val="00C80BD8"/>
    <w:rsid w:val="00C87AA3"/>
    <w:rsid w:val="00CA25DC"/>
    <w:rsid w:val="00CA28A1"/>
    <w:rsid w:val="00CB092A"/>
    <w:rsid w:val="00CB42C3"/>
    <w:rsid w:val="00CD115C"/>
    <w:rsid w:val="00CE3BF3"/>
    <w:rsid w:val="00CF17DE"/>
    <w:rsid w:val="00D0484A"/>
    <w:rsid w:val="00D137B9"/>
    <w:rsid w:val="00D13C22"/>
    <w:rsid w:val="00D20F6C"/>
    <w:rsid w:val="00D260FF"/>
    <w:rsid w:val="00D340E3"/>
    <w:rsid w:val="00D3433C"/>
    <w:rsid w:val="00D515F8"/>
    <w:rsid w:val="00D52E6C"/>
    <w:rsid w:val="00D52F2C"/>
    <w:rsid w:val="00D55051"/>
    <w:rsid w:val="00D65C4F"/>
    <w:rsid w:val="00D66EAE"/>
    <w:rsid w:val="00D672C9"/>
    <w:rsid w:val="00D822FD"/>
    <w:rsid w:val="00D9637D"/>
    <w:rsid w:val="00DA13D0"/>
    <w:rsid w:val="00DA177B"/>
    <w:rsid w:val="00DA2DC7"/>
    <w:rsid w:val="00DA63D0"/>
    <w:rsid w:val="00DA6B3E"/>
    <w:rsid w:val="00DB08CE"/>
    <w:rsid w:val="00DB619F"/>
    <w:rsid w:val="00DB671B"/>
    <w:rsid w:val="00DB6F2C"/>
    <w:rsid w:val="00DC76D2"/>
    <w:rsid w:val="00DD63F7"/>
    <w:rsid w:val="00DE0F6A"/>
    <w:rsid w:val="00DF1E00"/>
    <w:rsid w:val="00DF35CC"/>
    <w:rsid w:val="00E00E71"/>
    <w:rsid w:val="00E02127"/>
    <w:rsid w:val="00E03155"/>
    <w:rsid w:val="00E070FA"/>
    <w:rsid w:val="00E07C85"/>
    <w:rsid w:val="00E106E5"/>
    <w:rsid w:val="00E12330"/>
    <w:rsid w:val="00E1279B"/>
    <w:rsid w:val="00E21379"/>
    <w:rsid w:val="00E21BEB"/>
    <w:rsid w:val="00E22DFB"/>
    <w:rsid w:val="00E23F8A"/>
    <w:rsid w:val="00E24006"/>
    <w:rsid w:val="00E32ED1"/>
    <w:rsid w:val="00E423DB"/>
    <w:rsid w:val="00E427B5"/>
    <w:rsid w:val="00E46169"/>
    <w:rsid w:val="00E56EE2"/>
    <w:rsid w:val="00E62E2A"/>
    <w:rsid w:val="00E64891"/>
    <w:rsid w:val="00E659DA"/>
    <w:rsid w:val="00E65F6F"/>
    <w:rsid w:val="00E72481"/>
    <w:rsid w:val="00E74581"/>
    <w:rsid w:val="00E82886"/>
    <w:rsid w:val="00E83245"/>
    <w:rsid w:val="00E928CF"/>
    <w:rsid w:val="00EA481F"/>
    <w:rsid w:val="00EB11DB"/>
    <w:rsid w:val="00ED446D"/>
    <w:rsid w:val="00EE690F"/>
    <w:rsid w:val="00EF4A31"/>
    <w:rsid w:val="00F014EE"/>
    <w:rsid w:val="00F03005"/>
    <w:rsid w:val="00F03CD7"/>
    <w:rsid w:val="00F13883"/>
    <w:rsid w:val="00F14888"/>
    <w:rsid w:val="00F24996"/>
    <w:rsid w:val="00F24E9B"/>
    <w:rsid w:val="00F31B72"/>
    <w:rsid w:val="00F34E7B"/>
    <w:rsid w:val="00F354E3"/>
    <w:rsid w:val="00F43471"/>
    <w:rsid w:val="00F4684F"/>
    <w:rsid w:val="00F512BC"/>
    <w:rsid w:val="00F51E11"/>
    <w:rsid w:val="00F51F8B"/>
    <w:rsid w:val="00F55AFB"/>
    <w:rsid w:val="00F60F9A"/>
    <w:rsid w:val="00F64312"/>
    <w:rsid w:val="00F67A6A"/>
    <w:rsid w:val="00F81AD0"/>
    <w:rsid w:val="00F820FB"/>
    <w:rsid w:val="00F9080F"/>
    <w:rsid w:val="00F93561"/>
    <w:rsid w:val="00F943D7"/>
    <w:rsid w:val="00F956B2"/>
    <w:rsid w:val="00FA3798"/>
    <w:rsid w:val="00FB31B0"/>
    <w:rsid w:val="00FC2DB0"/>
    <w:rsid w:val="00FD1E89"/>
    <w:rsid w:val="00FD254D"/>
    <w:rsid w:val="00FD436F"/>
    <w:rsid w:val="00FE3D3A"/>
    <w:rsid w:val="00FE6C44"/>
    <w:rsid w:val="00FE6CAC"/>
    <w:rsid w:val="00FE7360"/>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fn"/>
    <w:basedOn w:val="Normal"/>
    <w:link w:val="FootnoteTextChar"/>
    <w:uiPriority w:val="99"/>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Footnote Reference1"/>
    <w:uiPriority w:val="99"/>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paragraph" w:styleId="NoSpacing">
    <w:name w:val="No Spacing"/>
    <w:uiPriority w:val="1"/>
    <w:qFormat/>
    <w:rsid w:val="00A07D69"/>
    <w:rPr>
      <w:rFonts w:ascii="Palatino" w:hAnsi="Palatino"/>
      <w:sz w:val="26"/>
    </w:rPr>
  </w:style>
  <w:style w:type="character" w:customStyle="1" w:styleId="FootnoteTextChar">
    <w:name w:val="Footnote Text Char"/>
    <w:aliases w:val="Footnote Text Char1 Char1,Footnote Text Char Char Char1,Footnote Text Char1 Char Char,Footnote Text Char Char Char Char,Char Char Char,Footnote Text Char2 Char Char,Footnote Text Char2 Char Char Char Char Char,fn Char"/>
    <w:basedOn w:val="DefaultParagraphFont"/>
    <w:link w:val="FootnoteText"/>
    <w:uiPriority w:val="99"/>
    <w:rsid w:val="00A07D69"/>
    <w:rPr>
      <w:rFonts w:ascii="Palatino" w:hAnsi="Palatino"/>
      <w:sz w:val="24"/>
    </w:rPr>
  </w:style>
  <w:style w:type="character" w:styleId="CommentReference">
    <w:name w:val="annotation reference"/>
    <w:basedOn w:val="DefaultParagraphFont"/>
    <w:semiHidden/>
    <w:unhideWhenUsed/>
    <w:rsid w:val="00405FE9"/>
    <w:rPr>
      <w:sz w:val="16"/>
      <w:szCs w:val="16"/>
    </w:rPr>
  </w:style>
  <w:style w:type="paragraph" w:styleId="CommentText">
    <w:name w:val="annotation text"/>
    <w:basedOn w:val="Normal"/>
    <w:link w:val="CommentTextChar"/>
    <w:semiHidden/>
    <w:unhideWhenUsed/>
    <w:rsid w:val="00405FE9"/>
    <w:rPr>
      <w:sz w:val="20"/>
    </w:rPr>
  </w:style>
  <w:style w:type="character" w:customStyle="1" w:styleId="CommentTextChar">
    <w:name w:val="Comment Text Char"/>
    <w:basedOn w:val="DefaultParagraphFont"/>
    <w:link w:val="CommentText"/>
    <w:semiHidden/>
    <w:rsid w:val="00405FE9"/>
    <w:rPr>
      <w:rFonts w:ascii="Palatino" w:hAnsi="Palatino"/>
    </w:rPr>
  </w:style>
  <w:style w:type="paragraph" w:styleId="CommentSubject">
    <w:name w:val="annotation subject"/>
    <w:basedOn w:val="CommentText"/>
    <w:next w:val="CommentText"/>
    <w:link w:val="CommentSubjectChar"/>
    <w:semiHidden/>
    <w:unhideWhenUsed/>
    <w:rsid w:val="00405FE9"/>
    <w:rPr>
      <w:b/>
      <w:bCs/>
    </w:rPr>
  </w:style>
  <w:style w:type="character" w:customStyle="1" w:styleId="CommentSubjectChar">
    <w:name w:val="Comment Subject Char"/>
    <w:basedOn w:val="CommentTextChar"/>
    <w:link w:val="CommentSubject"/>
    <w:semiHidden/>
    <w:rsid w:val="00405FE9"/>
    <w:rPr>
      <w:rFonts w:ascii="Palatino" w:hAnsi="Palatino"/>
      <w:b/>
      <w:bCs/>
    </w:rPr>
  </w:style>
  <w:style w:type="paragraph" w:styleId="BodyText">
    <w:name w:val="Body Text"/>
    <w:basedOn w:val="Normal"/>
    <w:link w:val="BodyTextChar"/>
    <w:rsid w:val="00DB671B"/>
    <w:rPr>
      <w:b/>
    </w:rPr>
  </w:style>
  <w:style w:type="character" w:customStyle="1" w:styleId="BodyTextChar">
    <w:name w:val="Body Text Char"/>
    <w:basedOn w:val="DefaultParagraphFont"/>
    <w:link w:val="BodyText"/>
    <w:rsid w:val="00DB671B"/>
    <w:rPr>
      <w:rFonts w:ascii="Palatino" w:hAnsi="Palatino"/>
      <w:b/>
      <w:sz w:val="26"/>
    </w:rPr>
  </w:style>
  <w:style w:type="character" w:customStyle="1" w:styleId="Heading1Char">
    <w:name w:val="Heading 1 Char"/>
    <w:link w:val="Heading1"/>
    <w:locked/>
    <w:rsid w:val="00762926"/>
    <w:rPr>
      <w:rFonts w:ascii="Helvetica" w:hAnsi="Helvetica"/>
      <w:b/>
      <w:caps/>
      <w:kern w:val="28"/>
      <w:sz w:val="26"/>
      <w:u w:val="single"/>
    </w:rPr>
  </w:style>
  <w:style w:type="table" w:styleId="TableGrid">
    <w:name w:val="Table Grid"/>
    <w:basedOn w:val="TableNormal"/>
    <w:rsid w:val="0024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43A4"/>
    <w:rPr>
      <w:rFonts w:ascii="Palatino" w:hAnsi="Palatino"/>
      <w:sz w:val="26"/>
    </w:rPr>
  </w:style>
  <w:style w:type="paragraph" w:customStyle="1" w:styleId="Default">
    <w:name w:val="Default"/>
    <w:rsid w:val="009F3EF5"/>
    <w:pPr>
      <w:autoSpaceDE w:val="0"/>
      <w:autoSpaceDN w:val="0"/>
      <w:adjustRightInd w:val="0"/>
    </w:pPr>
    <w:rPr>
      <w:rFonts w:ascii="Book Antiqua" w:hAnsi="Book Antiqua" w:cs="Book Antiqua"/>
      <w:color w:val="000000"/>
      <w:sz w:val="24"/>
      <w:szCs w:val="24"/>
    </w:rPr>
  </w:style>
  <w:style w:type="paragraph" w:styleId="PlainText">
    <w:name w:val="Plain Text"/>
    <w:basedOn w:val="Normal"/>
    <w:link w:val="PlainTextChar"/>
    <w:uiPriority w:val="99"/>
    <w:unhideWhenUsed/>
    <w:rsid w:val="00311ABA"/>
    <w:rPr>
      <w:rFonts w:ascii="Calibri" w:eastAsia="SimSun" w:hAnsi="Calibri" w:cs="Consolas"/>
      <w:sz w:val="22"/>
      <w:szCs w:val="21"/>
    </w:rPr>
  </w:style>
  <w:style w:type="character" w:customStyle="1" w:styleId="PlainTextChar">
    <w:name w:val="Plain Text Char"/>
    <w:basedOn w:val="DefaultParagraphFont"/>
    <w:link w:val="PlainText"/>
    <w:uiPriority w:val="99"/>
    <w:rsid w:val="00311ABA"/>
    <w:rPr>
      <w:rFonts w:ascii="Calibri" w:eastAsia="SimSun"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756513623">
      <w:bodyDiv w:val="1"/>
      <w:marLeft w:val="0"/>
      <w:marRight w:val="0"/>
      <w:marTop w:val="0"/>
      <w:marBottom w:val="0"/>
      <w:divBdr>
        <w:top w:val="none" w:sz="0" w:space="0" w:color="auto"/>
        <w:left w:val="none" w:sz="0" w:space="0" w:color="auto"/>
        <w:bottom w:val="none" w:sz="0" w:space="0" w:color="auto"/>
        <w:right w:val="none" w:sz="0" w:space="0" w:color="auto"/>
      </w:divBdr>
    </w:div>
    <w:div w:id="988052032">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xcode/Title54/Chapter17/54-17-S60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C2F0A-FA95-41B7-9A90-F0E560E6558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18</ap:Pages>
  <ap:Words>4282</ap:Words>
  <ap:Characters>24412</ap:Characters>
  <ap:Application>Microsoft Office Word</ap:Application>
  <ap:DocSecurity>0</ap:DocSecurity>
  <ap:Lines>203</ap:Lines>
  <ap:Paragraphs>57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28637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2021-05-07T11:45:29Z</dcterms:created>
  <dcterms:modified xsi:type="dcterms:W3CDTF">2021-05-07T11:45:29Z</dcterms:modified>
</cp:coreProperties>
</file>