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0820" w:rsidR="00007133" w:rsidP="00EE0820" w:rsidRDefault="00007133" w14:paraId="4AA6750D" w14:textId="4DA70AFC">
      <w:pPr>
        <w:tabs>
          <w:tab w:val="clear" w:pos="5040"/>
          <w:tab w:val="left" w:pos="2880"/>
        </w:tabs>
        <w:spacing w:line="360" w:lineRule="auto"/>
        <w:textAlignment w:val="auto"/>
        <w:rPr>
          <w:szCs w:val="26"/>
        </w:rPr>
      </w:pPr>
      <w:r w:rsidRPr="00ED0D98">
        <w:rPr>
          <w:szCs w:val="26"/>
        </w:rPr>
        <w:fldChar w:fldCharType="begin"/>
      </w:r>
      <w:r w:rsidRPr="00ED0D98">
        <w:rPr>
          <w:szCs w:val="26"/>
        </w:rPr>
        <w:instrText xml:space="preserve"> ASK Initials "Enter your initials in all CAPS (e.g. ATTY)" [/d "ATTY"]Initials  \* MERGEFORMAT </w:instrText>
      </w:r>
      <w:r w:rsidRPr="00ED0D98">
        <w:rPr>
          <w:szCs w:val="26"/>
        </w:rPr>
        <w:fldChar w:fldCharType="end"/>
      </w:r>
      <w:r w:rsidRPr="00ED0D98" w:rsidR="009E7B07">
        <w:rPr>
          <w:szCs w:val="26"/>
        </w:rPr>
        <w:t>Decision</w:t>
      </w:r>
      <w:r w:rsidRPr="00ED0D98" w:rsidR="00E70504">
        <w:rPr>
          <w:szCs w:val="26"/>
        </w:rPr>
        <w:t xml:space="preserve"> </w:t>
      </w:r>
      <w:r w:rsidR="00EE0820">
        <w:rPr>
          <w:szCs w:val="26"/>
        </w:rPr>
        <w:t>21-05-016</w:t>
      </w:r>
      <w:r w:rsidR="00EE0820">
        <w:rPr>
          <w:szCs w:val="26"/>
        </w:rPr>
        <w:tab/>
        <w:t>May 6, 2021</w:t>
      </w:r>
    </w:p>
    <w:p w:rsidRPr="00ED0D98" w:rsidR="009E7B07" w:rsidP="009E7B07" w:rsidRDefault="009E7B07" w14:paraId="43ABB993" w14:textId="77777777">
      <w:pPr>
        <w:tabs>
          <w:tab w:val="clear" w:pos="5040"/>
        </w:tabs>
        <w:textAlignment w:val="auto"/>
        <w:rPr>
          <w:szCs w:val="26"/>
        </w:rPr>
      </w:pPr>
    </w:p>
    <w:bookmarkStart w:name="AgendaNo" w:id="0"/>
    <w:bookmarkEnd w:id="0"/>
    <w:p w:rsidRPr="00ED0D98" w:rsidR="00007133" w:rsidP="009E7B07" w:rsidRDefault="00007133" w14:paraId="693BC727" w14:textId="77777777">
      <w:pPr>
        <w:jc w:val="center"/>
        <w:textAlignment w:val="auto"/>
        <w:rPr>
          <w:smallCaps/>
          <w:sz w:val="28"/>
          <w:szCs w:val="28"/>
        </w:rPr>
      </w:pPr>
      <w:r w:rsidRPr="00ED0D98">
        <w:rPr>
          <w:smallCaps/>
          <w:sz w:val="28"/>
          <w:szCs w:val="28"/>
        </w:rPr>
        <w:fldChar w:fldCharType="begin"/>
      </w:r>
      <w:r w:rsidRPr="00ED0D98">
        <w:rPr>
          <w:smallCaps/>
          <w:sz w:val="28"/>
          <w:szCs w:val="28"/>
        </w:rPr>
        <w:instrText xml:space="preserve"> ASK AgendaNo "Enter the agenda item number (e.g. CA-4)" [/d "Agenda Item No."] \* MERGEFORMAT </w:instrText>
      </w:r>
      <w:r w:rsidRPr="00ED0D98">
        <w:rPr>
          <w:smallCaps/>
          <w:sz w:val="28"/>
          <w:szCs w:val="28"/>
        </w:rPr>
        <w:fldChar w:fldCharType="end"/>
      </w:r>
      <w:r w:rsidRPr="00ED0D98">
        <w:rPr>
          <w:smallCaps/>
          <w:sz w:val="28"/>
          <w:szCs w:val="28"/>
        </w:rPr>
        <w:t>Before The Public Utilities Commission Of The State Of California</w:t>
      </w:r>
    </w:p>
    <w:p w:rsidRPr="00ED0D98" w:rsidR="00007133" w:rsidP="009E7B07" w:rsidRDefault="00007133" w14:paraId="0A37501D" w14:textId="77777777">
      <w:pPr>
        <w:suppressAutoHyphens/>
        <w:textAlignment w:val="auto"/>
        <w:rPr>
          <w:szCs w:val="26"/>
        </w:rPr>
      </w:pPr>
    </w:p>
    <w:tbl>
      <w:tblPr>
        <w:tblW w:w="0" w:type="auto"/>
        <w:tblLayout w:type="fixed"/>
        <w:tblLook w:val="04A0" w:firstRow="1" w:lastRow="0" w:firstColumn="1" w:lastColumn="0" w:noHBand="0" w:noVBand="1"/>
      </w:tblPr>
      <w:tblGrid>
        <w:gridCol w:w="5220"/>
        <w:gridCol w:w="3708"/>
      </w:tblGrid>
      <w:tr w:rsidRPr="00ED0D98" w:rsidR="00007133" w:rsidTr="00ED0D98" w14:paraId="21BEB884" w14:textId="77777777">
        <w:tc>
          <w:tcPr>
            <w:tcW w:w="5220" w:type="dxa"/>
            <w:tcBorders>
              <w:top w:val="nil"/>
              <w:left w:val="nil"/>
              <w:bottom w:val="single" w:color="auto" w:sz="6" w:space="0"/>
              <w:right w:val="single" w:color="auto" w:sz="6" w:space="0"/>
            </w:tcBorders>
            <w:hideMark/>
          </w:tcPr>
          <w:p w:rsidRPr="00ED0D98" w:rsidR="00F7574B" w:rsidP="00F7574B" w:rsidRDefault="005C563B" w14:paraId="04A60FDB" w14:textId="3EF34E6A">
            <w:pPr>
              <w:tabs>
                <w:tab w:val="left" w:pos="1440"/>
                <w:tab w:val="left" w:pos="3600"/>
              </w:tabs>
              <w:rPr>
                <w:szCs w:val="26"/>
              </w:rPr>
            </w:pPr>
            <w:r w:rsidRPr="00ED0D98">
              <w:rPr>
                <w:szCs w:val="26"/>
              </w:rPr>
              <w:t>Application of</w:t>
            </w:r>
            <w:r w:rsidRPr="00ED0D98" w:rsidR="00D86C4E">
              <w:rPr>
                <w:szCs w:val="26"/>
              </w:rPr>
              <w:t xml:space="preserve"> </w:t>
            </w:r>
            <w:r w:rsidRPr="00ED0D98" w:rsidR="00427C35">
              <w:rPr>
                <w:szCs w:val="26"/>
              </w:rPr>
              <w:t>Calaveras Telephone Company (U 1004 C), Cal-Ore Telephone Co. (U 1006 C), Ducor Telephone Company (U 1007 C), Foresthill Telephone Co. (U 1009 C), Kerman Telephone Co. (U 1012 C), Pinnacles Telephone Co. (U 1013 C), The Ponderosa Telephone Co. (U 1014 C), Sierra Telephone Company, Inc. (U 1016 C), The Siskiyou Telephone Company (U</w:t>
            </w:r>
            <w:r w:rsidRPr="00ED0D98" w:rsidR="00ED0D98">
              <w:rPr>
                <w:szCs w:val="26"/>
              </w:rPr>
              <w:t> </w:t>
            </w:r>
            <w:r w:rsidRPr="00ED0D98" w:rsidR="00427C35">
              <w:rPr>
                <w:szCs w:val="26"/>
              </w:rPr>
              <w:t xml:space="preserve">1017 C), and Volcano Telephone Company (U 1019 C) For Rehearing of Resolution T-17616 </w:t>
            </w:r>
          </w:p>
          <w:p w:rsidRPr="00ED0D98" w:rsidR="009E7B07" w:rsidP="00F7574B" w:rsidRDefault="009E7B07" w14:paraId="7DB8A79F" w14:textId="0F174EA2">
            <w:pPr>
              <w:tabs>
                <w:tab w:val="left" w:pos="1440"/>
                <w:tab w:val="left" w:pos="3600"/>
              </w:tabs>
              <w:rPr>
                <w:szCs w:val="26"/>
              </w:rPr>
            </w:pPr>
          </w:p>
        </w:tc>
        <w:tc>
          <w:tcPr>
            <w:tcW w:w="3708" w:type="dxa"/>
          </w:tcPr>
          <w:p w:rsidRPr="00ED0D98" w:rsidR="00007133" w:rsidP="009E7B07" w:rsidRDefault="00007133" w14:paraId="5DAB6C7B" w14:textId="209D5F67">
            <w:pPr>
              <w:jc w:val="center"/>
              <w:textAlignment w:val="auto"/>
              <w:rPr>
                <w:szCs w:val="26"/>
              </w:rPr>
            </w:pPr>
          </w:p>
          <w:p w:rsidRPr="00ED0D98" w:rsidR="00D86C4E" w:rsidP="009E7B07" w:rsidRDefault="00D86C4E" w14:paraId="39789A7E" w14:textId="62CB9D93">
            <w:pPr>
              <w:jc w:val="center"/>
              <w:textAlignment w:val="auto"/>
              <w:rPr>
                <w:szCs w:val="26"/>
              </w:rPr>
            </w:pPr>
          </w:p>
          <w:p w:rsidRPr="00ED0D98" w:rsidR="00D86C4E" w:rsidP="009E7B07" w:rsidRDefault="00D86C4E" w14:paraId="38690D62" w14:textId="77777777">
            <w:pPr>
              <w:jc w:val="center"/>
              <w:textAlignment w:val="auto"/>
              <w:rPr>
                <w:szCs w:val="26"/>
              </w:rPr>
            </w:pPr>
          </w:p>
          <w:p w:rsidRPr="00ED0D98" w:rsidR="00007133" w:rsidP="009E7B07" w:rsidRDefault="005B1DF1" w14:paraId="4A32BC7F" w14:textId="0D566C39">
            <w:pPr>
              <w:jc w:val="center"/>
              <w:textAlignment w:val="auto"/>
              <w:rPr>
                <w:szCs w:val="26"/>
              </w:rPr>
            </w:pPr>
            <w:r w:rsidRPr="00ED0D98">
              <w:rPr>
                <w:szCs w:val="26"/>
              </w:rPr>
              <w:t>Application 18-</w:t>
            </w:r>
            <w:r w:rsidR="00EE0820">
              <w:rPr>
                <w:szCs w:val="26"/>
              </w:rPr>
              <w:t>12-010</w:t>
            </w:r>
          </w:p>
          <w:p w:rsidRPr="00ED0D98" w:rsidR="00427C35" w:rsidP="009E7B07" w:rsidRDefault="00427C35" w14:paraId="4B588A26" w14:textId="77777777">
            <w:pPr>
              <w:jc w:val="center"/>
              <w:textAlignment w:val="auto"/>
              <w:rPr>
                <w:szCs w:val="26"/>
              </w:rPr>
            </w:pPr>
          </w:p>
          <w:p w:rsidRPr="00ED0D98" w:rsidR="00007133" w:rsidP="009E7B07" w:rsidRDefault="00007133" w14:paraId="02EB378F" w14:textId="77777777">
            <w:pPr>
              <w:jc w:val="center"/>
              <w:textAlignment w:val="auto"/>
              <w:rPr>
                <w:szCs w:val="26"/>
              </w:rPr>
            </w:pPr>
          </w:p>
        </w:tc>
      </w:tr>
    </w:tbl>
    <w:p w:rsidRPr="00ED0D98" w:rsidR="00007133" w:rsidP="00007133" w:rsidRDefault="00007133" w14:paraId="6A05A809" w14:textId="77777777">
      <w:pPr>
        <w:suppressAutoHyphens/>
        <w:textAlignment w:val="auto"/>
        <w:rPr>
          <w:szCs w:val="26"/>
        </w:rPr>
      </w:pPr>
    </w:p>
    <w:p w:rsidRPr="00ED0D98" w:rsidR="00007133" w:rsidP="00007133" w:rsidRDefault="00007133" w14:paraId="5A39BBE3" w14:textId="77777777">
      <w:pPr>
        <w:suppressAutoHyphens/>
        <w:textAlignment w:val="auto"/>
        <w:rPr>
          <w:szCs w:val="26"/>
        </w:rPr>
      </w:pPr>
    </w:p>
    <w:p w:rsidRPr="00ED0D98" w:rsidR="00007133" w:rsidP="00007133" w:rsidRDefault="00007133" w14:paraId="4F2075F1" w14:textId="640F900B">
      <w:pPr>
        <w:jc w:val="center"/>
        <w:textAlignment w:val="auto"/>
        <w:rPr>
          <w:b/>
          <w:caps/>
          <w:szCs w:val="26"/>
          <w:u w:val="single"/>
        </w:rPr>
      </w:pPr>
      <w:r w:rsidRPr="00ED0D98">
        <w:rPr>
          <w:b/>
          <w:caps/>
          <w:szCs w:val="26"/>
          <w:u w:val="single"/>
        </w:rPr>
        <w:t xml:space="preserve">ORDER </w:t>
      </w:r>
      <w:r w:rsidRPr="00ED0D98" w:rsidR="00427C35">
        <w:rPr>
          <w:b/>
          <w:caps/>
          <w:szCs w:val="26"/>
          <w:u w:val="single"/>
        </w:rPr>
        <w:t xml:space="preserve">denying </w:t>
      </w:r>
      <w:r w:rsidRPr="00ED0D98" w:rsidR="00AE4BFF">
        <w:rPr>
          <w:b/>
          <w:caps/>
          <w:szCs w:val="26"/>
          <w:u w:val="single"/>
        </w:rPr>
        <w:t xml:space="preserve">REHEARING OF </w:t>
      </w:r>
      <w:r w:rsidRPr="00ED0D98" w:rsidR="005B1DF1">
        <w:rPr>
          <w:b/>
          <w:caps/>
          <w:szCs w:val="26"/>
          <w:u w:val="single"/>
        </w:rPr>
        <w:t>Resolution T-17</w:t>
      </w:r>
      <w:r w:rsidRPr="00ED0D98" w:rsidR="00CF6416">
        <w:rPr>
          <w:b/>
          <w:caps/>
          <w:szCs w:val="26"/>
          <w:u w:val="single"/>
        </w:rPr>
        <w:t>61</w:t>
      </w:r>
      <w:r w:rsidRPr="00ED0D98" w:rsidR="00146E37">
        <w:rPr>
          <w:b/>
          <w:caps/>
          <w:szCs w:val="26"/>
          <w:u w:val="single"/>
        </w:rPr>
        <w:t>6</w:t>
      </w:r>
    </w:p>
    <w:p w:rsidRPr="00ED0D98" w:rsidR="00007133" w:rsidP="009E7B07" w:rsidRDefault="00007133" w14:paraId="41C8F396" w14:textId="77777777">
      <w:pPr>
        <w:textAlignment w:val="auto"/>
        <w:rPr>
          <w:b/>
          <w:caps/>
          <w:szCs w:val="26"/>
          <w:u w:val="single"/>
        </w:rPr>
      </w:pPr>
    </w:p>
    <w:p w:rsidRPr="00ED0D98" w:rsidR="005B1DF1" w:rsidP="003123FE" w:rsidRDefault="00007133" w14:paraId="578265E4" w14:textId="732613C9">
      <w:pPr>
        <w:tabs>
          <w:tab w:val="clear" w:pos="5040"/>
        </w:tabs>
        <w:overflowPunct/>
        <w:autoSpaceDE/>
        <w:autoSpaceDN/>
        <w:adjustRightInd/>
        <w:spacing w:line="360" w:lineRule="auto"/>
        <w:ind w:firstLine="1440"/>
        <w:textAlignment w:val="auto"/>
        <w:rPr>
          <w:szCs w:val="26"/>
        </w:rPr>
      </w:pPr>
      <w:bookmarkStart w:name="Title" w:id="1"/>
      <w:bookmarkEnd w:id="1"/>
      <w:r w:rsidRPr="00ED0D98">
        <w:rPr>
          <w:szCs w:val="26"/>
        </w:rPr>
        <w:t xml:space="preserve">In this Order, we dispose of the </w:t>
      </w:r>
      <w:r w:rsidRPr="00ED0D98" w:rsidR="005908F3">
        <w:rPr>
          <w:szCs w:val="26"/>
        </w:rPr>
        <w:t>A</w:t>
      </w:r>
      <w:r w:rsidRPr="00ED0D98">
        <w:rPr>
          <w:szCs w:val="26"/>
        </w:rPr>
        <w:t>pplication</w:t>
      </w:r>
      <w:r w:rsidRPr="00ED0D98" w:rsidR="005B1DF1">
        <w:rPr>
          <w:szCs w:val="26"/>
        </w:rPr>
        <w:t xml:space="preserve"> </w:t>
      </w:r>
      <w:r w:rsidRPr="00ED0D98">
        <w:rPr>
          <w:szCs w:val="26"/>
        </w:rPr>
        <w:t xml:space="preserve">for </w:t>
      </w:r>
      <w:r w:rsidRPr="00ED0D98" w:rsidR="005908F3">
        <w:rPr>
          <w:szCs w:val="26"/>
        </w:rPr>
        <w:t>R</w:t>
      </w:r>
      <w:r w:rsidRPr="00ED0D98">
        <w:rPr>
          <w:szCs w:val="26"/>
        </w:rPr>
        <w:t xml:space="preserve">ehearing of </w:t>
      </w:r>
      <w:r w:rsidRPr="00ED0D98" w:rsidR="005B1DF1">
        <w:rPr>
          <w:szCs w:val="26"/>
        </w:rPr>
        <w:t>Resolution T</w:t>
      </w:r>
      <w:r w:rsidR="00EE0820">
        <w:rPr>
          <w:szCs w:val="26"/>
        </w:rPr>
        <w:noBreakHyphen/>
      </w:r>
      <w:r w:rsidRPr="00ED0D98" w:rsidR="005C563B">
        <w:rPr>
          <w:szCs w:val="26"/>
        </w:rPr>
        <w:t>1761</w:t>
      </w:r>
      <w:r w:rsidRPr="00ED0D98" w:rsidR="00DF42F5">
        <w:rPr>
          <w:szCs w:val="26"/>
        </w:rPr>
        <w:t>6</w:t>
      </w:r>
      <w:r w:rsidRPr="00ED0D98" w:rsidR="005B1DF1">
        <w:rPr>
          <w:szCs w:val="26"/>
        </w:rPr>
        <w:t xml:space="preserve"> (Resolution) by </w:t>
      </w:r>
      <w:r w:rsidRPr="00ED0D98" w:rsidR="008269DC">
        <w:rPr>
          <w:bCs/>
          <w:szCs w:val="26"/>
        </w:rPr>
        <w:t>Calaveras Telephone Company (U 1004 C), Cal-Ore Telephone Co. (U</w:t>
      </w:r>
      <w:r w:rsidR="00ED0D98">
        <w:rPr>
          <w:bCs/>
          <w:szCs w:val="26"/>
        </w:rPr>
        <w:t> </w:t>
      </w:r>
      <w:r w:rsidRPr="00ED0D98" w:rsidR="008269DC">
        <w:rPr>
          <w:bCs/>
          <w:szCs w:val="26"/>
        </w:rPr>
        <w:t>1006 C), Ducor Telephone Company (U 1007 C), Foresthill Telephone Co. (U</w:t>
      </w:r>
      <w:r w:rsidR="00ED0D98">
        <w:rPr>
          <w:bCs/>
          <w:szCs w:val="26"/>
        </w:rPr>
        <w:t> </w:t>
      </w:r>
      <w:r w:rsidRPr="00ED0D98" w:rsidR="008269DC">
        <w:rPr>
          <w:bCs/>
          <w:szCs w:val="26"/>
        </w:rPr>
        <w:t>1009</w:t>
      </w:r>
      <w:r w:rsidR="00ED0D98">
        <w:rPr>
          <w:bCs/>
          <w:szCs w:val="26"/>
        </w:rPr>
        <w:t> </w:t>
      </w:r>
      <w:r w:rsidRPr="00ED0D98" w:rsidR="008269DC">
        <w:rPr>
          <w:bCs/>
          <w:szCs w:val="26"/>
        </w:rPr>
        <w:t>C), Kerman Telephone Co. (U 1012 C), Pinnacles Telephone Co. (U 1013 C), The Ponderosa Telephone Co. (U 1014 C), Sierra Telephone Company, Inc. (U 1016 C), The Siskiyou Telephone Company (U 1017 C), and Volcano Telephone Company (U</w:t>
      </w:r>
      <w:r w:rsidR="00ED0D98">
        <w:rPr>
          <w:bCs/>
          <w:szCs w:val="26"/>
        </w:rPr>
        <w:t> </w:t>
      </w:r>
      <w:r w:rsidRPr="00ED0D98" w:rsidR="008269DC">
        <w:rPr>
          <w:bCs/>
          <w:szCs w:val="26"/>
        </w:rPr>
        <w:t xml:space="preserve">1019 C), filed on </w:t>
      </w:r>
      <w:r w:rsidRPr="00ED0D98" w:rsidR="00910111">
        <w:rPr>
          <w:bCs/>
          <w:szCs w:val="26"/>
        </w:rPr>
        <w:t xml:space="preserve">December 14, 2018. </w:t>
      </w:r>
      <w:r w:rsidRPr="00ED0D98" w:rsidR="008269DC">
        <w:rPr>
          <w:b/>
          <w:szCs w:val="26"/>
        </w:rPr>
        <w:t xml:space="preserve"> </w:t>
      </w:r>
      <w:r w:rsidRPr="00ED0D98" w:rsidR="00952385">
        <w:rPr>
          <w:szCs w:val="26"/>
        </w:rPr>
        <w:t xml:space="preserve">We deny rehearing, </w:t>
      </w:r>
      <w:r w:rsidRPr="00ED0D98" w:rsidR="00F4731E">
        <w:rPr>
          <w:szCs w:val="26"/>
        </w:rPr>
        <w:t xml:space="preserve">but </w:t>
      </w:r>
      <w:r w:rsidRPr="00ED0D98" w:rsidR="00BF39EF">
        <w:rPr>
          <w:szCs w:val="26"/>
        </w:rPr>
        <w:t xml:space="preserve">order </w:t>
      </w:r>
      <w:r w:rsidRPr="00ED0D98" w:rsidR="00F4731E">
        <w:rPr>
          <w:szCs w:val="26"/>
        </w:rPr>
        <w:t>modi</w:t>
      </w:r>
      <w:r w:rsidRPr="00ED0D98" w:rsidR="00BF39EF">
        <w:rPr>
          <w:szCs w:val="26"/>
        </w:rPr>
        <w:t>fications</w:t>
      </w:r>
      <w:r w:rsidRPr="00ED0D98" w:rsidR="00DF1E0B">
        <w:rPr>
          <w:szCs w:val="26"/>
        </w:rPr>
        <w:t xml:space="preserve"> to</w:t>
      </w:r>
      <w:r w:rsidRPr="00ED0D98" w:rsidR="00F4731E">
        <w:rPr>
          <w:szCs w:val="26"/>
        </w:rPr>
        <w:t xml:space="preserve"> Resolution T-17616, as discussed below.</w:t>
      </w:r>
      <w:r w:rsidRPr="00ED0D98" w:rsidR="00E87A50">
        <w:rPr>
          <w:szCs w:val="26"/>
        </w:rPr>
        <w:t xml:space="preserve">  </w:t>
      </w:r>
    </w:p>
    <w:p w:rsidRPr="00ED0D98" w:rsidR="00007133" w:rsidP="00EB3E35" w:rsidRDefault="00007133" w14:paraId="38A9835A" w14:textId="16E6F8F8">
      <w:pPr>
        <w:tabs>
          <w:tab w:val="clear" w:pos="5040"/>
        </w:tabs>
        <w:overflowPunct/>
        <w:autoSpaceDE/>
        <w:autoSpaceDN/>
        <w:adjustRightInd/>
        <w:spacing w:line="360" w:lineRule="auto"/>
        <w:textAlignment w:val="auto"/>
        <w:rPr>
          <w:b/>
          <w:kern w:val="28"/>
          <w:szCs w:val="26"/>
          <w:u w:val="single"/>
        </w:rPr>
      </w:pPr>
      <w:r w:rsidRPr="00ED0D98">
        <w:rPr>
          <w:b/>
          <w:kern w:val="28"/>
          <w:szCs w:val="26"/>
          <w:u w:val="single"/>
        </w:rPr>
        <w:t>BACKGROUND</w:t>
      </w:r>
    </w:p>
    <w:p w:rsidRPr="00ED0D98" w:rsidR="00A16FD7" w:rsidP="003123FE" w:rsidRDefault="00A16FD7" w14:paraId="7FF4A8A5" w14:textId="6D14E97A">
      <w:pPr>
        <w:pStyle w:val="BodyText"/>
        <w:ind w:firstLine="1350"/>
        <w:rPr>
          <w:szCs w:val="26"/>
        </w:rPr>
      </w:pPr>
      <w:r w:rsidRPr="00ED0D98">
        <w:rPr>
          <w:szCs w:val="26"/>
        </w:rPr>
        <w:t>The Commission administers the California High Cost Fund A (CHCF-A) program pursuant to Public Utilities Code section 275.6 as part of the state’s universal service commitment to the continued affordability and widespread availability of safe, reliable, high quality communications services in rural areas of the state.</w:t>
      </w:r>
      <w:r w:rsidRPr="00ED0D98">
        <w:rPr>
          <w:b/>
          <w:szCs w:val="26"/>
          <w:u w:val="single"/>
          <w:vertAlign w:val="superscript"/>
        </w:rPr>
        <w:footnoteReference w:id="2"/>
      </w:r>
      <w:r w:rsidRPr="00ED0D98">
        <w:rPr>
          <w:szCs w:val="26"/>
        </w:rPr>
        <w:t xml:space="preserve">  The CHCF-A </w:t>
      </w:r>
      <w:r w:rsidRPr="00ED0D98">
        <w:rPr>
          <w:szCs w:val="26"/>
        </w:rPr>
        <w:lastRenderedPageBreak/>
        <w:t>funds support the ten Independent Small Local Exchange Carriers (Small LECs) subject to rate-of-return regulation in amounts sufficient to meet their Commission authorized revenue requirements.</w:t>
      </w:r>
      <w:r w:rsidRPr="00ED0D98">
        <w:rPr>
          <w:b/>
          <w:szCs w:val="26"/>
          <w:u w:val="single"/>
          <w:vertAlign w:val="superscript"/>
        </w:rPr>
        <w:footnoteReference w:id="3"/>
      </w:r>
      <w:r w:rsidRPr="00ED0D98">
        <w:rPr>
          <w:szCs w:val="26"/>
        </w:rPr>
        <w:t xml:space="preserve">  The Commission adopts the revenue requirement as well as the CHCF-A support in the carriers’ respective General Rate Cases (GRCs). </w:t>
      </w:r>
      <w:r w:rsidR="00ED0D98">
        <w:rPr>
          <w:szCs w:val="26"/>
        </w:rPr>
        <w:t xml:space="preserve"> </w:t>
      </w:r>
      <w:r w:rsidRPr="00ED0D98">
        <w:rPr>
          <w:szCs w:val="26"/>
        </w:rPr>
        <w:t>These amounts may be updated by post-GRC Cost of Capital proceedings.  The Commission verifies a carrier’s eligibility for continued funding through an annual advice letter process outlined in the CHCF-A rules in Decision (D.) 91-09-042.</w:t>
      </w:r>
      <w:r w:rsidRPr="00ED0D98">
        <w:rPr>
          <w:rStyle w:val="FootnoteReference"/>
          <w:sz w:val="26"/>
          <w:szCs w:val="26"/>
        </w:rPr>
        <w:footnoteReference w:id="4"/>
      </w:r>
    </w:p>
    <w:p w:rsidRPr="00ED0D98" w:rsidR="00A16FD7" w:rsidP="003123FE" w:rsidRDefault="00A16FD7" w14:paraId="67F6C271" w14:textId="7FA1BE49">
      <w:pPr>
        <w:pStyle w:val="BodyText"/>
        <w:ind w:firstLine="1440"/>
        <w:rPr>
          <w:szCs w:val="26"/>
        </w:rPr>
      </w:pPr>
      <w:r w:rsidRPr="00ED0D98">
        <w:rPr>
          <w:szCs w:val="26"/>
        </w:rPr>
        <w:t>On December 22, 2017, Congress enacted the Tax Cut and Jobs Act of 2017 (TCJA), which substantively reduced the top corporate income tax rate from 35 percent to 21 percent.</w:t>
      </w:r>
      <w:r w:rsidRPr="00ED0D98">
        <w:rPr>
          <w:rStyle w:val="FootnoteReference"/>
          <w:sz w:val="26"/>
          <w:szCs w:val="26"/>
        </w:rPr>
        <w:footnoteReference w:id="5"/>
      </w:r>
      <w:r w:rsidRPr="00ED0D98">
        <w:rPr>
          <w:szCs w:val="26"/>
        </w:rPr>
        <w:t xml:space="preserve">  The new law became effective on January 1, 2018.  </w:t>
      </w:r>
    </w:p>
    <w:p w:rsidRPr="00ED0D98" w:rsidR="00427C35" w:rsidP="003123FE" w:rsidRDefault="00427C35" w14:paraId="1EF8737B" w14:textId="564DD23F">
      <w:pPr>
        <w:pStyle w:val="BodyText"/>
        <w:ind w:firstLine="1440"/>
        <w:rPr>
          <w:szCs w:val="26"/>
        </w:rPr>
      </w:pPr>
      <w:r w:rsidRPr="00ED0D98">
        <w:rPr>
          <w:szCs w:val="26"/>
        </w:rPr>
        <w:t>In general, the Commission treats income tax expense as a revenue requirement component during the Test Year of a GRC.  Noting that the impact of the TCJA could be lost without regulatory action, the CPUC’s Communications Division Director sent a letter to the ten Small LECs on March 16, 2018.</w:t>
      </w:r>
      <w:r w:rsidRPr="00ED0D98" w:rsidR="00712EA0">
        <w:rPr>
          <w:rStyle w:val="FootnoteReference"/>
          <w:sz w:val="26"/>
          <w:szCs w:val="26"/>
        </w:rPr>
        <w:footnoteReference w:id="6"/>
      </w:r>
      <w:r w:rsidRPr="00ED0D98">
        <w:rPr>
          <w:szCs w:val="26"/>
        </w:rPr>
        <w:t xml:space="preserve">  The letter acknowledged that Calaveras, Cal-Ore, Ponderosa, and Sierra had a GRC for Test Year 2018 and had already filed Tier 2 advice letters to account for the TCJA tax changes.</w:t>
      </w:r>
      <w:r w:rsidRPr="00ED0D98" w:rsidR="000D0755">
        <w:rPr>
          <w:b/>
          <w:szCs w:val="26"/>
          <w:u w:val="single"/>
          <w:vertAlign w:val="superscript"/>
        </w:rPr>
        <w:footnoteReference w:id="7"/>
      </w:r>
      <w:r w:rsidRPr="00ED0D98">
        <w:rPr>
          <w:szCs w:val="26"/>
        </w:rPr>
        <w:t xml:space="preserve">  The letter directed the remaining six Small LECs—Ducor, Foresthill, Kerman, Pinnacles, Siskiyou, and Volcano—to file separate Tier 1 Advice Letters to establish a Tax Accounting Memorandum Account, effective April 1, 2018, to track the realized tax </w:t>
      </w:r>
      <w:r w:rsidRPr="00ED0D98">
        <w:rPr>
          <w:szCs w:val="26"/>
        </w:rPr>
        <w:lastRenderedPageBreak/>
        <w:t>savings of the TCJA on Commission-jurisdictional revenue requirements.  The six Small LECs followed suit, each submitting an Advice Letter on March 30, 2018.</w:t>
      </w:r>
    </w:p>
    <w:p w:rsidRPr="00ED0D98" w:rsidR="00457642" w:rsidP="003123FE" w:rsidRDefault="000D12A2" w14:paraId="4E5E297C" w14:textId="60A11464">
      <w:pPr>
        <w:tabs>
          <w:tab w:val="clear" w:pos="5040"/>
        </w:tabs>
        <w:overflowPunct/>
        <w:autoSpaceDE/>
        <w:autoSpaceDN/>
        <w:adjustRightInd/>
        <w:spacing w:line="360" w:lineRule="auto"/>
        <w:ind w:firstLine="1440"/>
        <w:textAlignment w:val="auto"/>
        <w:rPr>
          <w:szCs w:val="26"/>
        </w:rPr>
      </w:pPr>
      <w:r w:rsidRPr="00ED0D98">
        <w:rPr>
          <w:szCs w:val="26"/>
        </w:rPr>
        <w:t>On November 14, 2018, the Commission issued Resolution (Res.) T-17616, authorizing an aggregate reduction of $1,291,652 in revenue requirement and a corresponding reduction in CHCF-A support for the period April 1, 2018 through December 21, 2018.  The reduction in revenue requirement and CHCF-A support amount reflects Staff’s recalculation of each of the carriers’ last GRC Test Year results of operations from a 34</w:t>
      </w:r>
      <w:r w:rsidRPr="00ED0D98" w:rsidR="00712EA0">
        <w:rPr>
          <w:szCs w:val="26"/>
        </w:rPr>
        <w:t xml:space="preserve"> percent</w:t>
      </w:r>
      <w:r w:rsidRPr="00ED0D98">
        <w:rPr>
          <w:szCs w:val="26"/>
        </w:rPr>
        <w:t xml:space="preserve"> Federal Income Tax Rate (FTIR) to the 21</w:t>
      </w:r>
      <w:r w:rsidRPr="00ED0D98" w:rsidR="00712EA0">
        <w:rPr>
          <w:szCs w:val="26"/>
        </w:rPr>
        <w:t xml:space="preserve"> percent</w:t>
      </w:r>
      <w:r w:rsidRPr="00ED0D98">
        <w:rPr>
          <w:szCs w:val="26"/>
        </w:rPr>
        <w:t xml:space="preserve"> FTIR established by the new law.  </w:t>
      </w:r>
    </w:p>
    <w:p w:rsidRPr="00ED0D98" w:rsidR="000D12A2" w:rsidP="003123FE" w:rsidRDefault="000D12A2" w14:paraId="5F883718" w14:textId="138E1F94">
      <w:pPr>
        <w:tabs>
          <w:tab w:val="clear" w:pos="5040"/>
        </w:tabs>
        <w:overflowPunct/>
        <w:autoSpaceDE/>
        <w:autoSpaceDN/>
        <w:adjustRightInd/>
        <w:spacing w:after="120" w:line="360" w:lineRule="auto"/>
        <w:ind w:firstLine="1440"/>
        <w:textAlignment w:val="auto"/>
        <w:rPr>
          <w:szCs w:val="26"/>
        </w:rPr>
      </w:pPr>
      <w:r w:rsidRPr="00ED0D98">
        <w:rPr>
          <w:szCs w:val="26"/>
        </w:rPr>
        <w:t xml:space="preserve">On December 14, 2018, all ten Small LECs jointly and timely filed this application for rehearing of Res. T-17616, asserting that the adjustments to Ducor, Foresthill, Kerman, Pinnacles, Siskiyou, and Volcano revenue requirements and CHCF-A support are unlawful because: </w:t>
      </w:r>
    </w:p>
    <w:p w:rsidRPr="00ED0D98" w:rsidR="003D769B" w:rsidP="001C1E5D" w:rsidRDefault="003D769B" w14:paraId="686A9487" w14:textId="77777777">
      <w:pPr>
        <w:pStyle w:val="BodyText"/>
        <w:numPr>
          <w:ilvl w:val="0"/>
          <w:numId w:val="5"/>
        </w:numPr>
        <w:overflowPunct/>
        <w:autoSpaceDE/>
        <w:autoSpaceDN/>
        <w:adjustRightInd/>
        <w:spacing w:after="120" w:line="240" w:lineRule="auto"/>
        <w:ind w:left="1440" w:right="720" w:hanging="720"/>
        <w:textAlignment w:val="auto"/>
        <w:rPr>
          <w:szCs w:val="26"/>
        </w:rPr>
      </w:pPr>
      <w:r w:rsidRPr="00ED0D98">
        <w:rPr>
          <w:szCs w:val="26"/>
        </w:rPr>
        <w:t xml:space="preserve">The Resolution fails to proceed in manner required by law and is unsupported by the findings pursuant to Pub. Util. Code § 1757(a)(2) and (3)  </w:t>
      </w:r>
    </w:p>
    <w:p w:rsidRPr="00ED0D98" w:rsidR="003D769B" w:rsidP="001C1E5D" w:rsidRDefault="003D769B" w14:paraId="5BD0DDD3" w14:textId="77777777">
      <w:pPr>
        <w:pStyle w:val="BodyText"/>
        <w:numPr>
          <w:ilvl w:val="0"/>
          <w:numId w:val="5"/>
        </w:numPr>
        <w:overflowPunct/>
        <w:autoSpaceDE/>
        <w:autoSpaceDN/>
        <w:adjustRightInd/>
        <w:spacing w:after="120" w:line="240" w:lineRule="auto"/>
        <w:ind w:left="1440" w:right="720" w:hanging="720"/>
        <w:textAlignment w:val="auto"/>
        <w:rPr>
          <w:szCs w:val="26"/>
        </w:rPr>
      </w:pPr>
      <w:r w:rsidRPr="00ED0D98">
        <w:rPr>
          <w:szCs w:val="26"/>
        </w:rPr>
        <w:t xml:space="preserve">The Resolution is arbitrary and capricious, and an abuse of discretion per Pub. Util. Code § 1757(a)(5) </w:t>
      </w:r>
    </w:p>
    <w:p w:rsidRPr="00ED0D98" w:rsidR="003D769B" w:rsidP="001C1E5D" w:rsidRDefault="003D769B" w14:paraId="76DADF3C" w14:textId="77777777">
      <w:pPr>
        <w:pStyle w:val="BodyText"/>
        <w:numPr>
          <w:ilvl w:val="0"/>
          <w:numId w:val="5"/>
        </w:numPr>
        <w:overflowPunct/>
        <w:autoSpaceDE/>
        <w:autoSpaceDN/>
        <w:adjustRightInd/>
        <w:spacing w:after="120" w:line="240" w:lineRule="auto"/>
        <w:ind w:left="1440" w:right="720" w:hanging="720"/>
        <w:textAlignment w:val="auto"/>
        <w:rPr>
          <w:szCs w:val="26"/>
        </w:rPr>
      </w:pPr>
      <w:r w:rsidRPr="00ED0D98">
        <w:rPr>
          <w:szCs w:val="26"/>
        </w:rPr>
        <w:t xml:space="preserve">The Resolution violates due process rights without hearing or notice and opportunity to be heard; and </w:t>
      </w:r>
    </w:p>
    <w:p w:rsidRPr="00ED0D98" w:rsidR="003D769B" w:rsidP="001C1E5D" w:rsidRDefault="003D769B" w14:paraId="45B2FD1A" w14:textId="77777777">
      <w:pPr>
        <w:pStyle w:val="BodyText"/>
        <w:numPr>
          <w:ilvl w:val="0"/>
          <w:numId w:val="5"/>
        </w:numPr>
        <w:overflowPunct/>
        <w:autoSpaceDE/>
        <w:autoSpaceDN/>
        <w:adjustRightInd/>
        <w:spacing w:after="240" w:line="240" w:lineRule="auto"/>
        <w:ind w:left="1440" w:right="720" w:hanging="720"/>
        <w:textAlignment w:val="auto"/>
        <w:rPr>
          <w:szCs w:val="26"/>
        </w:rPr>
      </w:pPr>
      <w:r w:rsidRPr="00ED0D98">
        <w:rPr>
          <w:szCs w:val="26"/>
        </w:rPr>
        <w:t xml:space="preserve">The Resolution is an illegal taking of the companies’ property.  </w:t>
      </w:r>
    </w:p>
    <w:p w:rsidRPr="00ED0D98" w:rsidR="003D769B" w:rsidP="003123FE" w:rsidRDefault="003D769B" w14:paraId="7EA4B578" w14:textId="2411B57F">
      <w:pPr>
        <w:pStyle w:val="BodyText"/>
        <w:ind w:firstLine="1440"/>
        <w:rPr>
          <w:szCs w:val="26"/>
        </w:rPr>
      </w:pPr>
      <w:r w:rsidRPr="00ED0D98">
        <w:rPr>
          <w:szCs w:val="26"/>
        </w:rPr>
        <w:t>The Small LECs claim that the Resolution’s incorrect findings may be used to make open-ended adjustments to the Small LECs’ CHCF-A support.  The ten Small LECs also assert the discussion in Res. T-</w:t>
      </w:r>
      <w:r w:rsidRPr="00ED0D98" w:rsidR="00DD1713">
        <w:rPr>
          <w:szCs w:val="26"/>
        </w:rPr>
        <w:t>1</w:t>
      </w:r>
      <w:r w:rsidRPr="00ED0D98">
        <w:rPr>
          <w:szCs w:val="26"/>
        </w:rPr>
        <w:t xml:space="preserve">7616 regarding the treatment of excess deferred taxes using the normalization method in future rate cases constitutes an unlawful predetermination of the outcome of those rate cases.  </w:t>
      </w:r>
    </w:p>
    <w:p w:rsidRPr="00ED0D98" w:rsidR="00C216FC" w:rsidP="003123FE" w:rsidRDefault="00C216FC" w14:paraId="3B0187A2" w14:textId="6464C3C4">
      <w:pPr>
        <w:pStyle w:val="BodyText"/>
        <w:ind w:firstLine="1440"/>
        <w:rPr>
          <w:szCs w:val="26"/>
        </w:rPr>
      </w:pPr>
      <w:r w:rsidRPr="00ED0D98">
        <w:rPr>
          <w:szCs w:val="26"/>
        </w:rPr>
        <w:t xml:space="preserve">In </w:t>
      </w:r>
      <w:r w:rsidRPr="00ED0D98" w:rsidR="004765D6">
        <w:rPr>
          <w:szCs w:val="26"/>
        </w:rPr>
        <w:t>our review</w:t>
      </w:r>
      <w:r w:rsidRPr="00ED0D98">
        <w:rPr>
          <w:szCs w:val="26"/>
        </w:rPr>
        <w:t xml:space="preserve"> of </w:t>
      </w:r>
      <w:r w:rsidRPr="00ED0D98" w:rsidR="002F2E07">
        <w:rPr>
          <w:szCs w:val="26"/>
        </w:rPr>
        <w:t>this</w:t>
      </w:r>
      <w:r w:rsidRPr="00ED0D98" w:rsidR="004765D6">
        <w:rPr>
          <w:szCs w:val="26"/>
        </w:rPr>
        <w:t xml:space="preserve"> Application for Rehearing</w:t>
      </w:r>
      <w:r w:rsidRPr="00ED0D98">
        <w:rPr>
          <w:szCs w:val="26"/>
        </w:rPr>
        <w:t>, we consider the following issues:</w:t>
      </w:r>
    </w:p>
    <w:p w:rsidRPr="00ED0D98" w:rsidR="00C216FC" w:rsidP="00ED0D98" w:rsidRDefault="00C216FC" w14:paraId="44BD22ED" w14:textId="77777777">
      <w:pPr>
        <w:numPr>
          <w:ilvl w:val="0"/>
          <w:numId w:val="8"/>
        </w:numPr>
        <w:tabs>
          <w:tab w:val="clear" w:pos="5040"/>
          <w:tab w:val="left" w:pos="1440"/>
        </w:tabs>
        <w:overflowPunct/>
        <w:autoSpaceDE/>
        <w:autoSpaceDN/>
        <w:adjustRightInd/>
        <w:spacing w:after="120"/>
        <w:ind w:left="1440" w:right="720" w:hanging="720"/>
        <w:textAlignment w:val="auto"/>
        <w:rPr>
          <w:szCs w:val="26"/>
        </w:rPr>
      </w:pPr>
      <w:r w:rsidRPr="00ED0D98">
        <w:rPr>
          <w:szCs w:val="26"/>
        </w:rPr>
        <w:lastRenderedPageBreak/>
        <w:t>Whether the Commission may adjust Small LEC revenue requirement and corresponding CHCF-A support based on tax law changes between GRCs.</w:t>
      </w:r>
    </w:p>
    <w:p w:rsidRPr="00ED0D98" w:rsidR="00C216FC" w:rsidP="00ED0D98" w:rsidRDefault="00C216FC" w14:paraId="1F7E22A4" w14:textId="77777777">
      <w:pPr>
        <w:numPr>
          <w:ilvl w:val="0"/>
          <w:numId w:val="8"/>
        </w:numPr>
        <w:tabs>
          <w:tab w:val="clear" w:pos="5040"/>
          <w:tab w:val="left" w:pos="1440"/>
        </w:tabs>
        <w:overflowPunct/>
        <w:autoSpaceDE/>
        <w:autoSpaceDN/>
        <w:adjustRightInd/>
        <w:spacing w:after="120"/>
        <w:ind w:left="1440" w:right="720" w:hanging="720"/>
        <w:textAlignment w:val="auto"/>
        <w:rPr>
          <w:szCs w:val="26"/>
        </w:rPr>
      </w:pPr>
      <w:r w:rsidRPr="00ED0D98">
        <w:rPr>
          <w:szCs w:val="26"/>
        </w:rPr>
        <w:t>Whether Res. T-17616 erred by discussing the normalization (disposal) of excess deferred income tax to be raised in the carriers’ next GRC.</w:t>
      </w:r>
    </w:p>
    <w:p w:rsidRPr="00ED0D98" w:rsidR="0097477A" w:rsidP="00EB3E35" w:rsidRDefault="00EB3E35" w14:paraId="1923A59F" w14:textId="02AC0E51">
      <w:pPr>
        <w:pStyle w:val="BodyText"/>
        <w:ind w:firstLine="0"/>
        <w:rPr>
          <w:b/>
          <w:bCs/>
          <w:szCs w:val="26"/>
          <w:u w:val="single"/>
        </w:rPr>
      </w:pPr>
      <w:r w:rsidRPr="00ED0D98">
        <w:rPr>
          <w:b/>
          <w:bCs/>
          <w:szCs w:val="26"/>
          <w:u w:val="single"/>
        </w:rPr>
        <w:t>DISCUSSION</w:t>
      </w:r>
    </w:p>
    <w:p w:rsidR="00D76412" w:rsidP="003123FE" w:rsidRDefault="00E82475" w14:paraId="540DD1DE" w14:textId="7B512B04">
      <w:pPr>
        <w:pStyle w:val="Heading1"/>
      </w:pPr>
      <w:r w:rsidRPr="003B1870">
        <w:t>THE COMMISSION IS NOT PROHIBITED FROM MAKING CERTAIN ADJUSTMENTS BASED ON FEDERAL TAX LAW CHANGES BETWEEN GENERAL RATE CASES.</w:t>
      </w:r>
    </w:p>
    <w:p w:rsidRPr="00E82475" w:rsidR="00E82475" w:rsidP="00E82475" w:rsidRDefault="00E82475" w14:paraId="73EC2087" w14:textId="4C510CF3">
      <w:pPr>
        <w:pStyle w:val="Heading2"/>
      </w:pPr>
      <w:r w:rsidRPr="00E82475">
        <w:t>The Small LECs’ narrow reading of the CHCF-A rules adopted by D.91-09-042 conflicts with section 275.6.</w:t>
      </w:r>
    </w:p>
    <w:p w:rsidRPr="00ED0D98" w:rsidR="0036542A" w:rsidP="003123FE" w:rsidRDefault="0036542A" w14:paraId="6197E238" w14:textId="5B1333D5">
      <w:pPr>
        <w:pStyle w:val="BodyText"/>
        <w:ind w:firstLine="1440"/>
        <w:rPr>
          <w:szCs w:val="26"/>
        </w:rPr>
      </w:pPr>
      <w:r w:rsidRPr="00ED0D98">
        <w:rPr>
          <w:szCs w:val="26"/>
        </w:rPr>
        <w:t>The Small LECs argue Res. T-17616 fails to proceed in a manner required by law because “regulatory changes of industry-wide effect” only applies to order</w:t>
      </w:r>
      <w:r w:rsidRPr="00ED0D98" w:rsidR="002454B3">
        <w:rPr>
          <w:szCs w:val="26"/>
        </w:rPr>
        <w:t>s</w:t>
      </w:r>
      <w:r w:rsidRPr="00ED0D98">
        <w:rPr>
          <w:szCs w:val="26"/>
        </w:rPr>
        <w:t xml:space="preserve"> by the Commission or the Federal Communications Commission (FCC).  </w:t>
      </w:r>
      <w:bookmarkStart w:name="_Hlk70509849" w:id="2"/>
      <w:bookmarkStart w:name="_Hlk70509813" w:id="3"/>
      <w:r w:rsidRPr="00ED0D98">
        <w:rPr>
          <w:szCs w:val="26"/>
        </w:rPr>
        <w:t xml:space="preserve">The Small LECs claim </w:t>
      </w:r>
      <w:r w:rsidRPr="00ED0D98" w:rsidR="006D2502">
        <w:rPr>
          <w:szCs w:val="26"/>
        </w:rPr>
        <w:t xml:space="preserve">the change in tax law embodied in the TCJA cannot satisfy the standards in </w:t>
      </w:r>
      <w:r w:rsidRPr="00ED0D98">
        <w:rPr>
          <w:szCs w:val="26"/>
        </w:rPr>
        <w:t>D.91-09-042</w:t>
      </w:r>
      <w:r w:rsidRPr="00ED0D98" w:rsidR="006D2502">
        <w:rPr>
          <w:szCs w:val="26"/>
        </w:rPr>
        <w:t xml:space="preserve"> for making adjustments to ratemaking metrics between rate cases because the TCJA is not a “regulatory change” resulting from a Commission or FCC order</w:t>
      </w:r>
      <w:bookmarkEnd w:id="2"/>
      <w:r w:rsidRPr="00ED0D98">
        <w:rPr>
          <w:szCs w:val="26"/>
        </w:rPr>
        <w:t>.</w:t>
      </w:r>
      <w:r w:rsidRPr="00ED0D98">
        <w:rPr>
          <w:rStyle w:val="FootnoteReference"/>
          <w:sz w:val="26"/>
          <w:szCs w:val="26"/>
        </w:rPr>
        <w:footnoteReference w:id="8"/>
      </w:r>
      <w:bookmarkEnd w:id="3"/>
      <w:r w:rsidRPr="00ED0D98">
        <w:rPr>
          <w:szCs w:val="26"/>
        </w:rPr>
        <w:t xml:space="preserve">  Since the TCJA is an act of Congress and not a change promulgated by a regulatory agency, the Small LECs assert the conclusions in Res. T-17616 constitute a failure to proceed in the manner required by law and are unsupported by the findings.</w:t>
      </w:r>
      <w:r w:rsidRPr="00ED0D98">
        <w:rPr>
          <w:rStyle w:val="FootnoteReference"/>
          <w:sz w:val="26"/>
          <w:szCs w:val="26"/>
        </w:rPr>
        <w:footnoteReference w:id="9"/>
      </w:r>
      <w:r w:rsidRPr="00ED0D98">
        <w:rPr>
          <w:szCs w:val="26"/>
        </w:rPr>
        <w:t xml:space="preserve">  The Small LECs also argue the adjustments were based on only one component of the companies’ costs that have changed since their last GRCs and the Resolution fails to consider any other component that may have changed.</w:t>
      </w:r>
      <w:r w:rsidRPr="00ED0D98">
        <w:rPr>
          <w:rStyle w:val="FootnoteReference"/>
          <w:sz w:val="26"/>
          <w:szCs w:val="26"/>
        </w:rPr>
        <w:footnoteReference w:id="10"/>
      </w:r>
      <w:r w:rsidRPr="00ED0D98">
        <w:rPr>
          <w:szCs w:val="26"/>
        </w:rPr>
        <w:t xml:space="preserve">  We disagree.  </w:t>
      </w:r>
    </w:p>
    <w:p w:rsidRPr="00ED0D98" w:rsidR="0036542A" w:rsidP="003123FE" w:rsidRDefault="0036542A" w14:paraId="1ACE5C62" w14:textId="5C6AA968">
      <w:pPr>
        <w:pStyle w:val="BodyText"/>
        <w:ind w:firstLine="1440"/>
        <w:rPr>
          <w:szCs w:val="26"/>
        </w:rPr>
      </w:pPr>
      <w:r w:rsidRPr="00ED0D98">
        <w:rPr>
          <w:szCs w:val="26"/>
        </w:rPr>
        <w:t xml:space="preserve">Section 275.6(c) sets forth the Commission’s obligations in establishing the CHCF-A program, which </w:t>
      </w:r>
      <w:r w:rsidRPr="00ED0D98" w:rsidR="000F1C17">
        <w:rPr>
          <w:szCs w:val="26"/>
        </w:rPr>
        <w:t>we</w:t>
      </w:r>
      <w:r w:rsidRPr="00ED0D98">
        <w:rPr>
          <w:szCs w:val="26"/>
        </w:rPr>
        <w:t xml:space="preserve"> implemented in D.91-09-042.  Appendix A of that decision describe the CHCF-A rules, such as the annual Advice Letter process which allow the </w:t>
      </w:r>
      <w:r w:rsidRPr="00ED0D98">
        <w:rPr>
          <w:szCs w:val="26"/>
        </w:rPr>
        <w:lastRenderedPageBreak/>
        <w:t>Small LECs to carry through funding in non-GRC years and request adjustments to address revenue impacts of “regulatory changes ordered by the Commission and the Federal Communications Commission (FCC).”</w:t>
      </w:r>
      <w:r w:rsidRPr="00ED0D98">
        <w:rPr>
          <w:rStyle w:val="FootnoteReference"/>
          <w:sz w:val="26"/>
          <w:szCs w:val="26"/>
        </w:rPr>
        <w:footnoteReference w:id="11"/>
      </w:r>
      <w:r w:rsidRPr="00ED0D98">
        <w:rPr>
          <w:szCs w:val="26"/>
        </w:rPr>
        <w:t xml:space="preserve">  The rules also specify instructions for the inclusion of certain information “</w:t>
      </w:r>
      <w:r w:rsidRPr="00ED0D98">
        <w:rPr>
          <w:i/>
          <w:iCs/>
          <w:szCs w:val="26"/>
        </w:rPr>
        <w:t>as well as all other regulatory changes of industry-wide effect.”</w:t>
      </w:r>
      <w:r w:rsidRPr="00ED0D98">
        <w:rPr>
          <w:rStyle w:val="FootnoteReference"/>
          <w:sz w:val="26"/>
          <w:szCs w:val="26"/>
        </w:rPr>
        <w:footnoteReference w:id="12"/>
      </w:r>
      <w:r w:rsidRPr="00ED0D98">
        <w:rPr>
          <w:szCs w:val="26"/>
        </w:rPr>
        <w:t xml:space="preserve">  Examples of such changes are also listed, and include changes in levels of interstate high cost funding, interstate Non-Traffic Sensitive (NTS) assignment, other FCC-ordered changes such as rate changes affecting access charges, intraLATA toll or Extended Area Service (EAS) settlements revenues, interLATA separations shifts and the effects of other Commission decisions which increase or decrease settlements revenues or cost assignments.</w:t>
      </w:r>
      <w:r w:rsidRPr="00ED0D98">
        <w:rPr>
          <w:rStyle w:val="FootnoteReference"/>
          <w:sz w:val="26"/>
          <w:szCs w:val="26"/>
        </w:rPr>
        <w:footnoteReference w:id="13"/>
      </w:r>
      <w:r w:rsidRPr="00ED0D98">
        <w:rPr>
          <w:szCs w:val="26"/>
        </w:rPr>
        <w:t xml:space="preserve">  </w:t>
      </w:r>
    </w:p>
    <w:p w:rsidRPr="00ED0D98" w:rsidR="0036542A" w:rsidP="003123FE" w:rsidRDefault="0036542A" w14:paraId="79BACD80" w14:textId="77777777">
      <w:pPr>
        <w:pStyle w:val="BodyText"/>
        <w:ind w:firstLine="1440"/>
        <w:rPr>
          <w:szCs w:val="26"/>
        </w:rPr>
      </w:pPr>
      <w:r w:rsidRPr="00ED0D98">
        <w:rPr>
          <w:szCs w:val="26"/>
        </w:rPr>
        <w:t>The Small LECs assert because federal legislation is not an order by a regulatory agency, the rules do not permit the Commission to authorize reductions to revenue requirement or CHCF-A funding.  The rehearing application notes that the examples cited in page 2 of the Appendix are “all regulatory changes ordered by the Commission or the FCC,” and that D.91-09-042 permits adjustments only for “known Commission regulatory decisions.”</w:t>
      </w:r>
      <w:r w:rsidRPr="00ED0D98">
        <w:rPr>
          <w:rStyle w:val="FootnoteReference"/>
          <w:sz w:val="26"/>
          <w:szCs w:val="26"/>
        </w:rPr>
        <w:footnoteReference w:id="14"/>
      </w:r>
      <w:r w:rsidRPr="00ED0D98">
        <w:rPr>
          <w:szCs w:val="26"/>
        </w:rPr>
        <w:t xml:space="preserve">  Based on the rehearing applicants’ interpretation of the rules, the six Small LECs affected by this Resolution should have been permitted to collect on a revenue requirement based on the higher corporate tax rate—at least until a new GRC or other formal proceeding adopts an adjusted revenue requirement that applies the new federal tax laws.  </w:t>
      </w:r>
    </w:p>
    <w:p w:rsidRPr="00ED0D98" w:rsidR="0036542A" w:rsidP="003123FE" w:rsidRDefault="00B87DE2" w14:paraId="0E6AA6A8" w14:textId="73013FFC">
      <w:pPr>
        <w:pStyle w:val="BodyText"/>
        <w:ind w:firstLine="1440"/>
        <w:rPr>
          <w:szCs w:val="26"/>
        </w:rPr>
      </w:pPr>
      <w:r w:rsidRPr="00ED0D98">
        <w:rPr>
          <w:szCs w:val="26"/>
        </w:rPr>
        <w:t>We find no merit to the</w:t>
      </w:r>
      <w:r w:rsidRPr="00ED0D98" w:rsidR="0036542A">
        <w:rPr>
          <w:szCs w:val="26"/>
        </w:rPr>
        <w:t xml:space="preserve"> Small LECs’ arguments.  The Small LECs are incorrect that the Commission “must apply the [D.91-09-042] rules as they are written and may not arbitrarily and capriciously decide to make adjustments that are not </w:t>
      </w:r>
      <w:r w:rsidRPr="00ED0D98" w:rsidR="0036542A">
        <w:rPr>
          <w:szCs w:val="26"/>
        </w:rPr>
        <w:lastRenderedPageBreak/>
        <w:t>authorized by the CHCF-A rules.”</w:t>
      </w:r>
      <w:r w:rsidRPr="00ED0D98" w:rsidR="0036542A">
        <w:rPr>
          <w:rStyle w:val="FootnoteReference"/>
          <w:sz w:val="26"/>
          <w:szCs w:val="26"/>
        </w:rPr>
        <w:footnoteReference w:id="15"/>
      </w:r>
      <w:r w:rsidRPr="00ED0D98" w:rsidR="0036542A">
        <w:rPr>
          <w:szCs w:val="26"/>
        </w:rPr>
        <w:t xml:space="preserve">  First, the rules in D.91-09-042 are not meant to limit the Commission’s actions to make adjustments to a Small LECs’ revenue requirement or CHCF-A support in Non Test-Years.  As noted in the Resolution, D.91-09-042 does not preclude the Commission from considering the effects of income tax law changes on the utilities’ Test Year adopted revenue requirement and a corresponding CHCF-A subsidy amount.</w:t>
      </w:r>
      <w:r w:rsidRPr="00ED0D98" w:rsidR="0036542A">
        <w:rPr>
          <w:rStyle w:val="FootnoteReference"/>
          <w:sz w:val="26"/>
          <w:szCs w:val="26"/>
        </w:rPr>
        <w:footnoteReference w:id="16"/>
      </w:r>
      <w:r w:rsidRPr="00ED0D98" w:rsidR="0036542A">
        <w:rPr>
          <w:szCs w:val="26"/>
        </w:rPr>
        <w:t xml:space="preserve">  The Commission issued D.91-09-042 to implement the CHCF-A program and legislative mandates expressed in </w:t>
      </w:r>
      <w:r w:rsidRPr="00ED0D98" w:rsidR="00033CB7">
        <w:rPr>
          <w:szCs w:val="26"/>
        </w:rPr>
        <w:t>section</w:t>
      </w:r>
      <w:r w:rsidRPr="00ED0D98" w:rsidR="0036542A">
        <w:rPr>
          <w:szCs w:val="26"/>
        </w:rPr>
        <w:t xml:space="preserve"> 275.6.  Thus, the Commission’s interpretation of the statute controls—not the CHCF-A rules themselves—in determining whether the adjustments in Res. T-17616 were proper.</w:t>
      </w:r>
      <w:r w:rsidRPr="00ED0D98" w:rsidR="0036542A">
        <w:rPr>
          <w:rStyle w:val="FootnoteReference"/>
          <w:sz w:val="26"/>
          <w:szCs w:val="26"/>
        </w:rPr>
        <w:footnoteReference w:id="17"/>
      </w:r>
      <w:r w:rsidRPr="00ED0D98" w:rsidR="0036542A">
        <w:rPr>
          <w:szCs w:val="26"/>
        </w:rPr>
        <w:t xml:space="preserve">  The Commission maintains flexibility to alter these rules subject to the constraints promulgated by statute</w:t>
      </w:r>
      <w:r w:rsidRPr="00ED0D98" w:rsidR="00146E37">
        <w:rPr>
          <w:szCs w:val="26"/>
        </w:rPr>
        <w:t xml:space="preserve"> and to also recognize changes such as the TCJA that impact the amount of money from the CHCF-A fund necessary to subsidize the Small LECs’ rates</w:t>
      </w:r>
      <w:r w:rsidRPr="00ED0D98" w:rsidR="0036542A">
        <w:rPr>
          <w:szCs w:val="26"/>
        </w:rPr>
        <w:t>.</w:t>
      </w:r>
    </w:p>
    <w:p w:rsidRPr="00ED0D98" w:rsidR="0036542A" w:rsidP="003123FE" w:rsidRDefault="0036542A" w14:paraId="2C8837F3" w14:textId="127581F4">
      <w:pPr>
        <w:pStyle w:val="BodyText"/>
        <w:ind w:firstLine="1440"/>
        <w:rPr>
          <w:szCs w:val="26"/>
        </w:rPr>
      </w:pPr>
      <w:r w:rsidRPr="00ED0D98">
        <w:rPr>
          <w:szCs w:val="26"/>
        </w:rPr>
        <w:t xml:space="preserve">The Small LECs’ strict reading of the rules is </w:t>
      </w:r>
      <w:r w:rsidRPr="00ED0D98" w:rsidR="00B87DE2">
        <w:rPr>
          <w:szCs w:val="26"/>
        </w:rPr>
        <w:t>i</w:t>
      </w:r>
      <w:r w:rsidRPr="00ED0D98">
        <w:rPr>
          <w:szCs w:val="26"/>
        </w:rPr>
        <w:t>ncompatible with section 275.6.  The statute directs the Commission to exercise its regulatory authority to provide CHCF</w:t>
      </w:r>
      <w:r w:rsidR="00E82475">
        <w:rPr>
          <w:szCs w:val="26"/>
        </w:rPr>
        <w:noBreakHyphen/>
      </w:r>
      <w:r w:rsidRPr="00ED0D98">
        <w:rPr>
          <w:szCs w:val="26"/>
        </w:rPr>
        <w:t>A support “in amounts sufficient to meet the revenue requirements established by the commission through rate-of-return regulation.”</w:t>
      </w:r>
      <w:r w:rsidRPr="00ED0D98">
        <w:rPr>
          <w:rStyle w:val="FootnoteReference"/>
          <w:sz w:val="26"/>
          <w:szCs w:val="26"/>
        </w:rPr>
        <w:footnoteReference w:id="18"/>
      </w:r>
      <w:r w:rsidRPr="00ED0D98">
        <w:rPr>
          <w:szCs w:val="26"/>
        </w:rPr>
        <w:t xml:space="preserve">  Nothing in the statute precludes the Commission from exercising its own regulatory authority to consider the new tax law impacts on the Small LECs’ Test Year adopted revenue requirement and corresponding CHCF-A subsidy amount needed to fulfill the revenue requirement.  In fact, section 275.6(c) requires the Commission to ensure the rates charged by the Small LECs are “just and reasonable” and “in accordance with Sections 451, 454, 455, and 728.”  Section 275.6(c) further obligates the Commission to ensure the corresponding CHCF-A support </w:t>
      </w:r>
      <w:r w:rsidRPr="00ED0D98">
        <w:rPr>
          <w:szCs w:val="26"/>
        </w:rPr>
        <w:lastRenderedPageBreak/>
        <w:t>is “not excessive so that the burden on all contributors to the CHCF-A program is limited.”</w:t>
      </w:r>
      <w:r w:rsidRPr="00ED0D98">
        <w:rPr>
          <w:rStyle w:val="FootnoteReference"/>
          <w:sz w:val="26"/>
          <w:szCs w:val="26"/>
        </w:rPr>
        <w:footnoteReference w:id="19"/>
      </w:r>
      <w:r w:rsidRPr="00ED0D98">
        <w:rPr>
          <w:szCs w:val="26"/>
        </w:rPr>
        <w:t xml:space="preserve">  To this end, </w:t>
      </w:r>
      <w:r w:rsidRPr="00ED0D98" w:rsidR="00F1147E">
        <w:rPr>
          <w:szCs w:val="26"/>
        </w:rPr>
        <w:t>we</w:t>
      </w:r>
      <w:r w:rsidRPr="00ED0D98">
        <w:rPr>
          <w:szCs w:val="26"/>
        </w:rPr>
        <w:t xml:space="preserve"> adopted a “Means Test” in the CHCF-A rules: “It is reasonable to limit the CHCF funding amount to the current funding level amount for the year for which CHCF is being requested or to the amount which produces no more than the utilities authorized intrastate rate of return, </w:t>
      </w:r>
      <w:r w:rsidRPr="00ED0D98">
        <w:rPr>
          <w:b/>
          <w:bCs/>
          <w:i/>
          <w:iCs/>
          <w:szCs w:val="26"/>
        </w:rPr>
        <w:t>whichever is lower</w:t>
      </w:r>
      <w:r w:rsidRPr="00ED0D98">
        <w:rPr>
          <w:szCs w:val="26"/>
        </w:rPr>
        <w:t>.”</w:t>
      </w:r>
      <w:r w:rsidRPr="00ED0D98">
        <w:rPr>
          <w:rStyle w:val="FootnoteReference"/>
          <w:sz w:val="26"/>
          <w:szCs w:val="26"/>
        </w:rPr>
        <w:footnoteReference w:id="20"/>
      </w:r>
      <w:r w:rsidRPr="00ED0D98">
        <w:rPr>
          <w:szCs w:val="26"/>
        </w:rPr>
        <w:t xml:space="preserve">  D.91-09-042 explains, “Using annualized earnings based on at least seven months of recorded data for the year in which the CHCF advice letter is filed and adjusted for known regulatory </w:t>
      </w:r>
      <w:r w:rsidRPr="00ED0D98">
        <w:rPr>
          <w:szCs w:val="26"/>
        </w:rPr>
        <w:lastRenderedPageBreak/>
        <w:t xml:space="preserve">decisions as the baseline for determining eligibility for CHCF support </w:t>
      </w:r>
      <w:r w:rsidRPr="00ED0D98">
        <w:rPr>
          <w:b/>
          <w:bCs/>
          <w:i/>
          <w:iCs/>
          <w:szCs w:val="26"/>
        </w:rPr>
        <w:t>would be relatively simple and non-controversial</w:t>
      </w:r>
      <w:r w:rsidRPr="00ED0D98">
        <w:rPr>
          <w:szCs w:val="26"/>
        </w:rPr>
        <w:t>.”</w:t>
      </w:r>
      <w:r w:rsidRPr="00ED0D98">
        <w:rPr>
          <w:rStyle w:val="FootnoteReference"/>
          <w:sz w:val="26"/>
          <w:szCs w:val="26"/>
        </w:rPr>
        <w:footnoteReference w:id="21"/>
      </w:r>
      <w:r w:rsidRPr="00ED0D98">
        <w:rPr>
          <w:szCs w:val="26"/>
        </w:rPr>
        <w:t xml:space="preserve">  </w:t>
      </w:r>
    </w:p>
    <w:p w:rsidRPr="00ED0D98" w:rsidR="0036542A" w:rsidP="003123FE" w:rsidRDefault="0036542A" w14:paraId="00D7329C" w14:textId="39EAF4E3">
      <w:pPr>
        <w:pStyle w:val="BodyText"/>
        <w:ind w:firstLine="1440"/>
        <w:rPr>
          <w:szCs w:val="26"/>
        </w:rPr>
      </w:pPr>
      <w:r w:rsidRPr="00ED0D98">
        <w:rPr>
          <w:szCs w:val="26"/>
        </w:rPr>
        <w:t xml:space="preserve">In the case of Res. T-17616, </w:t>
      </w:r>
      <w:r w:rsidRPr="00ED0D98" w:rsidR="00142700">
        <w:rPr>
          <w:szCs w:val="26"/>
        </w:rPr>
        <w:t xml:space="preserve">we </w:t>
      </w:r>
      <w:r w:rsidRPr="00ED0D98" w:rsidR="00146E37">
        <w:rPr>
          <w:szCs w:val="26"/>
        </w:rPr>
        <w:t xml:space="preserve">found </w:t>
      </w:r>
      <w:r w:rsidRPr="00ED0D98" w:rsidR="00142700">
        <w:rPr>
          <w:szCs w:val="26"/>
        </w:rPr>
        <w:t>it</w:t>
      </w:r>
      <w:r w:rsidRPr="00ED0D98" w:rsidR="005D562C">
        <w:rPr>
          <w:szCs w:val="26"/>
        </w:rPr>
        <w:t xml:space="preserve"> appropriate </w:t>
      </w:r>
      <w:r w:rsidRPr="00ED0D98" w:rsidR="00142700">
        <w:rPr>
          <w:szCs w:val="26"/>
        </w:rPr>
        <w:t>to</w:t>
      </w:r>
      <w:r w:rsidRPr="00ED0D98">
        <w:rPr>
          <w:szCs w:val="26"/>
        </w:rPr>
        <w:t xml:space="preserve"> utilize the advice letter process and the D.91-09-042 rules to recalculate the six Small LECs’ authorized revenue requirement and CHCF-A support </w:t>
      </w:r>
      <w:r w:rsidRPr="00ED0D98" w:rsidR="002346F2">
        <w:rPr>
          <w:szCs w:val="26"/>
        </w:rPr>
        <w:t>to implement</w:t>
      </w:r>
      <w:r w:rsidRPr="00ED0D98">
        <w:rPr>
          <w:szCs w:val="26"/>
        </w:rPr>
        <w:t xml:space="preserve"> the new corporate tax rates established by the TCJA.  Ultimately,</w:t>
      </w:r>
      <w:r w:rsidRPr="00ED0D98" w:rsidR="001F443A">
        <w:rPr>
          <w:szCs w:val="26"/>
        </w:rPr>
        <w:t xml:space="preserve"> </w:t>
      </w:r>
      <w:r w:rsidRPr="00ED0D98" w:rsidR="005C7FC9">
        <w:rPr>
          <w:szCs w:val="26"/>
        </w:rPr>
        <w:t xml:space="preserve">the Commission </w:t>
      </w:r>
      <w:r w:rsidRPr="00ED0D98" w:rsidR="0081265B">
        <w:rPr>
          <w:szCs w:val="26"/>
        </w:rPr>
        <w:t>does</w:t>
      </w:r>
      <w:r w:rsidRPr="00ED0D98" w:rsidR="00625D41">
        <w:rPr>
          <w:szCs w:val="26"/>
        </w:rPr>
        <w:t xml:space="preserve"> not err in</w:t>
      </w:r>
      <w:r w:rsidRPr="00ED0D98" w:rsidR="00596D7D">
        <w:rPr>
          <w:szCs w:val="26"/>
        </w:rPr>
        <w:t xml:space="preserve"> adopting </w:t>
      </w:r>
      <w:r w:rsidRPr="00ED0D98" w:rsidR="006B7268">
        <w:rPr>
          <w:szCs w:val="26"/>
        </w:rPr>
        <w:t>Staff’s calculations and consequent reductions</w:t>
      </w:r>
      <w:r w:rsidRPr="00ED0D98" w:rsidR="001F443A">
        <w:rPr>
          <w:szCs w:val="26"/>
        </w:rPr>
        <w:t xml:space="preserve"> in </w:t>
      </w:r>
      <w:r w:rsidRPr="00ED0D98" w:rsidR="00596D7D">
        <w:rPr>
          <w:szCs w:val="26"/>
        </w:rPr>
        <w:t>Res. T-17616</w:t>
      </w:r>
      <w:r w:rsidRPr="00ED0D98" w:rsidR="00260231">
        <w:rPr>
          <w:szCs w:val="26"/>
        </w:rPr>
        <w:t xml:space="preserve"> </w:t>
      </w:r>
      <w:r w:rsidRPr="00ED0D98" w:rsidR="004D500D">
        <w:rPr>
          <w:szCs w:val="26"/>
        </w:rPr>
        <w:t xml:space="preserve">as </w:t>
      </w:r>
      <w:r w:rsidRPr="00ED0D98" w:rsidR="00A33B7E">
        <w:rPr>
          <w:szCs w:val="26"/>
        </w:rPr>
        <w:t>such actions</w:t>
      </w:r>
      <w:r w:rsidRPr="00ED0D98">
        <w:rPr>
          <w:szCs w:val="26"/>
        </w:rPr>
        <w:t xml:space="preserve"> fall within </w:t>
      </w:r>
      <w:r w:rsidRPr="00ED0D98" w:rsidR="000602A2">
        <w:rPr>
          <w:szCs w:val="26"/>
        </w:rPr>
        <w:t>the Commission’s</w:t>
      </w:r>
      <w:r w:rsidRPr="00ED0D98">
        <w:rPr>
          <w:szCs w:val="26"/>
        </w:rPr>
        <w:t xml:space="preserve"> authority to establish funding limits as prescribed in section 275.6(c).  Thus, the reductions approved by the Commission are lawful and consistent with its statutory obligation to ensure just and reasonable rates and that any corresponding CHCF-A support </w:t>
      </w:r>
      <w:r w:rsidRPr="00ED0D98" w:rsidR="00146E37">
        <w:rPr>
          <w:szCs w:val="26"/>
        </w:rPr>
        <w:t xml:space="preserve">is </w:t>
      </w:r>
      <w:r w:rsidRPr="00ED0D98">
        <w:rPr>
          <w:szCs w:val="26"/>
        </w:rPr>
        <w:t xml:space="preserve">not excessive.  </w:t>
      </w:r>
    </w:p>
    <w:p w:rsidRPr="00ED0D98" w:rsidR="002A7E58" w:rsidP="003123FE" w:rsidRDefault="0036542A" w14:paraId="4DBC3DC5" w14:textId="486EDA81">
      <w:pPr>
        <w:pStyle w:val="BodyText"/>
        <w:ind w:firstLine="1440"/>
        <w:rPr>
          <w:szCs w:val="26"/>
        </w:rPr>
      </w:pPr>
      <w:r w:rsidRPr="00ED0D98">
        <w:rPr>
          <w:szCs w:val="26"/>
        </w:rPr>
        <w:t xml:space="preserve">Finally, </w:t>
      </w:r>
      <w:r w:rsidRPr="00ED0D98" w:rsidR="0038131A">
        <w:rPr>
          <w:szCs w:val="26"/>
        </w:rPr>
        <w:t>we</w:t>
      </w:r>
      <w:r w:rsidRPr="00ED0D98">
        <w:rPr>
          <w:szCs w:val="26"/>
        </w:rPr>
        <w:t xml:space="preserve"> reject the </w:t>
      </w:r>
      <w:r w:rsidRPr="00ED0D98" w:rsidR="00414944">
        <w:rPr>
          <w:szCs w:val="26"/>
        </w:rPr>
        <w:t xml:space="preserve">Small LECs’ </w:t>
      </w:r>
      <w:r w:rsidRPr="00ED0D98">
        <w:rPr>
          <w:szCs w:val="26"/>
        </w:rPr>
        <w:t>argument that the Resolution fails to consider any other component of the companies’ costs that have changed since the last GRC.</w:t>
      </w:r>
      <w:r w:rsidRPr="00ED0D98">
        <w:rPr>
          <w:rStyle w:val="FootnoteReference"/>
          <w:sz w:val="26"/>
          <w:szCs w:val="26"/>
        </w:rPr>
        <w:footnoteReference w:id="22"/>
      </w:r>
      <w:r w:rsidRPr="00ED0D98">
        <w:rPr>
          <w:szCs w:val="26"/>
        </w:rPr>
        <w:t xml:space="preserve">  As stated above, the CHCF-A annual advice letter process allows the Commission to make reasonable adjustments in years between GRCs on a limited basis where the change is relatively simple and non-controversial.</w:t>
      </w:r>
      <w:r w:rsidRPr="00ED0D98">
        <w:rPr>
          <w:b/>
          <w:bCs/>
          <w:i/>
          <w:iCs/>
          <w:szCs w:val="26"/>
        </w:rPr>
        <w:t xml:space="preserve">  </w:t>
      </w:r>
      <w:r w:rsidRPr="00ED0D98">
        <w:rPr>
          <w:szCs w:val="26"/>
        </w:rPr>
        <w:t xml:space="preserve">The application of the Small LECs’ corporate tax rate change from 34% to 21% to their revenue requirement is just that—simple and non-controversial—as income tax </w:t>
      </w:r>
      <w:r w:rsidRPr="00ED0D98" w:rsidR="00D44C41">
        <w:rPr>
          <w:szCs w:val="26"/>
        </w:rPr>
        <w:t xml:space="preserve">is </w:t>
      </w:r>
      <w:r w:rsidRPr="00ED0D98">
        <w:rPr>
          <w:szCs w:val="26"/>
        </w:rPr>
        <w:t xml:space="preserve">an expense in the revenue requirement </w:t>
      </w:r>
      <w:r w:rsidRPr="00ED0D98" w:rsidR="00837074">
        <w:rPr>
          <w:szCs w:val="26"/>
        </w:rPr>
        <w:t>that</w:t>
      </w:r>
      <w:r w:rsidRPr="00ED0D98" w:rsidR="00403EBF">
        <w:rPr>
          <w:szCs w:val="26"/>
        </w:rPr>
        <w:t xml:space="preserve"> uses </w:t>
      </w:r>
      <w:r w:rsidRPr="00ED0D98">
        <w:rPr>
          <w:szCs w:val="26"/>
        </w:rPr>
        <w:t xml:space="preserve">prevailing tax rates.  Accordingly, </w:t>
      </w:r>
      <w:r w:rsidRPr="00ED0D98" w:rsidR="00DC6233">
        <w:rPr>
          <w:szCs w:val="26"/>
        </w:rPr>
        <w:t>we</w:t>
      </w:r>
      <w:r w:rsidRPr="00ED0D98">
        <w:rPr>
          <w:szCs w:val="26"/>
        </w:rPr>
        <w:t xml:space="preserve"> reject the Small LECs’ arguments that Res. T</w:t>
      </w:r>
      <w:r w:rsidR="00E82475">
        <w:rPr>
          <w:szCs w:val="26"/>
        </w:rPr>
        <w:noBreakHyphen/>
      </w:r>
      <w:r w:rsidRPr="00ED0D98">
        <w:rPr>
          <w:szCs w:val="26"/>
        </w:rPr>
        <w:t xml:space="preserve">17616 fails to proceed in a manner required by law. </w:t>
      </w:r>
    </w:p>
    <w:p w:rsidRPr="00ED0D98" w:rsidR="0036542A" w:rsidP="003123FE" w:rsidRDefault="0036542A" w14:paraId="4AA2A0CA" w14:textId="230E46C6">
      <w:pPr>
        <w:pStyle w:val="BodyText"/>
        <w:ind w:firstLine="1440"/>
        <w:rPr>
          <w:rFonts w:eastAsia="HiddenHorzOCR"/>
          <w:szCs w:val="26"/>
        </w:rPr>
      </w:pPr>
      <w:r w:rsidRPr="00ED0D98">
        <w:rPr>
          <w:szCs w:val="26"/>
        </w:rPr>
        <w:t xml:space="preserve">Section 455 lends further support to the approach </w:t>
      </w:r>
      <w:r w:rsidRPr="00ED0D98" w:rsidR="00900366">
        <w:rPr>
          <w:szCs w:val="26"/>
        </w:rPr>
        <w:t>implemented</w:t>
      </w:r>
      <w:r w:rsidRPr="00ED0D98" w:rsidR="00EA1358">
        <w:rPr>
          <w:szCs w:val="26"/>
        </w:rPr>
        <w:t xml:space="preserve"> in </w:t>
      </w:r>
      <w:r w:rsidRPr="00ED0D98">
        <w:rPr>
          <w:szCs w:val="26"/>
        </w:rPr>
        <w:t>Res. T</w:t>
      </w:r>
      <w:r w:rsidR="003123FE">
        <w:rPr>
          <w:szCs w:val="26"/>
        </w:rPr>
        <w:noBreakHyphen/>
      </w:r>
      <w:r w:rsidRPr="00ED0D98">
        <w:rPr>
          <w:szCs w:val="26"/>
        </w:rPr>
        <w:t xml:space="preserve">17616 to realize the 2018 tax implications of the six Small LECs outside of their respective GRCs.  That statute allows the Commission to adopt rules it considers reasonable and proper for each class of public utility, broadly including “the nature of the showing required to be made in support of proposed rate changes, the form and manner of the presentation of the showing, with or without a hearing, and the procedure to be </w:t>
      </w:r>
      <w:r w:rsidRPr="00ED0D98">
        <w:rPr>
          <w:szCs w:val="26"/>
        </w:rPr>
        <w:lastRenderedPageBreak/>
        <w:t>followed in the consideration thereof.”</w:t>
      </w:r>
      <w:r w:rsidRPr="00ED0D98">
        <w:rPr>
          <w:rStyle w:val="FootnoteReference"/>
          <w:sz w:val="26"/>
          <w:szCs w:val="26"/>
        </w:rPr>
        <w:footnoteReference w:id="23"/>
      </w:r>
      <w:r w:rsidRPr="00ED0D98">
        <w:rPr>
          <w:szCs w:val="26"/>
        </w:rPr>
        <w:t xml:space="preserve">  </w:t>
      </w:r>
      <w:r w:rsidRPr="00ED0D98" w:rsidR="00910819">
        <w:rPr>
          <w:szCs w:val="26"/>
        </w:rPr>
        <w:t>Our</w:t>
      </w:r>
      <w:r w:rsidRPr="00ED0D98">
        <w:rPr>
          <w:szCs w:val="26"/>
        </w:rPr>
        <w:t xml:space="preserve"> determination made in Res. T-17616 did not occur in a vacuum—the adjustments made to the six Small LECs revenue requirement and CHCF-A support was the result of a lengthy process that included “detailed explanations of the impact of the TCJA on the companies’ going-forward tax expectations” in response to the February 9, 2019 data requests sent by Communications Division staff.</w:t>
      </w:r>
      <w:r w:rsidRPr="00ED0D98">
        <w:rPr>
          <w:rStyle w:val="FootnoteReference"/>
          <w:sz w:val="26"/>
          <w:szCs w:val="26"/>
        </w:rPr>
        <w:footnoteReference w:id="24"/>
      </w:r>
      <w:r w:rsidRPr="00ED0D98">
        <w:rPr>
          <w:szCs w:val="26"/>
        </w:rPr>
        <w:t xml:space="preserve">  Later, a March 16, 2019 letter issued by the Director of the Communications Division directed the Small LECs to establish memorandum accounts tracking the impacts of the TCJA and to submit an advice letter on or before March 30, 2018.</w:t>
      </w:r>
      <w:r w:rsidRPr="00ED0D98">
        <w:rPr>
          <w:rStyle w:val="FootnoteReference"/>
          <w:sz w:val="26"/>
          <w:szCs w:val="26"/>
        </w:rPr>
        <w:footnoteReference w:id="25"/>
      </w:r>
      <w:r w:rsidRPr="00ED0D98">
        <w:rPr>
          <w:szCs w:val="26"/>
        </w:rPr>
        <w:t xml:space="preserve">  Finally, Staff followed the CHCF-A rules by applying the last general rate case adopted revenue and “Means Test” specified in D.91</w:t>
      </w:r>
      <w:r w:rsidR="00E82475">
        <w:rPr>
          <w:szCs w:val="26"/>
        </w:rPr>
        <w:noBreakHyphen/>
      </w:r>
      <w:r w:rsidRPr="00ED0D98">
        <w:rPr>
          <w:szCs w:val="26"/>
        </w:rPr>
        <w:t>09-042.  This method serves to limit CHCF-A support to amounts which would provide no more than the utility’s authorized rate of return or current funding level, whichever is lower.</w:t>
      </w:r>
      <w:r w:rsidRPr="00ED0D98">
        <w:rPr>
          <w:rStyle w:val="FootnoteReference"/>
          <w:sz w:val="26"/>
          <w:szCs w:val="26"/>
        </w:rPr>
        <w:footnoteReference w:id="26"/>
      </w:r>
    </w:p>
    <w:p w:rsidRPr="00ED0D98" w:rsidR="0036542A" w:rsidP="003123FE" w:rsidRDefault="00900366" w14:paraId="5BFF35C8" w14:textId="75F001E8">
      <w:pPr>
        <w:pStyle w:val="BodyText"/>
        <w:ind w:firstLine="1440"/>
        <w:rPr>
          <w:szCs w:val="26"/>
        </w:rPr>
      </w:pPr>
      <w:r w:rsidRPr="00ED0D98">
        <w:rPr>
          <w:szCs w:val="26"/>
        </w:rPr>
        <w:t>We also reject t</w:t>
      </w:r>
      <w:r w:rsidRPr="00ED0D98" w:rsidR="0036542A">
        <w:rPr>
          <w:szCs w:val="26"/>
        </w:rPr>
        <w:t>he Small LECs’ assertions that the conclusions in Res. T</w:t>
      </w:r>
      <w:r w:rsidR="003123FE">
        <w:rPr>
          <w:szCs w:val="26"/>
        </w:rPr>
        <w:noBreakHyphen/>
      </w:r>
      <w:r w:rsidRPr="00ED0D98" w:rsidR="0036542A">
        <w:rPr>
          <w:szCs w:val="26"/>
        </w:rPr>
        <w:t>17616 are unsupported by the Resolution’s findings.</w:t>
      </w:r>
      <w:r w:rsidRPr="00ED0D98" w:rsidR="0036542A">
        <w:rPr>
          <w:rStyle w:val="FootnoteReference"/>
          <w:sz w:val="26"/>
          <w:szCs w:val="26"/>
        </w:rPr>
        <w:footnoteReference w:id="27"/>
      </w:r>
      <w:r w:rsidRPr="00ED0D98" w:rsidR="0036542A">
        <w:rPr>
          <w:szCs w:val="26"/>
        </w:rPr>
        <w:t xml:space="preserve">  Nothing in the Public Utilities Code specifically requires the Commission to make findings on all issues raised by the parties.  Rather, it is within the Commission’s discretion to determine what factors are material to its decision based on the issues before it.</w:t>
      </w:r>
      <w:r w:rsidRPr="00ED0D98" w:rsidR="0036542A">
        <w:rPr>
          <w:rStyle w:val="FootnoteReference"/>
          <w:sz w:val="26"/>
          <w:szCs w:val="26"/>
        </w:rPr>
        <w:footnoteReference w:id="28"/>
      </w:r>
      <w:r w:rsidRPr="00ED0D98" w:rsidR="0036542A">
        <w:rPr>
          <w:szCs w:val="26"/>
        </w:rPr>
        <w:t xml:space="preserve">  The Commission’s findings and </w:t>
      </w:r>
      <w:r w:rsidRPr="00ED0D98" w:rsidR="0036542A">
        <w:rPr>
          <w:szCs w:val="26"/>
        </w:rPr>
        <w:lastRenderedPageBreak/>
        <w:t>conclusions are sufficient if they provide “a statement which will allow us a meaningful opportunity to ascertain the principles and facts relied upon by the [PUC] in reaching its decision.”</w:t>
      </w:r>
      <w:r w:rsidRPr="00ED0D98" w:rsidR="0036542A">
        <w:rPr>
          <w:rStyle w:val="FootnoteReference"/>
          <w:sz w:val="26"/>
          <w:szCs w:val="26"/>
        </w:rPr>
        <w:footnoteReference w:id="29"/>
      </w:r>
      <w:r w:rsidRPr="00ED0D98" w:rsidR="0036542A">
        <w:rPr>
          <w:szCs w:val="26"/>
        </w:rPr>
        <w:t xml:space="preserve"> In other words, “a complete summary of all proceedings and evidence leading to the decision” is not required.”</w:t>
      </w:r>
      <w:r w:rsidRPr="00ED0D98" w:rsidR="0036542A">
        <w:rPr>
          <w:rStyle w:val="FootnoteReference"/>
          <w:sz w:val="26"/>
          <w:szCs w:val="26"/>
        </w:rPr>
        <w:footnoteReference w:id="30"/>
      </w:r>
    </w:p>
    <w:p w:rsidRPr="00ED0D98" w:rsidR="0036542A" w:rsidP="003123FE" w:rsidRDefault="00E43E51" w14:paraId="68BF0FAC" w14:textId="734169DA">
      <w:pPr>
        <w:pStyle w:val="BodyText"/>
        <w:ind w:firstLine="1440"/>
        <w:rPr>
          <w:szCs w:val="26"/>
        </w:rPr>
      </w:pPr>
      <w:r w:rsidRPr="00ED0D98">
        <w:rPr>
          <w:szCs w:val="26"/>
        </w:rPr>
        <w:t xml:space="preserve">We </w:t>
      </w:r>
      <w:r w:rsidRPr="00ED0D98" w:rsidR="0036542A">
        <w:rPr>
          <w:szCs w:val="26"/>
        </w:rPr>
        <w:t>modify Res. T-17616 to provide clarity and to resolve any ambiguity in the CHCF-A rules:</w:t>
      </w:r>
    </w:p>
    <w:p w:rsidRPr="00ED0D98" w:rsidR="0036542A" w:rsidP="00E82475" w:rsidRDefault="0036542A" w14:paraId="04C92768" w14:textId="77777777">
      <w:pPr>
        <w:pStyle w:val="Heading6"/>
      </w:pPr>
      <w:r w:rsidRPr="00ED0D98">
        <w:t>The fourth full paragraph on page 8 should be replaced by the following:</w:t>
      </w:r>
    </w:p>
    <w:p w:rsidRPr="00ED0D98" w:rsidR="0036542A" w:rsidP="00E82475" w:rsidRDefault="0036542A" w14:paraId="069CDABE" w14:textId="77777777">
      <w:pPr>
        <w:ind w:left="1440" w:right="720"/>
        <w:rPr>
          <w:szCs w:val="26"/>
        </w:rPr>
      </w:pPr>
      <w:r w:rsidRPr="00ED0D98">
        <w:rPr>
          <w:szCs w:val="26"/>
        </w:rPr>
        <w:t>“Fourth, it is not necessary for the Commission to examine the whole financial information of a company to determine the changes in the adopted revenue requirement and the corresponding CHCF-A subsidy resulting from the income tax rate change.  The methodology Staff used to determine the reductions is reasonable and based on the last GRC Test Year adopted revenue and the “Means Test” as specified by the CHCF-A rules in D.91-09-042.  Also, since the rates are based on the last general rate case adopted revenue, it is appropriate to consider that adopted revenue and adjust any component that has changed, provided such adjustment is relatively simple and non-controversial.”</w:t>
      </w:r>
    </w:p>
    <w:p w:rsidRPr="00ED0D98" w:rsidR="0036542A" w:rsidP="00E82475" w:rsidRDefault="0036542A" w14:paraId="3B84F15A" w14:textId="77777777">
      <w:pPr>
        <w:pStyle w:val="Heading6"/>
      </w:pPr>
      <w:r w:rsidRPr="00ED0D98">
        <w:t>Adopt additional Findings, as provided below:</w:t>
      </w:r>
    </w:p>
    <w:p w:rsidRPr="00ED0D98" w:rsidR="0036542A" w:rsidP="00F55242" w:rsidRDefault="0036542A" w14:paraId="0B0184C0" w14:textId="77777777">
      <w:pPr>
        <w:pStyle w:val="BodyText"/>
        <w:spacing w:after="120" w:line="240" w:lineRule="auto"/>
        <w:ind w:left="1980" w:right="720" w:hanging="540"/>
        <w:rPr>
          <w:szCs w:val="26"/>
        </w:rPr>
      </w:pPr>
      <w:r w:rsidRPr="00ED0D98">
        <w:rPr>
          <w:szCs w:val="26"/>
        </w:rPr>
        <w:t xml:space="preserve">19.  Pub. Util. Code § 275.6(c) sets forth the Commission’s obligations in establishing the CHCF-A program, which the Commission implemented in D.91-09-042.  </w:t>
      </w:r>
    </w:p>
    <w:p w:rsidRPr="00ED0D98" w:rsidR="0036542A" w:rsidP="00F55242" w:rsidRDefault="0036542A" w14:paraId="544E67AE" w14:textId="77777777">
      <w:pPr>
        <w:pStyle w:val="BodyText"/>
        <w:spacing w:after="120" w:line="240" w:lineRule="auto"/>
        <w:ind w:left="1980" w:right="720" w:hanging="540"/>
        <w:rPr>
          <w:szCs w:val="26"/>
        </w:rPr>
      </w:pPr>
      <w:r w:rsidRPr="00ED0D98">
        <w:rPr>
          <w:szCs w:val="26"/>
        </w:rPr>
        <w:t>20.  Pub. Util. Code § 275.6 and D.91-09-042 do not limit the Commission from making certain adjustments using its rate-of-return regulatory authority to reflect legislative changes to the corporate tax rate.</w:t>
      </w:r>
    </w:p>
    <w:p w:rsidRPr="00ED0D98" w:rsidR="0036542A" w:rsidP="00F55242" w:rsidRDefault="0036542A" w14:paraId="5EEC6550" w14:textId="77777777">
      <w:pPr>
        <w:pStyle w:val="BodyText"/>
        <w:spacing w:after="120" w:line="240" w:lineRule="auto"/>
        <w:ind w:left="1980" w:right="720" w:hanging="540"/>
        <w:rPr>
          <w:szCs w:val="26"/>
        </w:rPr>
      </w:pPr>
      <w:r w:rsidRPr="00ED0D98">
        <w:rPr>
          <w:szCs w:val="26"/>
        </w:rPr>
        <w:t>21.  The adjustments to the revenue requirement and CHCF-A support for Ducor, Foresthill, Kerman, Pinnacles, Siskiyou, and Volcano for April 2018 through December 2018 are reasonable and consistent with the Commission’s obligations under Pub. Util. Code § 275.6(c) to ensure the rates charged are “just and reasonable” and the corresponding CHCF-A support is “not excessive.”</w:t>
      </w:r>
    </w:p>
    <w:p w:rsidRPr="00E82475" w:rsidR="0036542A" w:rsidP="00E82475" w:rsidRDefault="0036542A" w14:paraId="2DF78581" w14:textId="13965644">
      <w:pPr>
        <w:pStyle w:val="Heading2"/>
      </w:pPr>
      <w:r w:rsidRPr="00E82475">
        <w:lastRenderedPageBreak/>
        <w:t>With these</w:t>
      </w:r>
      <w:r w:rsidRPr="00E82475" w:rsidR="00C90546">
        <w:t xml:space="preserve"> modifications</w:t>
      </w:r>
      <w:r w:rsidRPr="00E82475">
        <w:t>, there is no need to address Small LECs’ remaining arguments asserting legal error.</w:t>
      </w:r>
    </w:p>
    <w:p w:rsidRPr="00ED0D98" w:rsidR="0036542A" w:rsidP="003123FE" w:rsidRDefault="0036542A" w14:paraId="4C0F8FBE" w14:textId="6FBBD307">
      <w:pPr>
        <w:pStyle w:val="BodyText"/>
        <w:ind w:firstLine="1440"/>
        <w:rPr>
          <w:szCs w:val="26"/>
        </w:rPr>
      </w:pPr>
      <w:r w:rsidRPr="00ED0D98">
        <w:rPr>
          <w:szCs w:val="26"/>
        </w:rPr>
        <w:t xml:space="preserve">The Small LECs assert additional legal arguments, including that the Resolution </w:t>
      </w:r>
      <w:r w:rsidRPr="00ED0D98" w:rsidR="00C90546">
        <w:rPr>
          <w:szCs w:val="26"/>
        </w:rPr>
        <w:t>engages in</w:t>
      </w:r>
      <w:r w:rsidRPr="00ED0D98">
        <w:rPr>
          <w:szCs w:val="26"/>
        </w:rPr>
        <w:t xml:space="preserve"> unlawful piecemeal ratemaking based on “arbitrary and capricious” reasoning; an abuse of discretion per </w:t>
      </w:r>
      <w:r w:rsidRPr="00ED0D98" w:rsidR="00326B5D">
        <w:rPr>
          <w:szCs w:val="26"/>
        </w:rPr>
        <w:t>section</w:t>
      </w:r>
      <w:r w:rsidRPr="00ED0D98">
        <w:rPr>
          <w:szCs w:val="26"/>
        </w:rPr>
        <w:t xml:space="preserve"> 1757(a)(5); violates due process rights without hearing or notice and opportunity to be heard; and constitutes an illegal taking of property without just compensation.</w:t>
      </w:r>
      <w:r w:rsidRPr="00ED0D98">
        <w:rPr>
          <w:b/>
          <w:szCs w:val="26"/>
          <w:u w:val="single"/>
          <w:vertAlign w:val="superscript"/>
        </w:rPr>
        <w:footnoteReference w:id="31"/>
      </w:r>
      <w:r w:rsidRPr="00ED0D98">
        <w:rPr>
          <w:szCs w:val="26"/>
        </w:rPr>
        <w:t xml:space="preserve">   </w:t>
      </w:r>
    </w:p>
    <w:p w:rsidRPr="00ED0D98" w:rsidR="0036542A" w:rsidP="003123FE" w:rsidRDefault="0036542A" w14:paraId="035D477C" w14:textId="54321BD4">
      <w:pPr>
        <w:pStyle w:val="BodyText"/>
        <w:ind w:firstLine="1440"/>
        <w:rPr>
          <w:szCs w:val="26"/>
        </w:rPr>
      </w:pPr>
      <w:r w:rsidRPr="00ED0D98">
        <w:rPr>
          <w:szCs w:val="26"/>
        </w:rPr>
        <w:t>The</w:t>
      </w:r>
      <w:r w:rsidRPr="00ED0D98" w:rsidR="00960F19">
        <w:rPr>
          <w:szCs w:val="26"/>
        </w:rPr>
        <w:t xml:space="preserve">se arguments </w:t>
      </w:r>
      <w:r w:rsidRPr="00ED0D98">
        <w:rPr>
          <w:szCs w:val="26"/>
        </w:rPr>
        <w:t xml:space="preserve">rely on the threshold issue of whether the Commission’s actions to reduce the six Small LECs revenue requirement and corresponding CHCF-A support in Res. T-17616 were lawful.  </w:t>
      </w:r>
      <w:r w:rsidRPr="00ED0D98" w:rsidR="00C95BE7">
        <w:rPr>
          <w:szCs w:val="26"/>
        </w:rPr>
        <w:t>We</w:t>
      </w:r>
      <w:r w:rsidRPr="00ED0D98" w:rsidR="000B444B">
        <w:rPr>
          <w:szCs w:val="26"/>
        </w:rPr>
        <w:t>.</w:t>
      </w:r>
      <w:r w:rsidRPr="00ED0D98" w:rsidR="00C95BE7">
        <w:rPr>
          <w:szCs w:val="26"/>
        </w:rPr>
        <w:t xml:space="preserve"> have concluded</w:t>
      </w:r>
      <w:r w:rsidRPr="00ED0D98" w:rsidR="00FD0005">
        <w:rPr>
          <w:szCs w:val="26"/>
        </w:rPr>
        <w:t xml:space="preserve"> t</w:t>
      </w:r>
      <w:r w:rsidRPr="00ED0D98">
        <w:rPr>
          <w:szCs w:val="26"/>
        </w:rPr>
        <w:t>he reductions authorized in Res. T</w:t>
      </w:r>
      <w:r w:rsidR="003123FE">
        <w:rPr>
          <w:szCs w:val="26"/>
        </w:rPr>
        <w:noBreakHyphen/>
      </w:r>
      <w:r w:rsidRPr="00ED0D98">
        <w:rPr>
          <w:szCs w:val="26"/>
        </w:rPr>
        <w:t>17616 substantively conform with the legislative directives of sections 275.6 and 455</w:t>
      </w:r>
      <w:r w:rsidRPr="00ED0D98" w:rsidR="00C95BE7">
        <w:rPr>
          <w:szCs w:val="26"/>
        </w:rPr>
        <w:t xml:space="preserve">, </w:t>
      </w:r>
      <w:r w:rsidRPr="00ED0D98">
        <w:rPr>
          <w:szCs w:val="26"/>
        </w:rPr>
        <w:t>the rules in D.91-09-042</w:t>
      </w:r>
      <w:r w:rsidRPr="00ED0D98" w:rsidR="00C95BE7">
        <w:rPr>
          <w:szCs w:val="26"/>
        </w:rPr>
        <w:t>,</w:t>
      </w:r>
      <w:r w:rsidRPr="00ED0D98">
        <w:rPr>
          <w:szCs w:val="26"/>
        </w:rPr>
        <w:t xml:space="preserve"> and subsequent decisions.  </w:t>
      </w:r>
      <w:r w:rsidRPr="00ED0D98" w:rsidR="003C51B3">
        <w:rPr>
          <w:szCs w:val="26"/>
        </w:rPr>
        <w:t>Our</w:t>
      </w:r>
      <w:r w:rsidRPr="00ED0D98">
        <w:rPr>
          <w:szCs w:val="26"/>
        </w:rPr>
        <w:t xml:space="preserve"> analysis also provides clarification of the CHCF-A rules regarding the Commission’s ability to make certain Non Test-Year adjustments.  </w:t>
      </w:r>
      <w:r w:rsidRPr="00ED0D98" w:rsidR="003F3281">
        <w:rPr>
          <w:szCs w:val="26"/>
        </w:rPr>
        <w:t>As</w:t>
      </w:r>
      <w:r w:rsidRPr="00ED0D98" w:rsidR="00A34B29">
        <w:rPr>
          <w:szCs w:val="26"/>
        </w:rPr>
        <w:t xml:space="preserve"> </w:t>
      </w:r>
      <w:r w:rsidRPr="00ED0D98">
        <w:rPr>
          <w:szCs w:val="26"/>
        </w:rPr>
        <w:t xml:space="preserve">Res. T-17616 </w:t>
      </w:r>
      <w:r w:rsidRPr="00ED0D98" w:rsidR="003F3281">
        <w:rPr>
          <w:szCs w:val="26"/>
        </w:rPr>
        <w:t>is lawful</w:t>
      </w:r>
      <w:r w:rsidRPr="00ED0D98" w:rsidR="009E5163">
        <w:rPr>
          <w:szCs w:val="26"/>
        </w:rPr>
        <w:t xml:space="preserve"> </w:t>
      </w:r>
      <w:bookmarkStart w:name="_Hlk70510517" w:id="4"/>
      <w:r w:rsidRPr="00ED0D98" w:rsidR="009E5163">
        <w:rPr>
          <w:szCs w:val="26"/>
        </w:rPr>
        <w:t xml:space="preserve">and </w:t>
      </w:r>
      <w:r w:rsidRPr="00ED0D98" w:rsidR="003F3281">
        <w:rPr>
          <w:szCs w:val="26"/>
        </w:rPr>
        <w:t xml:space="preserve">grounded </w:t>
      </w:r>
      <w:r w:rsidRPr="00ED0D98" w:rsidR="00133B61">
        <w:rPr>
          <w:szCs w:val="26"/>
        </w:rPr>
        <w:t xml:space="preserve">on </w:t>
      </w:r>
      <w:r w:rsidRPr="00ED0D98" w:rsidR="003F3281">
        <w:rPr>
          <w:szCs w:val="26"/>
        </w:rPr>
        <w:t xml:space="preserve">the Commission’s </w:t>
      </w:r>
      <w:r w:rsidRPr="00ED0D98" w:rsidR="00B11624">
        <w:rPr>
          <w:szCs w:val="26"/>
        </w:rPr>
        <w:t>authority</w:t>
      </w:r>
      <w:r w:rsidRPr="00ED0D98" w:rsidR="00133B61">
        <w:rPr>
          <w:szCs w:val="26"/>
        </w:rPr>
        <w:t xml:space="preserve"> under section 275.6</w:t>
      </w:r>
      <w:bookmarkEnd w:id="4"/>
      <w:r w:rsidRPr="00ED0D98">
        <w:rPr>
          <w:szCs w:val="26"/>
        </w:rPr>
        <w:t xml:space="preserve">, there is no need to address </w:t>
      </w:r>
      <w:r w:rsidRPr="00ED0D98" w:rsidR="00E05492">
        <w:rPr>
          <w:szCs w:val="26"/>
        </w:rPr>
        <w:t xml:space="preserve">the </w:t>
      </w:r>
      <w:r w:rsidRPr="00ED0D98">
        <w:rPr>
          <w:szCs w:val="26"/>
        </w:rPr>
        <w:t>additional arguments raised here.</w:t>
      </w:r>
    </w:p>
    <w:p w:rsidRPr="00ED0D98" w:rsidR="0036542A" w:rsidP="003123FE" w:rsidRDefault="003123FE" w14:paraId="2C8C0CDB" w14:textId="7E4D4FC5">
      <w:pPr>
        <w:pStyle w:val="Heading1"/>
      </w:pPr>
      <w:r w:rsidRPr="00ED0D98">
        <w:t xml:space="preserve">THE COMMISSION SHOULD REMOVE ANY DISCUSSION REGARDING THE NORMALIZATION METHOD OF DEFERRED TAX IN </w:t>
      </w:r>
      <w:r w:rsidRPr="003123FE">
        <w:t>THE</w:t>
      </w:r>
      <w:r w:rsidRPr="00ED0D98">
        <w:t xml:space="preserve"> UPCOMING GRC</w:t>
      </w:r>
    </w:p>
    <w:p w:rsidRPr="00ED0D98" w:rsidR="00E74767" w:rsidP="003123FE" w:rsidRDefault="0036542A" w14:paraId="52BD4FFE" w14:textId="575A9EBE">
      <w:pPr>
        <w:tabs>
          <w:tab w:val="clear" w:pos="5040"/>
        </w:tabs>
        <w:spacing w:line="360" w:lineRule="auto"/>
        <w:ind w:firstLine="1440"/>
        <w:rPr>
          <w:szCs w:val="26"/>
        </w:rPr>
      </w:pPr>
      <w:r w:rsidRPr="00ED0D98">
        <w:rPr>
          <w:szCs w:val="26"/>
        </w:rPr>
        <w:t>The Small LECs argue the discussion in Res. T-7616 regarding the treatment of excess deferred taxes using the normalization method in future rate cases constitutes an unlawful predetermination of the outcome of those rate cases, which is unsupported by substantial record evidence.</w:t>
      </w:r>
      <w:r w:rsidRPr="00ED0D98">
        <w:rPr>
          <w:rStyle w:val="FootnoteReference"/>
          <w:sz w:val="26"/>
          <w:szCs w:val="26"/>
        </w:rPr>
        <w:footnoteReference w:id="32"/>
      </w:r>
      <w:r w:rsidRPr="00ED0D98">
        <w:rPr>
          <w:szCs w:val="26"/>
        </w:rPr>
        <w:t xml:space="preserve">  The rehearing application states, “Normalization of deferred tax amounts is not required by any general rate case decisions of the Independent Small LECs, the CHCF-A rules, or any industry-wide Commission decision.”  </w:t>
      </w:r>
    </w:p>
    <w:p w:rsidRPr="00ED0D98" w:rsidR="0036542A" w:rsidP="003123FE" w:rsidRDefault="0036542A" w14:paraId="77C50295" w14:textId="76FA4547">
      <w:pPr>
        <w:tabs>
          <w:tab w:val="clear" w:pos="5040"/>
        </w:tabs>
        <w:spacing w:line="360" w:lineRule="auto"/>
        <w:ind w:firstLine="1440"/>
        <w:rPr>
          <w:szCs w:val="26"/>
        </w:rPr>
      </w:pPr>
      <w:r w:rsidRPr="00ED0D98">
        <w:rPr>
          <w:szCs w:val="26"/>
        </w:rPr>
        <w:lastRenderedPageBreak/>
        <w:t xml:space="preserve">The Small LECs raise a valid argument.  </w:t>
      </w:r>
      <w:r w:rsidRPr="00ED0D98" w:rsidR="00E74767">
        <w:rPr>
          <w:szCs w:val="26"/>
        </w:rPr>
        <w:t>We agree that p</w:t>
      </w:r>
      <w:r w:rsidRPr="00ED0D98">
        <w:rPr>
          <w:szCs w:val="26"/>
        </w:rPr>
        <w:t xml:space="preserve">rescribing a specific method of addressing that ratemaking issue at this time is beyond the scope of the Resolution and improper given the insufficient record addressing the issue.  Thus, </w:t>
      </w:r>
      <w:r w:rsidRPr="00ED0D98" w:rsidR="00E74767">
        <w:rPr>
          <w:szCs w:val="26"/>
        </w:rPr>
        <w:t>we will</w:t>
      </w:r>
      <w:r w:rsidRPr="00ED0D98">
        <w:rPr>
          <w:szCs w:val="26"/>
        </w:rPr>
        <w:t xml:space="preserve"> strike the language referenced in Res. T-17616 </w:t>
      </w:r>
      <w:r w:rsidRPr="00ED0D98" w:rsidR="00326B5D">
        <w:rPr>
          <w:szCs w:val="26"/>
        </w:rPr>
        <w:t xml:space="preserve">concerning </w:t>
      </w:r>
      <w:r w:rsidRPr="00ED0D98">
        <w:rPr>
          <w:szCs w:val="26"/>
        </w:rPr>
        <w:t xml:space="preserve">how to treat excess deferred tax impacts in future rate cases as shown </w:t>
      </w:r>
      <w:r w:rsidRPr="00ED0D98" w:rsidR="00326B5D">
        <w:rPr>
          <w:szCs w:val="26"/>
        </w:rPr>
        <w:t>below</w:t>
      </w:r>
      <w:r w:rsidRPr="00ED0D98" w:rsidR="00D31F18">
        <w:rPr>
          <w:szCs w:val="26"/>
        </w:rPr>
        <w:t xml:space="preserve"> in our modification of Finding No. 10</w:t>
      </w:r>
      <w:r w:rsidRPr="00ED0D98" w:rsidR="00326B5D">
        <w:rPr>
          <w:szCs w:val="26"/>
        </w:rPr>
        <w:t xml:space="preserve">. </w:t>
      </w:r>
    </w:p>
    <w:p w:rsidRPr="00ED0D98" w:rsidR="00007133" w:rsidP="003123FE" w:rsidRDefault="00007133" w14:paraId="5982921E" w14:textId="77777777">
      <w:pPr>
        <w:pStyle w:val="Heading1"/>
      </w:pPr>
      <w:r w:rsidRPr="00ED0D98">
        <w:t>CONCLUSION</w:t>
      </w:r>
    </w:p>
    <w:p w:rsidRPr="00ED0D98" w:rsidR="00983083" w:rsidP="00007133" w:rsidRDefault="00007133" w14:paraId="0FA89665" w14:textId="11BF1254">
      <w:pPr>
        <w:tabs>
          <w:tab w:val="clear" w:pos="5040"/>
        </w:tabs>
        <w:overflowPunct/>
        <w:autoSpaceDE/>
        <w:autoSpaceDN/>
        <w:adjustRightInd/>
        <w:spacing w:line="360" w:lineRule="auto"/>
        <w:ind w:firstLine="1440"/>
        <w:textAlignment w:val="auto"/>
        <w:rPr>
          <w:szCs w:val="26"/>
        </w:rPr>
      </w:pPr>
      <w:r w:rsidRPr="00ED0D98">
        <w:rPr>
          <w:szCs w:val="26"/>
        </w:rPr>
        <w:t xml:space="preserve">For the reasons stated above, </w:t>
      </w:r>
      <w:r w:rsidRPr="00ED0D98" w:rsidR="003E34B9">
        <w:rPr>
          <w:szCs w:val="26"/>
        </w:rPr>
        <w:t xml:space="preserve">we determined that good cause </w:t>
      </w:r>
      <w:r w:rsidRPr="00ED0D98" w:rsidR="00831501">
        <w:rPr>
          <w:szCs w:val="26"/>
        </w:rPr>
        <w:t xml:space="preserve">exists </w:t>
      </w:r>
      <w:r w:rsidRPr="00ED0D98" w:rsidR="003E34B9">
        <w:rPr>
          <w:szCs w:val="26"/>
        </w:rPr>
        <w:t xml:space="preserve">to </w:t>
      </w:r>
      <w:r w:rsidRPr="00ED0D98" w:rsidR="00A544D1">
        <w:rPr>
          <w:szCs w:val="26"/>
        </w:rPr>
        <w:t>modify</w:t>
      </w:r>
      <w:r w:rsidRPr="00ED0D98" w:rsidR="003E34B9">
        <w:rPr>
          <w:szCs w:val="26"/>
        </w:rPr>
        <w:t xml:space="preserve"> </w:t>
      </w:r>
      <w:r w:rsidRPr="00ED0D98" w:rsidR="006100B6">
        <w:rPr>
          <w:szCs w:val="26"/>
        </w:rPr>
        <w:t>Resolution T-</w:t>
      </w:r>
      <w:r w:rsidRPr="00ED0D98" w:rsidR="00FB6329">
        <w:rPr>
          <w:szCs w:val="26"/>
        </w:rPr>
        <w:t>1761</w:t>
      </w:r>
      <w:r w:rsidRPr="00ED0D98" w:rsidR="00A544D1">
        <w:rPr>
          <w:szCs w:val="26"/>
        </w:rPr>
        <w:t>6</w:t>
      </w:r>
      <w:r w:rsidRPr="00ED0D98" w:rsidR="00BE0CB8">
        <w:rPr>
          <w:szCs w:val="26"/>
        </w:rPr>
        <w:t xml:space="preserve"> and </w:t>
      </w:r>
      <w:r w:rsidRPr="00ED0D98" w:rsidR="00A544D1">
        <w:rPr>
          <w:szCs w:val="26"/>
        </w:rPr>
        <w:t>deny rehearing</w:t>
      </w:r>
      <w:r w:rsidRPr="00ED0D98" w:rsidR="0017019C">
        <w:rPr>
          <w:szCs w:val="26"/>
        </w:rPr>
        <w:t xml:space="preserve">.  </w:t>
      </w:r>
    </w:p>
    <w:p w:rsidRPr="00ED0D98" w:rsidR="00007133" w:rsidP="00007133" w:rsidRDefault="00007133" w14:paraId="3C3C97C7" w14:textId="77777777">
      <w:pPr>
        <w:tabs>
          <w:tab w:val="clear" w:pos="5040"/>
        </w:tabs>
        <w:overflowPunct/>
        <w:autoSpaceDE/>
        <w:autoSpaceDN/>
        <w:adjustRightInd/>
        <w:spacing w:line="360" w:lineRule="auto"/>
        <w:ind w:firstLine="1440"/>
        <w:textAlignment w:val="auto"/>
        <w:rPr>
          <w:szCs w:val="26"/>
        </w:rPr>
      </w:pPr>
      <w:r w:rsidRPr="00ED0D98">
        <w:rPr>
          <w:b/>
          <w:szCs w:val="26"/>
        </w:rPr>
        <w:t>THEREFORE,</w:t>
      </w:r>
      <w:r w:rsidRPr="00ED0D98">
        <w:rPr>
          <w:szCs w:val="26"/>
        </w:rPr>
        <w:t xml:space="preserve"> </w:t>
      </w:r>
      <w:r w:rsidRPr="00ED0D98">
        <w:rPr>
          <w:b/>
          <w:szCs w:val="26"/>
        </w:rPr>
        <w:t>IT IS ORDERED</w:t>
      </w:r>
      <w:r w:rsidRPr="00ED0D98">
        <w:rPr>
          <w:szCs w:val="26"/>
        </w:rPr>
        <w:t xml:space="preserve"> that: </w:t>
      </w:r>
    </w:p>
    <w:p w:rsidRPr="00ED0D98" w:rsidR="008969EB" w:rsidP="001C1E5D" w:rsidRDefault="001C1E5D" w14:paraId="2B2B078F" w14:textId="7A285CA0">
      <w:pPr>
        <w:tabs>
          <w:tab w:val="clear" w:pos="5040"/>
        </w:tabs>
        <w:overflowPunct/>
        <w:autoSpaceDE/>
        <w:autoSpaceDN/>
        <w:adjustRightInd/>
        <w:spacing w:line="360" w:lineRule="auto"/>
        <w:ind w:firstLine="720"/>
        <w:textAlignment w:val="auto"/>
        <w:rPr>
          <w:szCs w:val="26"/>
        </w:rPr>
      </w:pPr>
      <w:r>
        <w:rPr>
          <w:szCs w:val="26"/>
        </w:rPr>
        <w:t>1.</w:t>
      </w:r>
      <w:r>
        <w:rPr>
          <w:szCs w:val="26"/>
        </w:rPr>
        <w:tab/>
      </w:r>
      <w:r w:rsidRPr="00ED0D98" w:rsidR="008969EB">
        <w:rPr>
          <w:szCs w:val="26"/>
        </w:rPr>
        <w:t>Resolution T-</w:t>
      </w:r>
      <w:r w:rsidRPr="00ED0D98" w:rsidR="00FB6329">
        <w:rPr>
          <w:szCs w:val="26"/>
        </w:rPr>
        <w:t>1761</w:t>
      </w:r>
      <w:r w:rsidRPr="00ED0D98" w:rsidR="001E16F9">
        <w:rPr>
          <w:szCs w:val="26"/>
        </w:rPr>
        <w:t>6 shall be modified as follows:</w:t>
      </w:r>
    </w:p>
    <w:p w:rsidRPr="00ED0D98" w:rsidR="003B19CF" w:rsidP="001C1E5D" w:rsidRDefault="001C1E5D" w14:paraId="00A2F3A2" w14:textId="13500583">
      <w:pPr>
        <w:tabs>
          <w:tab w:val="clear" w:pos="5040"/>
        </w:tabs>
        <w:overflowPunct/>
        <w:autoSpaceDE/>
        <w:autoSpaceDN/>
        <w:adjustRightInd/>
        <w:spacing w:line="360" w:lineRule="auto"/>
        <w:ind w:firstLine="720"/>
        <w:textAlignment w:val="auto"/>
        <w:rPr>
          <w:szCs w:val="26"/>
        </w:rPr>
      </w:pPr>
      <w:r>
        <w:rPr>
          <w:szCs w:val="26"/>
        </w:rPr>
        <w:t>2.</w:t>
      </w:r>
      <w:r>
        <w:rPr>
          <w:szCs w:val="26"/>
        </w:rPr>
        <w:tab/>
      </w:r>
      <w:r w:rsidRPr="00ED0D98" w:rsidR="003B19CF">
        <w:rPr>
          <w:szCs w:val="26"/>
        </w:rPr>
        <w:t>Modify the first full paragraph on page 5, as shown by the redline changes below:</w:t>
      </w:r>
    </w:p>
    <w:p w:rsidRPr="00ED0D98" w:rsidR="003B19CF" w:rsidP="00CF1B0A" w:rsidRDefault="003B19CF" w14:paraId="228FC5C6" w14:textId="200B6775">
      <w:pPr>
        <w:tabs>
          <w:tab w:val="clear" w:pos="5040"/>
        </w:tabs>
        <w:overflowPunct/>
        <w:autoSpaceDE/>
        <w:autoSpaceDN/>
        <w:adjustRightInd/>
        <w:spacing w:after="120"/>
        <w:ind w:left="1440" w:right="720"/>
        <w:textAlignment w:val="auto"/>
        <w:rPr>
          <w:szCs w:val="26"/>
        </w:rPr>
      </w:pPr>
      <w:r w:rsidRPr="00ED0D98">
        <w:rPr>
          <w:szCs w:val="26"/>
        </w:rPr>
        <w:t>“While Staff has calculated the tax expense impact of the TCJA for operating expenses, it is not reflecting the additional savings impact of the TCJA on the deferred income tax reserve (which is a rate base component)</w:t>
      </w:r>
      <w:r w:rsidRPr="00ED0D98">
        <w:rPr>
          <w:szCs w:val="26"/>
          <w:u w:val="single"/>
        </w:rPr>
        <w:t>.</w:t>
      </w:r>
      <w:r w:rsidRPr="00ED0D98">
        <w:rPr>
          <w:szCs w:val="26"/>
        </w:rPr>
        <w:t xml:space="preserve"> </w:t>
      </w:r>
      <w:r w:rsidRPr="00ED0D98">
        <w:rPr>
          <w:strike/>
          <w:szCs w:val="26"/>
        </w:rPr>
        <w:t>due to the problematic nature of determining and applying the remaining life of depreciable assets prior to CY 2018 for normalization (disposal) of excess deferred income tax, created as a result of the new lower income tax rate.</w:t>
      </w:r>
      <w:r w:rsidRPr="00ED0D98">
        <w:rPr>
          <w:szCs w:val="26"/>
        </w:rPr>
        <w:t xml:space="preserve"> Staff recommends that such consideration be deferred until each company’s next GRC proceeding, at which time </w:t>
      </w:r>
      <w:r w:rsidRPr="00ED0D98">
        <w:rPr>
          <w:strike/>
          <w:szCs w:val="26"/>
        </w:rPr>
        <w:t>an equitable amount of</w:t>
      </w:r>
      <w:r w:rsidRPr="00ED0D98">
        <w:rPr>
          <w:szCs w:val="26"/>
        </w:rPr>
        <w:t xml:space="preserve"> </w:t>
      </w:r>
      <w:r w:rsidRPr="00ED0D98">
        <w:rPr>
          <w:szCs w:val="26"/>
          <w:u w:val="single"/>
        </w:rPr>
        <w:t xml:space="preserve">the </w:t>
      </w:r>
      <w:r w:rsidRPr="00ED0D98">
        <w:rPr>
          <w:szCs w:val="26"/>
        </w:rPr>
        <w:t xml:space="preserve">excess deferred tax </w:t>
      </w:r>
      <w:r w:rsidRPr="00ED0D98">
        <w:rPr>
          <w:strike/>
          <w:szCs w:val="26"/>
        </w:rPr>
        <w:t>and a reasonable method for their normalization (disposal)</w:t>
      </w:r>
      <w:r w:rsidRPr="00ED0D98">
        <w:rPr>
          <w:szCs w:val="26"/>
        </w:rPr>
        <w:t xml:space="preserve"> can be determined.”</w:t>
      </w:r>
    </w:p>
    <w:p w:rsidRPr="00ED0D98" w:rsidR="006E4D29" w:rsidP="001C1E5D" w:rsidRDefault="001C1E5D" w14:paraId="2E71BE1D" w14:textId="6B81B1ED">
      <w:pPr>
        <w:tabs>
          <w:tab w:val="clear" w:pos="5040"/>
        </w:tabs>
        <w:overflowPunct/>
        <w:autoSpaceDE/>
        <w:autoSpaceDN/>
        <w:adjustRightInd/>
        <w:spacing w:line="360" w:lineRule="auto"/>
        <w:ind w:firstLine="720"/>
        <w:textAlignment w:val="auto"/>
        <w:rPr>
          <w:szCs w:val="26"/>
        </w:rPr>
      </w:pPr>
      <w:r>
        <w:rPr>
          <w:szCs w:val="26"/>
        </w:rPr>
        <w:t>3.</w:t>
      </w:r>
      <w:r>
        <w:rPr>
          <w:szCs w:val="26"/>
        </w:rPr>
        <w:tab/>
      </w:r>
      <w:r w:rsidRPr="00ED0D98" w:rsidR="006E4D29">
        <w:rPr>
          <w:szCs w:val="26"/>
        </w:rPr>
        <w:t>Strike the language on page 7, at the end of the third full paragraph under “Comments,” as follows:</w:t>
      </w:r>
    </w:p>
    <w:p w:rsidRPr="00ED0D98" w:rsidR="006E4D29" w:rsidP="00CF1B0A" w:rsidRDefault="006E4D29" w14:paraId="5C9731A1" w14:textId="77777777">
      <w:pPr>
        <w:tabs>
          <w:tab w:val="clear" w:pos="5040"/>
        </w:tabs>
        <w:overflowPunct/>
        <w:autoSpaceDE/>
        <w:autoSpaceDN/>
        <w:adjustRightInd/>
        <w:spacing w:after="120"/>
        <w:ind w:left="1440" w:right="720"/>
        <w:textAlignment w:val="auto"/>
        <w:rPr>
          <w:szCs w:val="26"/>
        </w:rPr>
      </w:pPr>
      <w:r w:rsidRPr="00ED0D98">
        <w:rPr>
          <w:szCs w:val="26"/>
        </w:rPr>
        <w:t>“Therefore, we will defer this issue until each company’s next GRC proceeding</w:t>
      </w:r>
      <w:r w:rsidRPr="00ED0D98">
        <w:rPr>
          <w:strike/>
          <w:szCs w:val="26"/>
        </w:rPr>
        <w:t>, at which time an equitable amount of excess deferred tax and a reasonable method for their normalization (disposal) can be determined</w:t>
      </w:r>
      <w:r w:rsidRPr="00ED0D98">
        <w:rPr>
          <w:szCs w:val="26"/>
        </w:rPr>
        <w:t>.”</w:t>
      </w:r>
    </w:p>
    <w:p w:rsidRPr="00ED0D98" w:rsidR="0016462A" w:rsidP="001C1E5D" w:rsidRDefault="001C1E5D" w14:paraId="7BDC8FB0" w14:textId="03B5CDA5">
      <w:pPr>
        <w:tabs>
          <w:tab w:val="clear" w:pos="5040"/>
        </w:tabs>
        <w:overflowPunct/>
        <w:autoSpaceDE/>
        <w:autoSpaceDN/>
        <w:adjustRightInd/>
        <w:spacing w:line="360" w:lineRule="auto"/>
        <w:ind w:firstLine="720"/>
        <w:textAlignment w:val="auto"/>
        <w:rPr>
          <w:szCs w:val="26"/>
        </w:rPr>
      </w:pPr>
      <w:r>
        <w:rPr>
          <w:szCs w:val="26"/>
        </w:rPr>
        <w:t>4.</w:t>
      </w:r>
      <w:r>
        <w:rPr>
          <w:szCs w:val="26"/>
        </w:rPr>
        <w:tab/>
      </w:r>
      <w:r w:rsidRPr="00ED0D98" w:rsidR="0036271A">
        <w:rPr>
          <w:szCs w:val="26"/>
        </w:rPr>
        <w:t>Replace</w:t>
      </w:r>
      <w:r w:rsidRPr="00ED0D98" w:rsidR="00547078">
        <w:rPr>
          <w:szCs w:val="26"/>
        </w:rPr>
        <w:t xml:space="preserve"> the</w:t>
      </w:r>
      <w:r w:rsidRPr="00ED0D98" w:rsidR="004B1420">
        <w:rPr>
          <w:szCs w:val="26"/>
        </w:rPr>
        <w:t xml:space="preserve"> fourth full paragraph on page 8</w:t>
      </w:r>
      <w:r w:rsidRPr="00ED0D98" w:rsidR="00E85F7A">
        <w:rPr>
          <w:szCs w:val="26"/>
        </w:rPr>
        <w:t>, as follows</w:t>
      </w:r>
      <w:r w:rsidRPr="00ED0D98" w:rsidR="004B1420">
        <w:rPr>
          <w:szCs w:val="26"/>
        </w:rPr>
        <w:t>:</w:t>
      </w:r>
    </w:p>
    <w:p w:rsidRPr="00ED0D98" w:rsidR="006A4B9F" w:rsidP="00CF1B0A" w:rsidRDefault="001E16F9" w14:paraId="2AD8DED7" w14:textId="2869A62A">
      <w:pPr>
        <w:spacing w:after="120"/>
        <w:ind w:left="1440" w:right="720"/>
        <w:rPr>
          <w:szCs w:val="26"/>
        </w:rPr>
      </w:pPr>
      <w:r w:rsidRPr="00ED0D98">
        <w:rPr>
          <w:szCs w:val="26"/>
        </w:rPr>
        <w:t xml:space="preserve">“Fourth, it is not necessary for the Commission to examine the whole financial information of a company to determine the changes in the adopted revenue requirement and the corresponding CHCF-A </w:t>
      </w:r>
      <w:r w:rsidRPr="00ED0D98">
        <w:rPr>
          <w:szCs w:val="26"/>
        </w:rPr>
        <w:lastRenderedPageBreak/>
        <w:t>subsidy resulting from the income tax rate change.  The methodology Staff used to determine the reductions is reasonable and based on the last GRC Test Year adopted revenue and the “Means Test” as specified by the CHCF-A rules in D.91-09-042.  Also, since the rates are based on the last general rate case adopted revenue, it is appropriate to consider that adopted revenue and adjust any component that has changed</w:t>
      </w:r>
      <w:r w:rsidRPr="00ED0D98" w:rsidR="00D023CC">
        <w:rPr>
          <w:szCs w:val="26"/>
        </w:rPr>
        <w:t xml:space="preserve"> subject to</w:t>
      </w:r>
      <w:r w:rsidRPr="00ED0D98" w:rsidR="00E84ADD">
        <w:rPr>
          <w:szCs w:val="26"/>
        </w:rPr>
        <w:t xml:space="preserve"> </w:t>
      </w:r>
      <w:r w:rsidRPr="00ED0D98" w:rsidR="00CE113A">
        <w:rPr>
          <w:szCs w:val="26"/>
        </w:rPr>
        <w:t>the Commission’s authority</w:t>
      </w:r>
      <w:r w:rsidRPr="00ED0D98" w:rsidR="00F427A3">
        <w:rPr>
          <w:szCs w:val="26"/>
        </w:rPr>
        <w:t xml:space="preserve"> in</w:t>
      </w:r>
      <w:r w:rsidRPr="00ED0D98" w:rsidR="00ED6F48">
        <w:rPr>
          <w:szCs w:val="26"/>
        </w:rPr>
        <w:t xml:space="preserve"> section 275.6</w:t>
      </w:r>
      <w:r w:rsidRPr="00ED0D98">
        <w:rPr>
          <w:szCs w:val="26"/>
        </w:rPr>
        <w:t xml:space="preserve">, </w:t>
      </w:r>
      <w:r w:rsidRPr="00ED0D98" w:rsidR="004E7FE5">
        <w:rPr>
          <w:szCs w:val="26"/>
        </w:rPr>
        <w:t xml:space="preserve">and </w:t>
      </w:r>
      <w:r w:rsidRPr="00ED0D98">
        <w:rPr>
          <w:szCs w:val="26"/>
        </w:rPr>
        <w:t>provided such adjustment is relatively simple and non-controversial.”</w:t>
      </w:r>
    </w:p>
    <w:p w:rsidRPr="00ED0D98" w:rsidR="00FE1536" w:rsidP="001C1E5D" w:rsidRDefault="001C1E5D" w14:paraId="2078F623" w14:textId="1C5570FC">
      <w:pPr>
        <w:tabs>
          <w:tab w:val="clear" w:pos="5040"/>
        </w:tabs>
        <w:overflowPunct/>
        <w:autoSpaceDE/>
        <w:autoSpaceDN/>
        <w:adjustRightInd/>
        <w:spacing w:line="360" w:lineRule="auto"/>
        <w:ind w:firstLine="720"/>
        <w:textAlignment w:val="auto"/>
        <w:rPr>
          <w:szCs w:val="26"/>
        </w:rPr>
      </w:pPr>
      <w:r>
        <w:rPr>
          <w:szCs w:val="26"/>
        </w:rPr>
        <w:t>5.</w:t>
      </w:r>
      <w:r>
        <w:rPr>
          <w:szCs w:val="26"/>
        </w:rPr>
        <w:tab/>
      </w:r>
      <w:r w:rsidRPr="00ED0D98" w:rsidR="00C55DFF">
        <w:rPr>
          <w:szCs w:val="26"/>
        </w:rPr>
        <w:t>Modify</w:t>
      </w:r>
      <w:r w:rsidRPr="00ED0D98" w:rsidR="00F164AC">
        <w:rPr>
          <w:szCs w:val="26"/>
        </w:rPr>
        <w:t xml:space="preserve"> </w:t>
      </w:r>
      <w:r w:rsidRPr="00ED0D98" w:rsidR="00233D32">
        <w:rPr>
          <w:szCs w:val="26"/>
        </w:rPr>
        <w:t>No. 10 of the Findings, on page 9</w:t>
      </w:r>
      <w:r w:rsidRPr="00ED0D98" w:rsidR="00FE1536">
        <w:rPr>
          <w:szCs w:val="26"/>
        </w:rPr>
        <w:t>, as follows:</w:t>
      </w:r>
    </w:p>
    <w:p w:rsidRPr="00ED0D98" w:rsidR="00C55DFF" w:rsidP="001C1E5D" w:rsidRDefault="002964BC" w14:paraId="1969B2B6" w14:textId="14C4B62D">
      <w:pPr>
        <w:tabs>
          <w:tab w:val="clear" w:pos="5040"/>
        </w:tabs>
        <w:overflowPunct/>
        <w:spacing w:after="120"/>
        <w:ind w:left="2070" w:right="720" w:hanging="630"/>
        <w:textAlignment w:val="auto"/>
        <w:rPr>
          <w:color w:val="000000"/>
          <w:szCs w:val="26"/>
          <w:lang w:eastAsia="ja-JP"/>
        </w:rPr>
      </w:pPr>
      <w:r w:rsidRPr="00ED0D98">
        <w:rPr>
          <w:color w:val="000000"/>
          <w:szCs w:val="26"/>
          <w:lang w:eastAsia="ja-JP"/>
        </w:rPr>
        <w:t>“</w:t>
      </w:r>
      <w:r w:rsidRPr="00ED0D98" w:rsidR="00C55DFF">
        <w:rPr>
          <w:color w:val="000000"/>
          <w:szCs w:val="26"/>
          <w:lang w:eastAsia="ja-JP"/>
        </w:rPr>
        <w:t>10.</w:t>
      </w:r>
      <w:r w:rsidR="001C1E5D">
        <w:rPr>
          <w:color w:val="000000"/>
          <w:szCs w:val="26"/>
          <w:lang w:eastAsia="ja-JP"/>
        </w:rPr>
        <w:tab/>
        <w:t>S</w:t>
      </w:r>
      <w:r w:rsidRPr="00ED0D98" w:rsidR="00C55DFF">
        <w:rPr>
          <w:color w:val="000000"/>
          <w:szCs w:val="26"/>
          <w:lang w:eastAsia="ja-JP"/>
        </w:rPr>
        <w:t>taff recommends that consideration of the additional savings impact of the TCJA on the deferred income tax reserve be deferred until each company’s next GRC proceeding</w:t>
      </w:r>
      <w:r w:rsidRPr="00ED0D98" w:rsidR="00C55DFF">
        <w:rPr>
          <w:strike/>
          <w:color w:val="000000"/>
          <w:szCs w:val="26"/>
          <w:lang w:eastAsia="ja-JP"/>
        </w:rPr>
        <w:t>, at which time an equitable amount of excess deferred tax and a reasonable method for their normalization (disposal) can be determined</w:t>
      </w:r>
      <w:r w:rsidRPr="00ED0D98" w:rsidR="00C55DFF">
        <w:rPr>
          <w:color w:val="000000"/>
          <w:szCs w:val="26"/>
          <w:lang w:eastAsia="ja-JP"/>
        </w:rPr>
        <w:t>.</w:t>
      </w:r>
      <w:r w:rsidRPr="00ED0D98">
        <w:rPr>
          <w:color w:val="000000"/>
          <w:szCs w:val="26"/>
          <w:lang w:eastAsia="ja-JP"/>
        </w:rPr>
        <w:t>”</w:t>
      </w:r>
      <w:r w:rsidRPr="00ED0D98" w:rsidR="00C55DFF">
        <w:rPr>
          <w:color w:val="000000"/>
          <w:szCs w:val="26"/>
          <w:lang w:eastAsia="ja-JP"/>
        </w:rPr>
        <w:t xml:space="preserve"> </w:t>
      </w:r>
    </w:p>
    <w:p w:rsidRPr="00ED0D98" w:rsidR="00EB12A9" w:rsidP="001C1E5D" w:rsidRDefault="001C1E5D" w14:paraId="02BE5B4F" w14:textId="71D1E2E4">
      <w:pPr>
        <w:tabs>
          <w:tab w:val="clear" w:pos="5040"/>
        </w:tabs>
        <w:overflowPunct/>
        <w:autoSpaceDE/>
        <w:autoSpaceDN/>
        <w:adjustRightInd/>
        <w:spacing w:line="360" w:lineRule="auto"/>
        <w:ind w:firstLine="720"/>
        <w:textAlignment w:val="auto"/>
        <w:rPr>
          <w:szCs w:val="26"/>
        </w:rPr>
      </w:pPr>
      <w:r>
        <w:rPr>
          <w:szCs w:val="26"/>
        </w:rPr>
        <w:t>6.</w:t>
      </w:r>
      <w:r>
        <w:rPr>
          <w:szCs w:val="26"/>
        </w:rPr>
        <w:tab/>
      </w:r>
      <w:r w:rsidRPr="00ED0D98" w:rsidR="00EB12A9">
        <w:rPr>
          <w:szCs w:val="26"/>
        </w:rPr>
        <w:t>Insert</w:t>
      </w:r>
      <w:r w:rsidRPr="00ED0D98" w:rsidR="00DA67FC">
        <w:rPr>
          <w:szCs w:val="26"/>
        </w:rPr>
        <w:t xml:space="preserve"> the following</w:t>
      </w:r>
      <w:r w:rsidRPr="00ED0D98" w:rsidR="007B7E18">
        <w:rPr>
          <w:szCs w:val="26"/>
        </w:rPr>
        <w:t xml:space="preserve"> </w:t>
      </w:r>
      <w:r w:rsidRPr="00ED0D98" w:rsidR="00EB12A9">
        <w:rPr>
          <w:szCs w:val="26"/>
        </w:rPr>
        <w:t xml:space="preserve">additional findings, </w:t>
      </w:r>
      <w:r w:rsidRPr="00ED0D98" w:rsidR="00DA67FC">
        <w:rPr>
          <w:szCs w:val="26"/>
        </w:rPr>
        <w:t>including</w:t>
      </w:r>
      <w:r w:rsidRPr="00ED0D98" w:rsidR="00EB12A9">
        <w:rPr>
          <w:szCs w:val="26"/>
        </w:rPr>
        <w:t>:</w:t>
      </w:r>
    </w:p>
    <w:p w:rsidRPr="00ED0D98" w:rsidR="00EB12A9" w:rsidP="001C1E5D" w:rsidRDefault="00EB12A9" w14:paraId="2DBF34C7" w14:textId="2AF66E29">
      <w:pPr>
        <w:tabs>
          <w:tab w:val="clear" w:pos="5040"/>
        </w:tabs>
        <w:overflowPunct/>
        <w:autoSpaceDE/>
        <w:autoSpaceDN/>
        <w:adjustRightInd/>
        <w:spacing w:after="120"/>
        <w:ind w:left="2070" w:right="720" w:hanging="630"/>
        <w:textAlignment w:val="auto"/>
        <w:rPr>
          <w:szCs w:val="26"/>
        </w:rPr>
      </w:pPr>
      <w:r w:rsidRPr="00ED0D98">
        <w:rPr>
          <w:szCs w:val="26"/>
        </w:rPr>
        <w:t xml:space="preserve">“19.  </w:t>
      </w:r>
      <w:r w:rsidR="00CF1B0A">
        <w:rPr>
          <w:szCs w:val="26"/>
        </w:rPr>
        <w:tab/>
      </w:r>
      <w:r w:rsidRPr="00ED0D98">
        <w:rPr>
          <w:szCs w:val="26"/>
        </w:rPr>
        <w:t xml:space="preserve">Pub. Util. Code § 275.6(c) sets forth the Commission’s obligations in establishing the CHCF-A program, which the Commission implemented in D.91-09-042.  </w:t>
      </w:r>
    </w:p>
    <w:p w:rsidRPr="00ED0D98" w:rsidR="00EB12A9" w:rsidP="001C1E5D" w:rsidRDefault="00EB12A9" w14:paraId="1B587E60" w14:textId="4AECF7B1">
      <w:pPr>
        <w:tabs>
          <w:tab w:val="clear" w:pos="5040"/>
        </w:tabs>
        <w:overflowPunct/>
        <w:autoSpaceDE/>
        <w:autoSpaceDN/>
        <w:adjustRightInd/>
        <w:spacing w:after="120"/>
        <w:ind w:left="2070" w:right="720" w:hanging="630"/>
        <w:textAlignment w:val="auto"/>
        <w:rPr>
          <w:szCs w:val="26"/>
        </w:rPr>
      </w:pPr>
      <w:r w:rsidRPr="00ED0D98">
        <w:rPr>
          <w:szCs w:val="26"/>
        </w:rPr>
        <w:t xml:space="preserve">20.  </w:t>
      </w:r>
      <w:r w:rsidR="00CF1B0A">
        <w:rPr>
          <w:szCs w:val="26"/>
        </w:rPr>
        <w:tab/>
      </w:r>
      <w:r w:rsidRPr="00ED0D98">
        <w:rPr>
          <w:szCs w:val="26"/>
        </w:rPr>
        <w:t>Pub. Util. Code § 275.6 and D.91-09-042 do not limit the Commission from making certain adjustments using its rate-of-return regulatory authority to reflect legislative changes to the corporate tax rate.</w:t>
      </w:r>
    </w:p>
    <w:p w:rsidRPr="00ED0D98" w:rsidR="00EB12A9" w:rsidP="001C1E5D" w:rsidRDefault="00EB12A9" w14:paraId="2CF4F8AD" w14:textId="7FE72CDB">
      <w:pPr>
        <w:tabs>
          <w:tab w:val="clear" w:pos="5040"/>
        </w:tabs>
        <w:overflowPunct/>
        <w:autoSpaceDE/>
        <w:autoSpaceDN/>
        <w:adjustRightInd/>
        <w:spacing w:after="120"/>
        <w:ind w:left="2070" w:right="720" w:hanging="630"/>
        <w:textAlignment w:val="auto"/>
        <w:rPr>
          <w:szCs w:val="26"/>
        </w:rPr>
      </w:pPr>
      <w:r w:rsidRPr="00ED0D98">
        <w:rPr>
          <w:szCs w:val="26"/>
        </w:rPr>
        <w:t xml:space="preserve">21.  </w:t>
      </w:r>
      <w:r w:rsidR="00CF1B0A">
        <w:rPr>
          <w:szCs w:val="26"/>
        </w:rPr>
        <w:tab/>
      </w:r>
      <w:r w:rsidRPr="00ED0D98">
        <w:rPr>
          <w:szCs w:val="26"/>
        </w:rPr>
        <w:t>The adjustments to the revenue requirement and CHCF-A support for Ducor, Foresthill, Kerman, Pinnacles, Siskiyou, and Volcano for April 2018 through December 2018 are reasonable and consistent with the Commission’s obligations under Pub. Util. Code § 275.6(c) to ensure the rates charged are “just and reasonable” and the corresponding CHCF-A support is “not excessive.””</w:t>
      </w:r>
    </w:p>
    <w:p w:rsidR="00EE0820" w:rsidP="001C1E5D" w:rsidRDefault="001C1E5D" w14:paraId="59E883EA" w14:textId="3AB81944">
      <w:pPr>
        <w:tabs>
          <w:tab w:val="clear" w:pos="5040"/>
        </w:tabs>
        <w:overflowPunct/>
        <w:autoSpaceDE/>
        <w:autoSpaceDN/>
        <w:adjustRightInd/>
        <w:spacing w:line="360" w:lineRule="auto"/>
        <w:ind w:firstLine="720"/>
        <w:textAlignment w:val="auto"/>
        <w:rPr>
          <w:szCs w:val="26"/>
        </w:rPr>
      </w:pPr>
      <w:r>
        <w:rPr>
          <w:szCs w:val="26"/>
        </w:rPr>
        <w:t>7.</w:t>
      </w:r>
      <w:r>
        <w:rPr>
          <w:szCs w:val="26"/>
        </w:rPr>
        <w:tab/>
      </w:r>
      <w:r w:rsidRPr="00ED0D98" w:rsidR="00913D60">
        <w:rPr>
          <w:szCs w:val="26"/>
        </w:rPr>
        <w:t xml:space="preserve">The </w:t>
      </w:r>
      <w:r w:rsidRPr="00ED0D98" w:rsidR="00D31F18">
        <w:rPr>
          <w:szCs w:val="26"/>
        </w:rPr>
        <w:t xml:space="preserve">application for </w:t>
      </w:r>
      <w:r w:rsidRPr="00ED0D98" w:rsidR="00913D60">
        <w:rPr>
          <w:szCs w:val="26"/>
        </w:rPr>
        <w:t>rehearing is denied</w:t>
      </w:r>
      <w:r w:rsidRPr="00ED0D98" w:rsidR="003A67B1">
        <w:rPr>
          <w:szCs w:val="26"/>
        </w:rPr>
        <w:t>.</w:t>
      </w:r>
    </w:p>
    <w:p w:rsidR="00EE0820" w:rsidRDefault="00EE0820" w14:paraId="43AE0B50" w14:textId="77777777">
      <w:pPr>
        <w:tabs>
          <w:tab w:val="clear" w:pos="5040"/>
        </w:tabs>
        <w:overflowPunct/>
        <w:autoSpaceDE/>
        <w:autoSpaceDN/>
        <w:adjustRightInd/>
        <w:textAlignment w:val="auto"/>
        <w:rPr>
          <w:szCs w:val="26"/>
        </w:rPr>
      </w:pPr>
      <w:r>
        <w:rPr>
          <w:szCs w:val="26"/>
        </w:rPr>
        <w:br w:type="page"/>
      </w:r>
    </w:p>
    <w:p w:rsidRPr="00ED0D98" w:rsidR="00CE4BFB" w:rsidP="001C1E5D" w:rsidRDefault="001C1E5D" w14:paraId="415958F1" w14:textId="481AB405">
      <w:pPr>
        <w:tabs>
          <w:tab w:val="clear" w:pos="5040"/>
        </w:tabs>
        <w:overflowPunct/>
        <w:autoSpaceDE/>
        <w:autoSpaceDN/>
        <w:adjustRightInd/>
        <w:spacing w:line="360" w:lineRule="auto"/>
        <w:ind w:firstLine="720"/>
        <w:textAlignment w:val="auto"/>
        <w:rPr>
          <w:szCs w:val="26"/>
        </w:rPr>
      </w:pPr>
      <w:r>
        <w:rPr>
          <w:szCs w:val="26"/>
        </w:rPr>
        <w:lastRenderedPageBreak/>
        <w:t>8.</w:t>
      </w:r>
      <w:r>
        <w:rPr>
          <w:szCs w:val="26"/>
        </w:rPr>
        <w:tab/>
      </w:r>
      <w:r w:rsidRPr="00ED0D98" w:rsidR="003A67B1">
        <w:rPr>
          <w:szCs w:val="26"/>
        </w:rPr>
        <w:t xml:space="preserve">This </w:t>
      </w:r>
      <w:r w:rsidRPr="00ED0D98" w:rsidR="00A102FA">
        <w:rPr>
          <w:szCs w:val="26"/>
        </w:rPr>
        <w:t xml:space="preserve">proceeding </w:t>
      </w:r>
      <w:r w:rsidRPr="00ED0D98" w:rsidR="003A67B1">
        <w:rPr>
          <w:szCs w:val="26"/>
        </w:rPr>
        <w:t xml:space="preserve">is </w:t>
      </w:r>
      <w:r w:rsidRPr="00ED0D98" w:rsidR="00A102FA">
        <w:rPr>
          <w:szCs w:val="26"/>
        </w:rPr>
        <w:t>closed.</w:t>
      </w:r>
    </w:p>
    <w:p w:rsidRPr="00ED0D98" w:rsidR="00007133" w:rsidP="00CF1B0A" w:rsidRDefault="00007133" w14:paraId="1C66B39F" w14:textId="758862B3">
      <w:pPr>
        <w:tabs>
          <w:tab w:val="clear" w:pos="5040"/>
        </w:tabs>
        <w:overflowPunct/>
        <w:autoSpaceDE/>
        <w:autoSpaceDN/>
        <w:adjustRightInd/>
        <w:spacing w:line="360" w:lineRule="auto"/>
        <w:ind w:left="1440"/>
        <w:textAlignment w:val="auto"/>
        <w:rPr>
          <w:szCs w:val="26"/>
        </w:rPr>
      </w:pPr>
      <w:r w:rsidRPr="00ED0D98">
        <w:rPr>
          <w:szCs w:val="26"/>
        </w:rPr>
        <w:t>This order is effective today.</w:t>
      </w:r>
    </w:p>
    <w:p w:rsidR="001E4FF3" w:rsidP="00CF1B0A" w:rsidRDefault="00007133" w14:paraId="4051B7D5" w14:textId="3B568112">
      <w:pPr>
        <w:tabs>
          <w:tab w:val="clear" w:pos="5040"/>
        </w:tabs>
        <w:overflowPunct/>
        <w:autoSpaceDE/>
        <w:autoSpaceDN/>
        <w:adjustRightInd/>
        <w:spacing w:line="360" w:lineRule="auto"/>
        <w:ind w:left="1440"/>
        <w:textAlignment w:val="auto"/>
        <w:rPr>
          <w:szCs w:val="26"/>
        </w:rPr>
      </w:pPr>
      <w:r w:rsidRPr="00ED0D98">
        <w:rPr>
          <w:szCs w:val="26"/>
        </w:rPr>
        <w:t xml:space="preserve">Dated </w:t>
      </w:r>
      <w:r w:rsidR="00EE0820">
        <w:rPr>
          <w:szCs w:val="26"/>
        </w:rPr>
        <w:t>May 6, 2021</w:t>
      </w:r>
      <w:r w:rsidRPr="00ED0D98" w:rsidR="00BC7CFC">
        <w:rPr>
          <w:szCs w:val="26"/>
        </w:rPr>
        <w:t xml:space="preserve"> </w:t>
      </w:r>
      <w:r w:rsidRPr="00ED0D98">
        <w:rPr>
          <w:szCs w:val="26"/>
        </w:rPr>
        <w:t xml:space="preserve">at </w:t>
      </w:r>
      <w:r w:rsidRPr="00ED0D98" w:rsidR="0000021E">
        <w:rPr>
          <w:szCs w:val="26"/>
        </w:rPr>
        <w:t>San Francisco</w:t>
      </w:r>
      <w:r w:rsidRPr="00ED0D98">
        <w:rPr>
          <w:szCs w:val="26"/>
        </w:rPr>
        <w:t>, California.</w:t>
      </w:r>
    </w:p>
    <w:p w:rsidRPr="00EE0820" w:rsidR="00EE0820" w:rsidP="00EE0820" w:rsidRDefault="00EE0820" w14:paraId="4A16B0C7" w14:textId="77777777">
      <w:pPr>
        <w:tabs>
          <w:tab w:val="clear" w:pos="5040"/>
        </w:tabs>
        <w:overflowPunct/>
        <w:autoSpaceDE/>
        <w:autoSpaceDN/>
        <w:adjustRightInd/>
        <w:ind w:left="4320" w:firstLine="720"/>
        <w:textAlignment w:val="auto"/>
      </w:pPr>
    </w:p>
    <w:p w:rsidRPr="00EE0820" w:rsidR="00EE0820" w:rsidP="00EE0820" w:rsidRDefault="00EE0820" w14:paraId="63889623" w14:textId="77777777">
      <w:pPr>
        <w:tabs>
          <w:tab w:val="clear" w:pos="5040"/>
        </w:tabs>
        <w:overflowPunct/>
        <w:autoSpaceDE/>
        <w:autoSpaceDN/>
        <w:adjustRightInd/>
        <w:ind w:left="4320" w:firstLine="720"/>
        <w:textAlignment w:val="auto"/>
      </w:pPr>
      <w:bookmarkStart w:name="_Hlk61602525" w:id="5"/>
      <w:r w:rsidRPr="00EE0820">
        <w:t>MARYBEL BATJER</w:t>
      </w:r>
    </w:p>
    <w:p w:rsidRPr="00EE0820" w:rsidR="00EE0820" w:rsidP="00EE0820" w:rsidRDefault="00EE0820" w14:paraId="09F4A060" w14:textId="77777777">
      <w:pPr>
        <w:tabs>
          <w:tab w:val="clear" w:pos="5040"/>
        </w:tabs>
        <w:overflowPunct/>
        <w:autoSpaceDE/>
        <w:autoSpaceDN/>
        <w:adjustRightInd/>
        <w:ind w:left="5040"/>
        <w:textAlignment w:val="auto"/>
      </w:pPr>
      <w:r w:rsidRPr="00EE0820">
        <w:t xml:space="preserve">                       President</w:t>
      </w:r>
    </w:p>
    <w:p w:rsidRPr="00EE0820" w:rsidR="00EE0820" w:rsidP="00EE0820" w:rsidRDefault="00EE0820" w14:paraId="08B92652" w14:textId="77777777">
      <w:pPr>
        <w:tabs>
          <w:tab w:val="clear" w:pos="5040"/>
          <w:tab w:val="left" w:pos="8220"/>
        </w:tabs>
        <w:overflowPunct/>
        <w:autoSpaceDE/>
        <w:autoSpaceDN/>
        <w:adjustRightInd/>
        <w:ind w:left="5040"/>
        <w:textAlignment w:val="auto"/>
      </w:pPr>
      <w:r w:rsidRPr="00EE0820">
        <w:t>MARTHA GUZMAN ACEVES</w:t>
      </w:r>
    </w:p>
    <w:p w:rsidRPr="00EE0820" w:rsidR="00EE0820" w:rsidP="00EE0820" w:rsidRDefault="00EE0820" w14:paraId="41FFC80B" w14:textId="77777777">
      <w:pPr>
        <w:tabs>
          <w:tab w:val="clear" w:pos="5040"/>
          <w:tab w:val="left" w:pos="8220"/>
        </w:tabs>
        <w:overflowPunct/>
        <w:autoSpaceDE/>
        <w:autoSpaceDN/>
        <w:adjustRightInd/>
        <w:ind w:left="5040"/>
        <w:textAlignment w:val="auto"/>
      </w:pPr>
      <w:r w:rsidRPr="00EE0820">
        <w:t>CLIFFORD RECHTSCHAFFEN</w:t>
      </w:r>
    </w:p>
    <w:p w:rsidRPr="00EE0820" w:rsidR="00EE0820" w:rsidP="00EE0820" w:rsidRDefault="00EE0820" w14:paraId="0CAA26F0" w14:textId="77777777">
      <w:pPr>
        <w:tabs>
          <w:tab w:val="clear" w:pos="5040"/>
          <w:tab w:val="left" w:pos="8220"/>
        </w:tabs>
        <w:overflowPunct/>
        <w:autoSpaceDE/>
        <w:autoSpaceDN/>
        <w:adjustRightInd/>
        <w:ind w:left="5040"/>
        <w:textAlignment w:val="auto"/>
      </w:pPr>
      <w:r w:rsidRPr="00EE0820">
        <w:t>GENEVIEVE SHIROMA</w:t>
      </w:r>
    </w:p>
    <w:p w:rsidRPr="00EE0820" w:rsidR="00EE0820" w:rsidP="00EE0820" w:rsidRDefault="00EE0820" w14:paraId="76A48FF7" w14:textId="77777777">
      <w:pPr>
        <w:tabs>
          <w:tab w:val="clear" w:pos="5040"/>
          <w:tab w:val="left" w:pos="8220"/>
        </w:tabs>
        <w:overflowPunct/>
        <w:autoSpaceDE/>
        <w:autoSpaceDN/>
        <w:adjustRightInd/>
        <w:ind w:left="5040"/>
        <w:textAlignment w:val="auto"/>
      </w:pPr>
      <w:r w:rsidRPr="00EE0820">
        <w:t>DARCIE L. HOUCK</w:t>
      </w:r>
    </w:p>
    <w:p w:rsidRPr="00EE0820" w:rsidR="00EE0820" w:rsidP="00EE0820" w:rsidRDefault="00EE0820" w14:paraId="2233DB36" w14:textId="77777777">
      <w:pPr>
        <w:tabs>
          <w:tab w:val="clear" w:pos="5040"/>
        </w:tabs>
        <w:overflowPunct/>
        <w:autoSpaceDE/>
        <w:autoSpaceDN/>
        <w:adjustRightInd/>
        <w:ind w:left="5040"/>
        <w:textAlignment w:val="auto"/>
      </w:pPr>
      <w:r w:rsidRPr="00EE0820">
        <w:t xml:space="preserve">                       Commissioners</w:t>
      </w:r>
      <w:bookmarkEnd w:id="5"/>
    </w:p>
    <w:p w:rsidRPr="00ED0D98" w:rsidR="00EE0820" w:rsidP="00CF1B0A" w:rsidRDefault="00EE0820" w14:paraId="00A26EA1" w14:textId="77777777">
      <w:pPr>
        <w:tabs>
          <w:tab w:val="clear" w:pos="5040"/>
        </w:tabs>
        <w:overflowPunct/>
        <w:autoSpaceDE/>
        <w:autoSpaceDN/>
        <w:adjustRightInd/>
        <w:spacing w:line="360" w:lineRule="auto"/>
        <w:ind w:left="1440"/>
        <w:textAlignment w:val="auto"/>
        <w:rPr>
          <w:szCs w:val="26"/>
        </w:rPr>
      </w:pPr>
    </w:p>
    <w:sectPr w:rsidRPr="00ED0D98" w:rsidR="00EE082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AD001" w14:textId="77777777" w:rsidR="00837AB5" w:rsidRDefault="00837AB5">
      <w:r>
        <w:separator/>
      </w:r>
    </w:p>
  </w:endnote>
  <w:endnote w:type="continuationSeparator" w:id="0">
    <w:p w14:paraId="36464089" w14:textId="77777777" w:rsidR="00837AB5" w:rsidRDefault="00837AB5">
      <w:r>
        <w:continuationSeparator/>
      </w:r>
    </w:p>
  </w:endnote>
  <w:endnote w:type="continuationNotice" w:id="1">
    <w:p w14:paraId="250FCF7A" w14:textId="77777777" w:rsidR="00837AB5" w:rsidRDefault="00837A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E078CB" w:rsidRDefault="00E078C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CDCEAD" w14:textId="77777777" w:rsidR="00E078CB" w:rsidRDefault="00E078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5950569"/>
      <w:docPartObj>
        <w:docPartGallery w:val="Page Numbers (Bottom of Page)"/>
        <w:docPartUnique/>
      </w:docPartObj>
    </w:sdtPr>
    <w:sdtEndPr>
      <w:rPr>
        <w:noProof/>
      </w:rPr>
    </w:sdtEndPr>
    <w:sdtContent>
      <w:p w14:paraId="24804D8E" w14:textId="5BA85D26" w:rsidR="009E7B07" w:rsidRDefault="009E7B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D22A9" w14:textId="7B7706C3" w:rsidR="002F1B3D" w:rsidRDefault="00EE0820">
    <w:pPr>
      <w:pStyle w:val="Footer"/>
    </w:pPr>
    <w:r w:rsidRPr="00EE0820">
      <w:rPr>
        <w:color w:val="000000"/>
        <w:sz w:val="20"/>
        <w:shd w:val="clear" w:color="auto" w:fill="FFFFFF"/>
      </w:rPr>
      <w:t>382890908</w:t>
    </w:r>
    <w:r w:rsidR="00C51EEB">
      <w:tab/>
    </w:r>
    <w:r w:rsidR="00C51EEB">
      <w:fldChar w:fldCharType="begin"/>
    </w:r>
    <w:r w:rsidR="00C51EEB">
      <w:instrText xml:space="preserve"> PAGE   \* MERGEFORMAT </w:instrText>
    </w:r>
    <w:r w:rsidR="00C51EEB">
      <w:fldChar w:fldCharType="separate"/>
    </w:r>
    <w:r w:rsidR="007667C2">
      <w:rPr>
        <w:noProof/>
      </w:rPr>
      <w:t>1</w:t>
    </w:r>
    <w:r w:rsidR="00C51E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6E31B" w14:textId="77777777" w:rsidR="00837AB5" w:rsidRDefault="00837AB5">
      <w:r>
        <w:separator/>
      </w:r>
    </w:p>
  </w:footnote>
  <w:footnote w:type="continuationSeparator" w:id="0">
    <w:p w14:paraId="4FBFBC7F" w14:textId="77777777" w:rsidR="00837AB5" w:rsidRDefault="00837AB5">
      <w:pPr>
        <w:rPr>
          <w:sz w:val="22"/>
        </w:rPr>
      </w:pPr>
      <w:r>
        <w:rPr>
          <w:sz w:val="22"/>
        </w:rPr>
        <w:separator/>
      </w:r>
    </w:p>
    <w:p w14:paraId="09AF3B04" w14:textId="77777777" w:rsidR="00837AB5" w:rsidRDefault="00837AB5">
      <w:pPr>
        <w:pStyle w:val="Footer"/>
        <w:spacing w:before="120" w:after="120"/>
        <w:rPr>
          <w:sz w:val="22"/>
        </w:rPr>
      </w:pPr>
      <w:r>
        <w:rPr>
          <w:sz w:val="22"/>
        </w:rPr>
        <w:t>(</w:t>
      </w:r>
      <w:r>
        <w:rPr>
          <w:i/>
          <w:sz w:val="22"/>
        </w:rPr>
        <w:t>footnote continued from previous page</w:t>
      </w:r>
      <w:r>
        <w:rPr>
          <w:sz w:val="22"/>
        </w:rPr>
        <w:t>)</w:t>
      </w:r>
    </w:p>
  </w:footnote>
  <w:footnote w:type="continuationNotice" w:id="1">
    <w:p w14:paraId="68B33123" w14:textId="77777777" w:rsidR="00837AB5" w:rsidRDefault="00837AB5">
      <w:pPr>
        <w:spacing w:before="120" w:after="120"/>
        <w:jc w:val="right"/>
      </w:pPr>
      <w:r>
        <w:rPr>
          <w:sz w:val="22"/>
        </w:rPr>
        <w:t>(</w:t>
      </w:r>
      <w:r>
        <w:rPr>
          <w:i/>
          <w:sz w:val="22"/>
        </w:rPr>
        <w:t>footnote continued on next page</w:t>
      </w:r>
      <w:r>
        <w:rPr>
          <w:sz w:val="22"/>
        </w:rPr>
        <w:t>)</w:t>
      </w:r>
    </w:p>
  </w:footnote>
  <w:footnote w:id="2">
    <w:p w14:paraId="61A29906" w14:textId="77777777" w:rsidR="00A16FD7" w:rsidRPr="00ED0D98" w:rsidRDefault="00A16FD7"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All subsequent section references are to the Public Utilities Code unless otherwise stated.</w:t>
      </w:r>
    </w:p>
  </w:footnote>
  <w:footnote w:id="3">
    <w:p w14:paraId="2DCCC001" w14:textId="68F011CA" w:rsidR="00A16FD7" w:rsidRPr="00ED0D98" w:rsidRDefault="00A16FD7"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Calaveras Telephone Company (U 1004 C), Cal-Ore Telephone Co. (U 1006 C), Ducor</w:t>
      </w:r>
      <w:r w:rsidR="008C0932" w:rsidRPr="00ED0D98">
        <w:rPr>
          <w:sz w:val="24"/>
          <w:szCs w:val="24"/>
        </w:rPr>
        <w:t xml:space="preserve"> </w:t>
      </w:r>
      <w:r w:rsidRPr="00ED0D98">
        <w:rPr>
          <w:sz w:val="24"/>
          <w:szCs w:val="24"/>
        </w:rPr>
        <w:t>Telephone Company (U 1007 C), Foresthill Telephone Co. (U 1009 C), Kerman Telephone Co.</w:t>
      </w:r>
      <w:r w:rsidR="00ED0D98">
        <w:rPr>
          <w:sz w:val="24"/>
          <w:szCs w:val="24"/>
        </w:rPr>
        <w:t xml:space="preserve"> </w:t>
      </w:r>
      <w:r w:rsidRPr="00ED0D98">
        <w:rPr>
          <w:sz w:val="24"/>
          <w:szCs w:val="24"/>
        </w:rPr>
        <w:t>(U 1012 C), Pinnacles Telephone Co. (U 1013 C), The Ponderosa Telephone Co. (U</w:t>
      </w:r>
      <w:r w:rsidR="00ED0D98">
        <w:rPr>
          <w:sz w:val="24"/>
          <w:szCs w:val="24"/>
        </w:rPr>
        <w:t> </w:t>
      </w:r>
      <w:r w:rsidRPr="00ED0D98">
        <w:rPr>
          <w:sz w:val="24"/>
          <w:szCs w:val="24"/>
        </w:rPr>
        <w:t>1014</w:t>
      </w:r>
      <w:r w:rsidR="00ED0D98">
        <w:rPr>
          <w:sz w:val="24"/>
          <w:szCs w:val="24"/>
        </w:rPr>
        <w:t> </w:t>
      </w:r>
      <w:r w:rsidRPr="00ED0D98">
        <w:rPr>
          <w:sz w:val="24"/>
          <w:szCs w:val="24"/>
        </w:rPr>
        <w:t>C),Sierra Telephone Company, Inc. (U 1016 C), The Siskiyou Telephone Company (U</w:t>
      </w:r>
      <w:r w:rsidR="00ED0D98">
        <w:rPr>
          <w:sz w:val="24"/>
          <w:szCs w:val="24"/>
        </w:rPr>
        <w:t> </w:t>
      </w:r>
      <w:r w:rsidRPr="00ED0D98">
        <w:rPr>
          <w:sz w:val="24"/>
          <w:szCs w:val="24"/>
        </w:rPr>
        <w:t>1017 C), and</w:t>
      </w:r>
      <w:r w:rsidR="008C0932" w:rsidRPr="00ED0D98">
        <w:rPr>
          <w:sz w:val="24"/>
          <w:szCs w:val="24"/>
        </w:rPr>
        <w:t xml:space="preserve"> </w:t>
      </w:r>
      <w:r w:rsidRPr="00ED0D98">
        <w:rPr>
          <w:sz w:val="24"/>
          <w:szCs w:val="24"/>
        </w:rPr>
        <w:t>Volcano Telephone Company (U 1019 C) (collectively, the “Small LECs”).</w:t>
      </w:r>
    </w:p>
  </w:footnote>
  <w:footnote w:id="4">
    <w:p w14:paraId="22EEB2F1" w14:textId="77777777" w:rsidR="00A16FD7" w:rsidRPr="00ED0D98" w:rsidRDefault="00A16FD7"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w:t>
      </w:r>
      <w:r w:rsidRPr="00ED0D98">
        <w:rPr>
          <w:i/>
          <w:iCs/>
          <w:sz w:val="24"/>
          <w:szCs w:val="24"/>
        </w:rPr>
        <w:t>See</w:t>
      </w:r>
      <w:r w:rsidRPr="00ED0D98">
        <w:rPr>
          <w:sz w:val="24"/>
          <w:szCs w:val="24"/>
        </w:rPr>
        <w:t xml:space="preserve">, </w:t>
      </w:r>
      <w:r w:rsidRPr="00ED0D98">
        <w:rPr>
          <w:i/>
          <w:iCs/>
          <w:sz w:val="24"/>
          <w:szCs w:val="24"/>
        </w:rPr>
        <w:t>e.g</w:t>
      </w:r>
      <w:r w:rsidRPr="00ED0D98">
        <w:rPr>
          <w:sz w:val="24"/>
          <w:szCs w:val="24"/>
        </w:rPr>
        <w:t>., D.91-05-016, Appendix A, at p. 2 (slip op.).</w:t>
      </w:r>
    </w:p>
  </w:footnote>
  <w:footnote w:id="5">
    <w:p w14:paraId="3A539374" w14:textId="77777777" w:rsidR="00A16FD7" w:rsidRPr="00ED0D98" w:rsidRDefault="00A16FD7"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w:t>
      </w:r>
      <w:r w:rsidRPr="00ED0D98">
        <w:rPr>
          <w:i/>
          <w:iCs/>
          <w:sz w:val="24"/>
          <w:szCs w:val="24"/>
        </w:rPr>
        <w:t xml:space="preserve">See, </w:t>
      </w:r>
      <w:r w:rsidRPr="00ED0D98">
        <w:rPr>
          <w:sz w:val="24"/>
          <w:szCs w:val="24"/>
        </w:rPr>
        <w:t>Public Law 115-97.</w:t>
      </w:r>
    </w:p>
  </w:footnote>
  <w:footnote w:id="6">
    <w:p w14:paraId="52F1C54B" w14:textId="0DEA99D2" w:rsidR="00712EA0" w:rsidRPr="00ED0D98" w:rsidRDefault="00712EA0"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At the time, the Small LECs’ authorized revenue requirement was based on a 34 percent federal income tax rate and not the top 35 percent corporate tax rate. </w:t>
      </w:r>
    </w:p>
  </w:footnote>
  <w:footnote w:id="7">
    <w:p w14:paraId="0DF295A7" w14:textId="77777777" w:rsidR="000D0755" w:rsidRPr="00ED0D98" w:rsidRDefault="000D0755"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Adjustments to revenue requirement and CHCF-A support adjustments for these companies are addressed in</w:t>
      </w:r>
      <w:r w:rsidRPr="00ED0D98">
        <w:rPr>
          <w:i/>
          <w:iCs/>
          <w:sz w:val="24"/>
          <w:szCs w:val="24"/>
        </w:rPr>
        <w:t xml:space="preserve"> </w:t>
      </w:r>
      <w:r w:rsidRPr="00ED0D98">
        <w:rPr>
          <w:sz w:val="24"/>
          <w:szCs w:val="24"/>
        </w:rPr>
        <w:t xml:space="preserve">Res. T-17626 (Calaveras), adopted August 23, 2018, and Res. T-17617 (Cal-Ore), Res. T-17618 (Ponderosa), and Res. T-17619 (Sierra), which were all adopted August 9, 2018.  </w:t>
      </w:r>
    </w:p>
  </w:footnote>
  <w:footnote w:id="8">
    <w:p w14:paraId="2DE637C4" w14:textId="60EAFCDF"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w:t>
      </w:r>
      <w:r w:rsidR="006D2502" w:rsidRPr="00ED0D98">
        <w:rPr>
          <w:sz w:val="24"/>
          <w:szCs w:val="24"/>
        </w:rPr>
        <w:t>7</w:t>
      </w:r>
      <w:r w:rsidRPr="00ED0D98">
        <w:rPr>
          <w:sz w:val="24"/>
          <w:szCs w:val="24"/>
        </w:rPr>
        <w:t>.</w:t>
      </w:r>
    </w:p>
  </w:footnote>
  <w:footnote w:id="9">
    <w:p w14:paraId="73F636A9" w14:textId="31F3CFA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w:t>
      </w:r>
      <w:r w:rsidR="002454B3" w:rsidRPr="00ED0D98">
        <w:rPr>
          <w:i/>
          <w:iCs/>
          <w:sz w:val="24"/>
          <w:szCs w:val="24"/>
        </w:rPr>
        <w:t>Id.</w:t>
      </w:r>
      <w:r w:rsidRPr="00ED0D98">
        <w:rPr>
          <w:sz w:val="24"/>
          <w:szCs w:val="24"/>
        </w:rPr>
        <w:t xml:space="preserve">, citing Pub. Util. Code, § 1757(a)(2) and (3). </w:t>
      </w:r>
    </w:p>
  </w:footnote>
  <w:footnote w:id="10">
    <w:p w14:paraId="479BF724"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12.  </w:t>
      </w:r>
    </w:p>
  </w:footnote>
  <w:footnote w:id="11">
    <w:p w14:paraId="456502C2"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D.91-09-042, Appendix A, p. 2.</w:t>
      </w:r>
    </w:p>
  </w:footnote>
  <w:footnote w:id="12">
    <w:p w14:paraId="4F27AEC8" w14:textId="51709268"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w:t>
      </w:r>
      <w:r w:rsidRPr="00ED0D98">
        <w:rPr>
          <w:i/>
          <w:iCs/>
          <w:sz w:val="24"/>
          <w:szCs w:val="24"/>
        </w:rPr>
        <w:t>Id.</w:t>
      </w:r>
      <w:r w:rsidR="002454B3" w:rsidRPr="00ED0D98">
        <w:rPr>
          <w:sz w:val="24"/>
          <w:szCs w:val="24"/>
        </w:rPr>
        <w:t xml:space="preserve"> (Emphasis added.)</w:t>
      </w:r>
    </w:p>
  </w:footnote>
  <w:footnote w:id="13">
    <w:p w14:paraId="4069147C"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w:t>
      </w:r>
      <w:r w:rsidRPr="00ED0D98">
        <w:rPr>
          <w:i/>
          <w:iCs/>
          <w:sz w:val="24"/>
          <w:szCs w:val="24"/>
        </w:rPr>
        <w:t xml:space="preserve">Id. </w:t>
      </w:r>
      <w:r w:rsidRPr="00ED0D98">
        <w:rPr>
          <w:sz w:val="24"/>
          <w:szCs w:val="24"/>
        </w:rPr>
        <w:t>IntraLATA (also known as Local Toll Service) is calling within a geographic area known as a Local Access and Transport Area (LATA).  EAS refers to a telephone service authorized in designated communities to extend the geographic reach of a local-toll free calling area.</w:t>
      </w:r>
    </w:p>
  </w:footnote>
  <w:footnote w:id="14">
    <w:p w14:paraId="1A43AD1E"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7.</w:t>
      </w:r>
    </w:p>
  </w:footnote>
  <w:footnote w:id="15">
    <w:p w14:paraId="31552A19"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8.</w:t>
      </w:r>
    </w:p>
  </w:footnote>
  <w:footnote w:id="16">
    <w:p w14:paraId="2B3CBE86" w14:textId="77777777" w:rsidR="0036542A" w:rsidRPr="00ED0D98" w:rsidRDefault="0036542A" w:rsidP="00F55242">
      <w:pPr>
        <w:pStyle w:val="FootnoteText"/>
        <w:spacing w:line="240" w:lineRule="atLeast"/>
        <w:rPr>
          <w:i/>
          <w:iCs/>
          <w:sz w:val="24"/>
          <w:szCs w:val="24"/>
        </w:rPr>
      </w:pPr>
      <w:r w:rsidRPr="00ED0D98">
        <w:rPr>
          <w:rStyle w:val="FootnoteReference"/>
          <w:sz w:val="24"/>
          <w:szCs w:val="24"/>
        </w:rPr>
        <w:footnoteRef/>
      </w:r>
      <w:r w:rsidRPr="00ED0D98">
        <w:rPr>
          <w:sz w:val="24"/>
          <w:szCs w:val="24"/>
        </w:rPr>
        <w:t xml:space="preserve"> Res. T-17616, p. 8</w:t>
      </w:r>
      <w:r w:rsidRPr="00ED0D98">
        <w:rPr>
          <w:i/>
          <w:iCs/>
          <w:sz w:val="24"/>
          <w:szCs w:val="24"/>
        </w:rPr>
        <w:t>.</w:t>
      </w:r>
    </w:p>
  </w:footnote>
  <w:footnote w:id="17">
    <w:p w14:paraId="5465F26B" w14:textId="0F9EF0A5"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“[T]he PUC's </w:t>
      </w:r>
      <w:r w:rsidR="00A403C5" w:rsidRPr="00ED0D98">
        <w:rPr>
          <w:sz w:val="24"/>
          <w:szCs w:val="24"/>
        </w:rPr>
        <w:t>‘</w:t>
      </w:r>
      <w:r w:rsidRPr="00ED0D98">
        <w:rPr>
          <w:sz w:val="24"/>
          <w:szCs w:val="24"/>
        </w:rPr>
        <w:t>interpretation of the Public Utilities Code should not be disturbed unless it fails to bear a reasonable relation to statutory purposes and language</w:t>
      </w:r>
      <w:r w:rsidR="00871C50" w:rsidRPr="00ED0D98">
        <w:rPr>
          <w:sz w:val="24"/>
          <w:szCs w:val="24"/>
        </w:rPr>
        <w:t>.’</w:t>
      </w:r>
      <w:r w:rsidRPr="00ED0D98">
        <w:rPr>
          <w:sz w:val="24"/>
          <w:szCs w:val="24"/>
        </w:rPr>
        <w:t>’” (</w:t>
      </w:r>
      <w:r w:rsidRPr="00ED0D98">
        <w:rPr>
          <w:i/>
          <w:iCs/>
          <w:sz w:val="24"/>
          <w:szCs w:val="24"/>
        </w:rPr>
        <w:t>Pacific Bell Wireless, LLC v. Public Utilities Com</w:t>
      </w:r>
      <w:r w:rsidRPr="00ED0D98">
        <w:rPr>
          <w:sz w:val="24"/>
          <w:szCs w:val="24"/>
        </w:rPr>
        <w:t>. (2006) 140 Cal.App.4th 718, 729.) When the issue is the scope of the PUC's jurisdiction, however, “the general rule of deference to interpretations of statutes subject to the regulatory jurisdiction of agencies does not apply...” (</w:t>
      </w:r>
      <w:r w:rsidRPr="00ED0D98">
        <w:rPr>
          <w:i/>
          <w:iCs/>
          <w:sz w:val="24"/>
          <w:szCs w:val="24"/>
        </w:rPr>
        <w:t>Ibid</w:t>
      </w:r>
      <w:r w:rsidRPr="00ED0D98">
        <w:rPr>
          <w:sz w:val="24"/>
          <w:szCs w:val="24"/>
        </w:rPr>
        <w:t>.)</w:t>
      </w:r>
    </w:p>
  </w:footnote>
  <w:footnote w:id="18">
    <w:p w14:paraId="6611E79B"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Pub. Util. Code § 275.6(a).</w:t>
      </w:r>
    </w:p>
  </w:footnote>
  <w:footnote w:id="19">
    <w:p w14:paraId="57EF255C"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Pub. Util. Code § 275.6(c) states, in full: </w:t>
      </w:r>
    </w:p>
    <w:p w14:paraId="0C792486" w14:textId="77777777" w:rsidR="0036542A" w:rsidRPr="00ED0D98" w:rsidRDefault="0036542A" w:rsidP="00F55242">
      <w:pPr>
        <w:pStyle w:val="FootnoteText"/>
        <w:spacing w:line="240" w:lineRule="atLeast"/>
        <w:ind w:left="360"/>
        <w:rPr>
          <w:sz w:val="24"/>
          <w:szCs w:val="24"/>
        </w:rPr>
      </w:pPr>
      <w:r w:rsidRPr="00ED0D98">
        <w:rPr>
          <w:sz w:val="24"/>
          <w:szCs w:val="24"/>
        </w:rPr>
        <w:t>In administering the CHCF-A program the commission shall do all of the following:</w:t>
      </w:r>
    </w:p>
    <w:p w14:paraId="1E7AE3F3" w14:textId="77777777" w:rsidR="0036542A" w:rsidRPr="00ED0D98" w:rsidRDefault="0036542A" w:rsidP="00F55242">
      <w:pPr>
        <w:pStyle w:val="FootnoteText"/>
        <w:spacing w:line="240" w:lineRule="atLeast"/>
        <w:ind w:left="720" w:right="720" w:hanging="360"/>
        <w:rPr>
          <w:sz w:val="24"/>
          <w:szCs w:val="24"/>
        </w:rPr>
      </w:pPr>
      <w:r w:rsidRPr="00ED0D98">
        <w:rPr>
          <w:sz w:val="24"/>
          <w:szCs w:val="24"/>
        </w:rPr>
        <w:t>(1) Continue to set rates to be charged by the small independent telephone corporations in accordance with Sections 451, 454, 455, and 728.</w:t>
      </w:r>
    </w:p>
    <w:p w14:paraId="6B87AEC0" w14:textId="77777777" w:rsidR="0036542A" w:rsidRPr="00ED0D98" w:rsidRDefault="0036542A" w:rsidP="00F55242">
      <w:pPr>
        <w:pStyle w:val="FootnoteText"/>
        <w:spacing w:line="240" w:lineRule="atLeast"/>
        <w:ind w:left="720" w:right="720" w:hanging="360"/>
        <w:rPr>
          <w:sz w:val="24"/>
          <w:szCs w:val="24"/>
        </w:rPr>
      </w:pPr>
      <w:r w:rsidRPr="00ED0D98">
        <w:rPr>
          <w:sz w:val="24"/>
          <w:szCs w:val="24"/>
        </w:rPr>
        <w:t>(2) Employ rate-of-return regulation to determine a small independent telephone corporation’s revenue requirement in a manner that provides revenues and earnings sufficient to allow the telephone corporation to deliver safe, reliable, high-quality voice communication service and fulfill its obligations as a carrier of last resort in its service territory, and to afford the telephone corporation a fair opportunity to earn a reasonable return on its investments, attract capital for investment on reasonable terms, and ensure the financial integrity of the telephone corporation.</w:t>
      </w:r>
    </w:p>
    <w:p w14:paraId="4F47F4E9" w14:textId="77777777" w:rsidR="0036542A" w:rsidRPr="00ED0D98" w:rsidRDefault="0036542A" w:rsidP="00F55242">
      <w:pPr>
        <w:pStyle w:val="FootnoteText"/>
        <w:spacing w:line="240" w:lineRule="atLeast"/>
        <w:ind w:left="720" w:right="720" w:hanging="360"/>
        <w:rPr>
          <w:sz w:val="24"/>
          <w:szCs w:val="24"/>
        </w:rPr>
      </w:pPr>
      <w:r w:rsidRPr="00ED0D98">
        <w:rPr>
          <w:sz w:val="24"/>
          <w:szCs w:val="24"/>
        </w:rPr>
        <w:t>(3) Ensure that rates charged to customers of small independent telephone corporations are just and reasonable and are reasonably comparable to rates charged to customers of urban telephone corporations.</w:t>
      </w:r>
    </w:p>
    <w:p w14:paraId="168B5D8C" w14:textId="77777777" w:rsidR="0036542A" w:rsidRPr="00ED0D98" w:rsidRDefault="0036542A" w:rsidP="00F55242">
      <w:pPr>
        <w:pStyle w:val="FootnoteText"/>
        <w:spacing w:line="240" w:lineRule="atLeast"/>
        <w:ind w:left="720" w:right="720" w:hanging="360"/>
        <w:rPr>
          <w:sz w:val="24"/>
          <w:szCs w:val="24"/>
        </w:rPr>
      </w:pPr>
      <w:r w:rsidRPr="00ED0D98">
        <w:rPr>
          <w:sz w:val="24"/>
          <w:szCs w:val="24"/>
        </w:rPr>
        <w:t>(4) Provide universal service rate support from the California High-Cost Fund-A Administrative Committee Fund to small independent telephone corporations in an amount sufficient to supply the portion of the revenue requirement that cannot reasonably be provided by the customers of each small independent telephone corporation after receipt of federal universal service rate support.</w:t>
      </w:r>
    </w:p>
    <w:p w14:paraId="7B908199" w14:textId="77777777" w:rsidR="0036542A" w:rsidRPr="00ED0D98" w:rsidRDefault="0036542A" w:rsidP="00F55242">
      <w:pPr>
        <w:pStyle w:val="FootnoteText"/>
        <w:spacing w:line="240" w:lineRule="atLeast"/>
        <w:ind w:left="720" w:right="720" w:hanging="360"/>
        <w:rPr>
          <w:sz w:val="24"/>
          <w:szCs w:val="24"/>
        </w:rPr>
      </w:pPr>
      <w:r w:rsidRPr="00ED0D98">
        <w:rPr>
          <w:sz w:val="24"/>
          <w:szCs w:val="24"/>
        </w:rPr>
        <w:t>(5) Promote customer access to advanced services and deployment of broadband-capable facilities in rural areas that is reasonably comparable to that in urban areas, consistent with national communications policy.</w:t>
      </w:r>
    </w:p>
    <w:p w14:paraId="71C8BE32" w14:textId="77777777" w:rsidR="0036542A" w:rsidRPr="00ED0D98" w:rsidRDefault="0036542A" w:rsidP="00F55242">
      <w:pPr>
        <w:pStyle w:val="FootnoteText"/>
        <w:spacing w:line="240" w:lineRule="atLeast"/>
        <w:ind w:left="720" w:right="720" w:hanging="360"/>
        <w:rPr>
          <w:sz w:val="24"/>
          <w:szCs w:val="24"/>
        </w:rPr>
      </w:pPr>
      <w:r w:rsidRPr="00ED0D98">
        <w:rPr>
          <w:sz w:val="24"/>
          <w:szCs w:val="24"/>
        </w:rPr>
        <w:t>(6) Include all reasonable investments necessary to provide for the delivery of high-quality voice communication services and the deployment of broadband-capable facilities in the rate base of small independent telephone corporations.</w:t>
      </w:r>
    </w:p>
    <w:p w14:paraId="3D35687E" w14:textId="77777777" w:rsidR="0036542A" w:rsidRPr="00ED0D98" w:rsidRDefault="0036542A" w:rsidP="00F55242">
      <w:pPr>
        <w:pStyle w:val="FootnoteText"/>
        <w:spacing w:line="240" w:lineRule="atLeast"/>
        <w:ind w:left="720" w:right="720" w:hanging="360"/>
        <w:rPr>
          <w:sz w:val="24"/>
          <w:szCs w:val="24"/>
        </w:rPr>
      </w:pPr>
      <w:r w:rsidRPr="00ED0D98">
        <w:rPr>
          <w:sz w:val="24"/>
          <w:szCs w:val="24"/>
        </w:rPr>
        <w:t>(7) Ensure that support is not excessive so that the burden on all contributors to the CHCF-A program is limited.</w:t>
      </w:r>
    </w:p>
  </w:footnote>
  <w:footnote w:id="20">
    <w:p w14:paraId="44F68C01"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D.91-09-042, Ordering Paragraph (OP) 1(d). (Emphasis added.)</w:t>
      </w:r>
    </w:p>
  </w:footnote>
  <w:footnote w:id="21">
    <w:p w14:paraId="4165E139"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w:t>
      </w:r>
      <w:r w:rsidRPr="00ED0D98">
        <w:rPr>
          <w:i/>
          <w:iCs/>
          <w:sz w:val="24"/>
          <w:szCs w:val="24"/>
        </w:rPr>
        <w:t xml:space="preserve">Id. </w:t>
      </w:r>
      <w:r w:rsidRPr="00ED0D98">
        <w:rPr>
          <w:sz w:val="24"/>
          <w:szCs w:val="24"/>
        </w:rPr>
        <w:t>at OP 1(e). (Emphasis added.)</w:t>
      </w:r>
    </w:p>
  </w:footnote>
  <w:footnote w:id="22">
    <w:p w14:paraId="7C7E1FE5"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12.</w:t>
      </w:r>
    </w:p>
  </w:footnote>
  <w:footnote w:id="23">
    <w:p w14:paraId="0D9A8C61"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Pub. Util. Code § 455.</w:t>
      </w:r>
    </w:p>
  </w:footnote>
  <w:footnote w:id="24">
    <w:p w14:paraId="7D082633"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4.</w:t>
      </w:r>
    </w:p>
  </w:footnote>
  <w:footnote w:id="25">
    <w:p w14:paraId="3CAE5EE0" w14:textId="6D9EA60E"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To address the changes made in the Tax Reform of 1986, the Commission opened a rulemaking to make changes of broad applicability across the industries it regulates.  D.88</w:t>
      </w:r>
      <w:r w:rsidR="00E82475">
        <w:rPr>
          <w:sz w:val="24"/>
          <w:szCs w:val="24"/>
        </w:rPr>
        <w:noBreakHyphen/>
      </w:r>
      <w:r w:rsidRPr="00ED0D98">
        <w:rPr>
          <w:sz w:val="24"/>
          <w:szCs w:val="24"/>
        </w:rPr>
        <w:t>01</w:t>
      </w:r>
      <w:r w:rsidR="00E82475">
        <w:rPr>
          <w:sz w:val="24"/>
          <w:szCs w:val="24"/>
        </w:rPr>
        <w:noBreakHyphen/>
      </w:r>
      <w:r w:rsidRPr="00ED0D98">
        <w:rPr>
          <w:sz w:val="24"/>
          <w:szCs w:val="24"/>
        </w:rPr>
        <w:t>061 authorized adjustments to the revenue requirements and rates in response to the new tax laws but exempted the Independent Small LECs from the filing requirements ordered in the decision, with the tax law impacts to be addressed in the next general rate case, or, General Order 96 filing as appropriate.  (D.88-01-061, p. 38.)  The Commission clarified, “Any utility exempted from our filing requirement for 1987 effects would not be precluded from making a filing if they believe an adjustment is warranted.” (Id. at 39.)  Nevertheless, the decisions the Commission adopted at the time is not determinative in how the Commission in 2018 should have carried out the TCJA tax law changes.</w:t>
      </w:r>
    </w:p>
  </w:footnote>
  <w:footnote w:id="26">
    <w:p w14:paraId="087A8408"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D.91-09-042, OP 1(d), OP 1(g), and OP 1(j).</w:t>
      </w:r>
    </w:p>
  </w:footnote>
  <w:footnote w:id="27">
    <w:p w14:paraId="5F27D369"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pp. 2, 6-7, 17.</w:t>
      </w:r>
    </w:p>
  </w:footnote>
  <w:footnote w:id="28">
    <w:p w14:paraId="15E65F4E" w14:textId="7A55609E" w:rsidR="0036542A" w:rsidRPr="00ED0D98" w:rsidRDefault="0036542A" w:rsidP="00F55242">
      <w:pPr>
        <w:pStyle w:val="FootnoteText"/>
        <w:spacing w:line="240" w:lineRule="atLeast"/>
        <w:rPr>
          <w:i/>
          <w:iCs/>
          <w:sz w:val="24"/>
          <w:szCs w:val="24"/>
        </w:rPr>
      </w:pPr>
      <w:r w:rsidRPr="00ED0D98">
        <w:rPr>
          <w:rStyle w:val="FootnoteReference"/>
          <w:sz w:val="24"/>
          <w:szCs w:val="24"/>
        </w:rPr>
        <w:footnoteRef/>
      </w:r>
      <w:r w:rsidRPr="00ED0D98">
        <w:rPr>
          <w:sz w:val="24"/>
          <w:szCs w:val="24"/>
        </w:rPr>
        <w:t xml:space="preserve"> </w:t>
      </w:r>
      <w:r w:rsidRPr="00ED0D98">
        <w:rPr>
          <w:i/>
          <w:iCs/>
          <w:sz w:val="24"/>
          <w:szCs w:val="24"/>
        </w:rPr>
        <w:t>Clean Energy Fuels Corp. v. Pub. Utilities Com</w:t>
      </w:r>
      <w:r w:rsidRPr="00ED0D98">
        <w:rPr>
          <w:sz w:val="24"/>
          <w:szCs w:val="24"/>
        </w:rPr>
        <w:t>. (2014) 227 Cal. App. 4th 641, 659</w:t>
      </w:r>
      <w:r w:rsidR="00326B5D" w:rsidRPr="00ED0D98">
        <w:rPr>
          <w:sz w:val="24"/>
          <w:szCs w:val="24"/>
        </w:rPr>
        <w:t>.</w:t>
      </w:r>
    </w:p>
  </w:footnote>
  <w:footnote w:id="29">
    <w:p w14:paraId="41E2E5FD" w14:textId="38687F3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w:t>
      </w:r>
      <w:r w:rsidRPr="00ED0D98">
        <w:rPr>
          <w:i/>
          <w:iCs/>
          <w:sz w:val="24"/>
          <w:szCs w:val="24"/>
        </w:rPr>
        <w:t xml:space="preserve">Id., </w:t>
      </w:r>
      <w:r w:rsidRPr="00ED0D98">
        <w:rPr>
          <w:sz w:val="24"/>
          <w:szCs w:val="24"/>
        </w:rPr>
        <w:t xml:space="preserve">quoting </w:t>
      </w:r>
      <w:r w:rsidRPr="00ED0D98">
        <w:rPr>
          <w:i/>
          <w:iCs/>
          <w:sz w:val="24"/>
          <w:szCs w:val="24"/>
        </w:rPr>
        <w:t>TURN v. CPUC</w:t>
      </w:r>
      <w:r w:rsidRPr="00ED0D98">
        <w:rPr>
          <w:sz w:val="24"/>
          <w:szCs w:val="24"/>
        </w:rPr>
        <w:t xml:space="preserve"> (1978) 22 Cal.3d 529,</w:t>
      </w:r>
      <w:r w:rsidR="00E82475">
        <w:rPr>
          <w:sz w:val="24"/>
          <w:szCs w:val="24"/>
        </w:rPr>
        <w:t xml:space="preserve"> </w:t>
      </w:r>
      <w:r w:rsidRPr="00ED0D98">
        <w:rPr>
          <w:sz w:val="24"/>
          <w:szCs w:val="24"/>
        </w:rPr>
        <w:t>540.</w:t>
      </w:r>
    </w:p>
  </w:footnote>
  <w:footnote w:id="30">
    <w:p w14:paraId="389DECA8" w14:textId="77777777" w:rsidR="0036542A" w:rsidRPr="00ED0D98" w:rsidRDefault="0036542A" w:rsidP="00F55242">
      <w:pPr>
        <w:pStyle w:val="FootnoteText"/>
        <w:spacing w:line="240" w:lineRule="atLeast"/>
        <w:rPr>
          <w:i/>
          <w:iCs/>
          <w:sz w:val="24"/>
          <w:szCs w:val="24"/>
        </w:rPr>
      </w:pPr>
      <w:r w:rsidRPr="00ED0D98">
        <w:rPr>
          <w:rStyle w:val="FootnoteReference"/>
          <w:sz w:val="24"/>
          <w:szCs w:val="24"/>
        </w:rPr>
        <w:footnoteRef/>
      </w:r>
      <w:r w:rsidRPr="00ED0D98">
        <w:rPr>
          <w:sz w:val="24"/>
          <w:szCs w:val="24"/>
        </w:rPr>
        <w:t xml:space="preserve"> </w:t>
      </w:r>
      <w:r w:rsidRPr="00ED0D98">
        <w:rPr>
          <w:i/>
          <w:iCs/>
          <w:sz w:val="24"/>
          <w:szCs w:val="24"/>
        </w:rPr>
        <w:t>Id.</w:t>
      </w:r>
    </w:p>
  </w:footnote>
  <w:footnote w:id="31">
    <w:p w14:paraId="1D8CC964"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2.</w:t>
      </w:r>
    </w:p>
  </w:footnote>
  <w:footnote w:id="32">
    <w:p w14:paraId="3D16CB6F" w14:textId="77777777" w:rsidR="0036542A" w:rsidRPr="00ED0D98" w:rsidRDefault="0036542A" w:rsidP="00F55242">
      <w:pPr>
        <w:pStyle w:val="FootnoteText"/>
        <w:spacing w:line="240" w:lineRule="atLeast"/>
        <w:rPr>
          <w:sz w:val="24"/>
          <w:szCs w:val="24"/>
        </w:rPr>
      </w:pPr>
      <w:r w:rsidRPr="00ED0D98">
        <w:rPr>
          <w:rStyle w:val="FootnoteReference"/>
          <w:sz w:val="24"/>
          <w:szCs w:val="24"/>
        </w:rPr>
        <w:footnoteRef/>
      </w:r>
      <w:r w:rsidRPr="00ED0D98">
        <w:rPr>
          <w:sz w:val="24"/>
          <w:szCs w:val="24"/>
        </w:rPr>
        <w:t xml:space="preserve"> AFR, p. 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057A" w14:textId="638F7ACF" w:rsidR="00D86C4E" w:rsidRPr="00D86C4E" w:rsidRDefault="00D86C4E" w:rsidP="00D86C4E">
    <w:pPr>
      <w:rPr>
        <w:szCs w:val="26"/>
      </w:rPr>
    </w:pPr>
    <w:r>
      <w:rPr>
        <w:szCs w:val="26"/>
      </w:rPr>
      <w:t>A.1</w:t>
    </w:r>
    <w:r w:rsidRPr="00D86C4E">
      <w:rPr>
        <w:szCs w:val="26"/>
      </w:rPr>
      <w:t>8-</w:t>
    </w:r>
    <w:r w:rsidR="00EE0820">
      <w:rPr>
        <w:szCs w:val="26"/>
      </w:rPr>
      <w:t>12-010</w:t>
    </w:r>
    <w:r>
      <w:rPr>
        <w:szCs w:val="26"/>
      </w:rPr>
      <w:tab/>
      <w:t>L/</w:t>
    </w:r>
    <w:proofErr w:type="spellStart"/>
    <w:r w:rsidR="00BC7CFC">
      <w:rPr>
        <w:szCs w:val="26"/>
      </w:rPr>
      <w:t>rbg</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3DE0F" w14:textId="7551DF3A" w:rsidR="00C37E73" w:rsidRDefault="009E7B07" w:rsidP="00D86C4E">
    <w:pPr>
      <w:pStyle w:val="Header"/>
      <w:rPr>
        <w:sz w:val="26"/>
        <w:szCs w:val="26"/>
      </w:rPr>
    </w:pPr>
    <w:r>
      <w:rPr>
        <w:sz w:val="26"/>
        <w:szCs w:val="26"/>
      </w:rPr>
      <w:t>L/</w:t>
    </w:r>
    <w:proofErr w:type="spellStart"/>
    <w:r w:rsidR="00BC7CFC">
      <w:rPr>
        <w:sz w:val="26"/>
        <w:szCs w:val="26"/>
      </w:rPr>
      <w:t>rbg</w:t>
    </w:r>
    <w:proofErr w:type="spellEnd"/>
    <w:r>
      <w:rPr>
        <w:sz w:val="26"/>
        <w:szCs w:val="26"/>
      </w:rPr>
      <w:tab/>
    </w:r>
    <w:r>
      <w:rPr>
        <w:sz w:val="26"/>
        <w:szCs w:val="26"/>
      </w:rPr>
      <w:tab/>
    </w:r>
    <w:r w:rsidR="00EE0820">
      <w:rPr>
        <w:sz w:val="26"/>
        <w:szCs w:val="26"/>
      </w:rPr>
      <w:t>Date of Issuance</w:t>
    </w:r>
  </w:p>
  <w:p w14:paraId="60EDB060" w14:textId="13A12967" w:rsidR="00EE0820" w:rsidRDefault="00EE0820" w:rsidP="00D86C4E">
    <w:pPr>
      <w:pStyle w:val="Header"/>
      <w:rPr>
        <w:sz w:val="26"/>
        <w:szCs w:val="26"/>
      </w:rPr>
    </w:pPr>
    <w:r>
      <w:rPr>
        <w:sz w:val="26"/>
        <w:szCs w:val="26"/>
      </w:rPr>
      <w:tab/>
    </w:r>
    <w:r>
      <w:rPr>
        <w:sz w:val="26"/>
        <w:szCs w:val="26"/>
      </w:rPr>
      <w:tab/>
      <w:t>May 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724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20958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DC6A7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33E85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C8E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806F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F6CF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B47F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CE87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C2E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D688A712"/>
    <w:lvl w:ilvl="0">
      <w:start w:val="1"/>
      <w:numFmt w:val="upperRoman"/>
      <w:pStyle w:val="Heading1"/>
      <w:lvlText w:val="%1."/>
      <w:lvlJc w:val="left"/>
      <w:pPr>
        <w:ind w:left="720" w:hanging="720"/>
      </w:pPr>
      <w:rPr>
        <w:rFonts w:hint="default"/>
      </w:rPr>
    </w:lvl>
    <w:lvl w:ilvl="1">
      <w:start w:val="1"/>
      <w:numFmt w:val="upperLetter"/>
      <w:pStyle w:val="Heading2"/>
      <w:lvlText w:val="%2."/>
      <w:lvlJc w:val="left"/>
      <w:pPr>
        <w:tabs>
          <w:tab w:val="num" w:pos="1440"/>
        </w:tabs>
        <w:ind w:left="1440" w:hanging="720"/>
      </w:pPr>
      <w:rPr>
        <w:rFonts w:ascii="Times New Roman Bold" w:hAnsi="Times New Roman Bold" w:hint="default"/>
        <w:b/>
        <w:i w:val="0"/>
        <w:sz w:val="26"/>
      </w:rPr>
    </w:lvl>
    <w:lvl w:ilvl="2">
      <w:start w:val="1"/>
      <w:numFmt w:val="decimal"/>
      <w:lvlText w:val="%3."/>
      <w:lvlJc w:val="left"/>
      <w:pPr>
        <w:ind w:left="2160" w:hanging="720"/>
      </w:pPr>
      <w:rPr>
        <w:rFonts w:hint="default"/>
      </w:rPr>
    </w:lvl>
    <w:lvl w:ilvl="3">
      <w:start w:val="1"/>
      <w:numFmt w:val="lowerLetter"/>
      <w:pStyle w:val="Heading4"/>
      <w:lvlText w:val="%4)"/>
      <w:lvlJc w:val="left"/>
      <w:pPr>
        <w:ind w:left="3060" w:hanging="720"/>
      </w:pPr>
      <w:rPr>
        <w:rFonts w:hint="default"/>
      </w:rPr>
    </w:lvl>
    <w:lvl w:ilvl="4">
      <w:start w:val="1"/>
      <w:numFmt w:val="decimal"/>
      <w:pStyle w:val="Heading5"/>
      <w:lvlText w:val="(%5)"/>
      <w:lvlJc w:val="left"/>
      <w:pPr>
        <w:ind w:left="2880" w:hanging="720"/>
      </w:pPr>
      <w:rPr>
        <w:rFonts w:hint="default"/>
      </w:rPr>
    </w:lvl>
    <w:lvl w:ilvl="5">
      <w:start w:val="1"/>
      <w:numFmt w:val="lowerLetter"/>
      <w:lvlText w:val="(%6)"/>
      <w:lvlJc w:val="left"/>
      <w:pPr>
        <w:ind w:left="4320" w:hanging="720"/>
      </w:pPr>
      <w:rPr>
        <w:rFonts w:hint="default"/>
      </w:rPr>
    </w:lvl>
    <w:lvl w:ilvl="6">
      <w:start w:val="1"/>
      <w:numFmt w:val="lowerRoman"/>
      <w:pStyle w:val="Heading7"/>
      <w:lvlText w:val="(%7)"/>
      <w:lvlJc w:val="left"/>
      <w:pPr>
        <w:ind w:left="5040" w:hanging="720"/>
      </w:pPr>
      <w:rPr>
        <w:rFonts w:hint="default"/>
      </w:rPr>
    </w:lvl>
    <w:lvl w:ilvl="7">
      <w:start w:val="1"/>
      <w:numFmt w:val="lowerLetter"/>
      <w:pStyle w:val="Heading8"/>
      <w:lvlText w:val="(%8)"/>
      <w:lvlJc w:val="left"/>
      <w:pPr>
        <w:ind w:left="5760" w:hanging="720"/>
      </w:pPr>
      <w:rPr>
        <w:rFonts w:hint="default"/>
      </w:rPr>
    </w:lvl>
    <w:lvl w:ilvl="8">
      <w:start w:val="1"/>
      <w:numFmt w:val="lowerRoman"/>
      <w:pStyle w:val="Heading9"/>
      <w:lvlText w:val="(%9)"/>
      <w:lvlJc w:val="left"/>
      <w:pPr>
        <w:ind w:left="6480" w:hanging="720"/>
      </w:pPr>
      <w:rPr>
        <w:rFonts w:hint="default"/>
      </w:rPr>
    </w:lvl>
  </w:abstractNum>
  <w:abstractNum w:abstractNumId="11" w15:restartNumberingAfterBreak="0">
    <w:nsid w:val="025C4433"/>
    <w:multiLevelType w:val="hybridMultilevel"/>
    <w:tmpl w:val="8A8826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2377AC"/>
    <w:multiLevelType w:val="hybridMultilevel"/>
    <w:tmpl w:val="4C9E9CF2"/>
    <w:lvl w:ilvl="0" w:tplc="6D5AA0B2">
      <w:start w:val="1"/>
      <w:numFmt w:val="decimal"/>
      <w:pStyle w:val="BodyText6"/>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3" w15:restartNumberingAfterBreak="0">
    <w:nsid w:val="180475D3"/>
    <w:multiLevelType w:val="multilevel"/>
    <w:tmpl w:val="E27E8C38"/>
    <w:lvl w:ilvl="0">
      <w:start w:val="1"/>
      <w:numFmt w:val="upperRoman"/>
      <w:lvlText w:val="%1."/>
      <w:lvlJc w:val="left"/>
      <w:pPr>
        <w:ind w:left="720" w:hanging="720"/>
      </w:pPr>
      <w:rPr>
        <w:rFonts w:hint="default"/>
      </w:rPr>
    </w:lvl>
    <w:lvl w:ilvl="1">
      <w:start w:val="1"/>
      <w:numFmt w:val="upperLetter"/>
      <w:lvlText w:val="%2."/>
      <w:lvlJc w:val="left"/>
      <w:pPr>
        <w:tabs>
          <w:tab w:val="num" w:pos="1440"/>
        </w:tabs>
        <w:ind w:left="1440" w:hanging="720"/>
      </w:pPr>
      <w:rPr>
        <w:rFonts w:ascii="Times New Roman Bold" w:hAnsi="Times New Roman Bold" w:hint="default"/>
        <w:b/>
        <w:i w:val="0"/>
        <w:sz w:val="26"/>
      </w:rPr>
    </w:lvl>
    <w:lvl w:ilvl="2">
      <w:start w:val="1"/>
      <w:numFmt w:val="decimal"/>
      <w:lvlText w:val="%3."/>
      <w:lvlJc w:val="left"/>
      <w:pPr>
        <w:ind w:left="2160" w:hanging="720"/>
      </w:pPr>
      <w:rPr>
        <w:rFonts w:hint="default"/>
      </w:rPr>
    </w:lvl>
    <w:lvl w:ilvl="3">
      <w:start w:val="1"/>
      <w:numFmt w:val="lowerLetter"/>
      <w:lvlText w:val="%4)"/>
      <w:lvlJc w:val="left"/>
      <w:pPr>
        <w:ind w:left="3060" w:hanging="720"/>
      </w:pPr>
      <w:rPr>
        <w:rFonts w:hint="default"/>
      </w:rPr>
    </w:lvl>
    <w:lvl w:ilvl="4">
      <w:start w:val="1"/>
      <w:numFmt w:val="decimal"/>
      <w:lvlText w:val="(%5)"/>
      <w:lvlJc w:val="left"/>
      <w:pPr>
        <w:ind w:left="288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4" w15:restartNumberingAfterBreak="0">
    <w:nsid w:val="28AD2EA5"/>
    <w:multiLevelType w:val="hybridMultilevel"/>
    <w:tmpl w:val="83803520"/>
    <w:lvl w:ilvl="0" w:tplc="B2D8975E">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C3E6853"/>
    <w:multiLevelType w:val="hybridMultilevel"/>
    <w:tmpl w:val="0E5C241E"/>
    <w:lvl w:ilvl="0" w:tplc="DF5C7B64">
      <w:start w:val="1"/>
      <w:numFmt w:val="bullet"/>
      <w:pStyle w:val="Heading6"/>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B70D1"/>
    <w:multiLevelType w:val="singleLevel"/>
    <w:tmpl w:val="4B88FB04"/>
    <w:lvl w:ilvl="0">
      <w:start w:val="1"/>
      <w:numFmt w:val="decimal"/>
      <w:pStyle w:val="num2"/>
      <w:lvlText w:val="%1."/>
      <w:legacy w:legacy="1" w:legacySpace="144" w:legacyIndent="0"/>
      <w:lvlJc w:val="left"/>
    </w:lvl>
  </w:abstractNum>
  <w:abstractNum w:abstractNumId="17" w15:restartNumberingAfterBreak="0">
    <w:nsid w:val="65234BD6"/>
    <w:multiLevelType w:val="hybridMultilevel"/>
    <w:tmpl w:val="42CAC7AA"/>
    <w:lvl w:ilvl="0" w:tplc="655C0BEC">
      <w:start w:val="1"/>
      <w:numFmt w:val="decimal"/>
      <w:lvlText w:val="%1."/>
      <w:lvlJc w:val="right"/>
      <w:pPr>
        <w:ind w:left="1080" w:hanging="360"/>
      </w:pPr>
      <w:rPr>
        <w:rFonts w:ascii="Times New Roman" w:hAnsi="Times New Roman" w:hint="default"/>
        <w:b w:val="0"/>
        <w:i w:val="0"/>
        <w:sz w:val="26"/>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18" w15:restartNumberingAfterBreak="0">
    <w:nsid w:val="662038C5"/>
    <w:multiLevelType w:val="hybridMultilevel"/>
    <w:tmpl w:val="33C0C6E6"/>
    <w:lvl w:ilvl="0" w:tplc="A774A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8"/>
  </w:num>
  <w:num w:numId="6">
    <w:abstractNumId w:val="15"/>
  </w:num>
  <w:num w:numId="7">
    <w:abstractNumId w:val="14"/>
  </w:num>
  <w:num w:numId="8">
    <w:abstractNumId w:val="11"/>
  </w:num>
  <w:num w:numId="9">
    <w:abstractNumId w:val="13"/>
  </w:num>
  <w:num w:numId="10">
    <w:abstractNumId w:val="1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29B"/>
    <w:rsid w:val="0000021E"/>
    <w:rsid w:val="0000061D"/>
    <w:rsid w:val="00001398"/>
    <w:rsid w:val="00002057"/>
    <w:rsid w:val="00002498"/>
    <w:rsid w:val="0000370F"/>
    <w:rsid w:val="00007133"/>
    <w:rsid w:val="00011643"/>
    <w:rsid w:val="00011CD6"/>
    <w:rsid w:val="00011F1A"/>
    <w:rsid w:val="000168F5"/>
    <w:rsid w:val="0001757F"/>
    <w:rsid w:val="00017805"/>
    <w:rsid w:val="000311F4"/>
    <w:rsid w:val="00033CB7"/>
    <w:rsid w:val="0003725C"/>
    <w:rsid w:val="00040685"/>
    <w:rsid w:val="00045A80"/>
    <w:rsid w:val="00047712"/>
    <w:rsid w:val="0005367A"/>
    <w:rsid w:val="000555A7"/>
    <w:rsid w:val="000601AB"/>
    <w:rsid w:val="000602A2"/>
    <w:rsid w:val="00060F3C"/>
    <w:rsid w:val="00065BA7"/>
    <w:rsid w:val="0006745B"/>
    <w:rsid w:val="00067CAB"/>
    <w:rsid w:val="00067DB4"/>
    <w:rsid w:val="000723DD"/>
    <w:rsid w:val="0007240C"/>
    <w:rsid w:val="00074022"/>
    <w:rsid w:val="00075290"/>
    <w:rsid w:val="000769D3"/>
    <w:rsid w:val="000774EC"/>
    <w:rsid w:val="0008066D"/>
    <w:rsid w:val="00080D41"/>
    <w:rsid w:val="00082CFF"/>
    <w:rsid w:val="00083B7D"/>
    <w:rsid w:val="00085E08"/>
    <w:rsid w:val="00087CCA"/>
    <w:rsid w:val="00087F00"/>
    <w:rsid w:val="00090E4D"/>
    <w:rsid w:val="000910AE"/>
    <w:rsid w:val="00092724"/>
    <w:rsid w:val="0009369B"/>
    <w:rsid w:val="000939B0"/>
    <w:rsid w:val="000939BC"/>
    <w:rsid w:val="0009427D"/>
    <w:rsid w:val="000946FF"/>
    <w:rsid w:val="00095D90"/>
    <w:rsid w:val="00095EFD"/>
    <w:rsid w:val="00096AA7"/>
    <w:rsid w:val="000973DA"/>
    <w:rsid w:val="000976CD"/>
    <w:rsid w:val="000A232A"/>
    <w:rsid w:val="000A4489"/>
    <w:rsid w:val="000A4AFD"/>
    <w:rsid w:val="000A6020"/>
    <w:rsid w:val="000A6D5A"/>
    <w:rsid w:val="000A7148"/>
    <w:rsid w:val="000B182F"/>
    <w:rsid w:val="000B248D"/>
    <w:rsid w:val="000B444B"/>
    <w:rsid w:val="000B570A"/>
    <w:rsid w:val="000B65B8"/>
    <w:rsid w:val="000C1208"/>
    <w:rsid w:val="000C1B12"/>
    <w:rsid w:val="000C3F3D"/>
    <w:rsid w:val="000C4E3D"/>
    <w:rsid w:val="000C4FDA"/>
    <w:rsid w:val="000C69C3"/>
    <w:rsid w:val="000C71DE"/>
    <w:rsid w:val="000C7902"/>
    <w:rsid w:val="000D0755"/>
    <w:rsid w:val="000D105A"/>
    <w:rsid w:val="000D12A2"/>
    <w:rsid w:val="000D1B96"/>
    <w:rsid w:val="000D370E"/>
    <w:rsid w:val="000D60DD"/>
    <w:rsid w:val="000D7F52"/>
    <w:rsid w:val="000E2C33"/>
    <w:rsid w:val="000E3CA0"/>
    <w:rsid w:val="000E50DD"/>
    <w:rsid w:val="000E55F7"/>
    <w:rsid w:val="000E688A"/>
    <w:rsid w:val="000E6A06"/>
    <w:rsid w:val="000E7EC3"/>
    <w:rsid w:val="000F0545"/>
    <w:rsid w:val="000F1C17"/>
    <w:rsid w:val="000F2B5D"/>
    <w:rsid w:val="000F64B5"/>
    <w:rsid w:val="000F76AD"/>
    <w:rsid w:val="000F7EF4"/>
    <w:rsid w:val="001005EC"/>
    <w:rsid w:val="00100BA7"/>
    <w:rsid w:val="00100FC3"/>
    <w:rsid w:val="00105006"/>
    <w:rsid w:val="0010614C"/>
    <w:rsid w:val="001062C9"/>
    <w:rsid w:val="001258D9"/>
    <w:rsid w:val="00130937"/>
    <w:rsid w:val="00131EA9"/>
    <w:rsid w:val="00133B61"/>
    <w:rsid w:val="00140CA5"/>
    <w:rsid w:val="00140DBD"/>
    <w:rsid w:val="0014116A"/>
    <w:rsid w:val="00141F43"/>
    <w:rsid w:val="00142700"/>
    <w:rsid w:val="00142C31"/>
    <w:rsid w:val="00142FF4"/>
    <w:rsid w:val="0014373A"/>
    <w:rsid w:val="00144F0A"/>
    <w:rsid w:val="001454E6"/>
    <w:rsid w:val="001465C9"/>
    <w:rsid w:val="00146E37"/>
    <w:rsid w:val="001471D5"/>
    <w:rsid w:val="00150064"/>
    <w:rsid w:val="0015575D"/>
    <w:rsid w:val="00156DE8"/>
    <w:rsid w:val="00160692"/>
    <w:rsid w:val="001627A6"/>
    <w:rsid w:val="00162C31"/>
    <w:rsid w:val="001642F5"/>
    <w:rsid w:val="0016462A"/>
    <w:rsid w:val="0016482C"/>
    <w:rsid w:val="00164C1F"/>
    <w:rsid w:val="00165088"/>
    <w:rsid w:val="00166EFD"/>
    <w:rsid w:val="0017019C"/>
    <w:rsid w:val="00174786"/>
    <w:rsid w:val="0017483A"/>
    <w:rsid w:val="00176A1B"/>
    <w:rsid w:val="00176C80"/>
    <w:rsid w:val="0018070E"/>
    <w:rsid w:val="00180EB5"/>
    <w:rsid w:val="00183869"/>
    <w:rsid w:val="0018504F"/>
    <w:rsid w:val="00194448"/>
    <w:rsid w:val="001A1FCA"/>
    <w:rsid w:val="001A2AC7"/>
    <w:rsid w:val="001A33DE"/>
    <w:rsid w:val="001A4BE0"/>
    <w:rsid w:val="001A63EC"/>
    <w:rsid w:val="001B3CC3"/>
    <w:rsid w:val="001B4E94"/>
    <w:rsid w:val="001C0F9F"/>
    <w:rsid w:val="001C1E5D"/>
    <w:rsid w:val="001C4D2D"/>
    <w:rsid w:val="001C784D"/>
    <w:rsid w:val="001D05B0"/>
    <w:rsid w:val="001D17B3"/>
    <w:rsid w:val="001D2668"/>
    <w:rsid w:val="001D3574"/>
    <w:rsid w:val="001D3A0E"/>
    <w:rsid w:val="001D5FC4"/>
    <w:rsid w:val="001D77DB"/>
    <w:rsid w:val="001E02FB"/>
    <w:rsid w:val="001E04E3"/>
    <w:rsid w:val="001E16F9"/>
    <w:rsid w:val="001E4FF3"/>
    <w:rsid w:val="001E67C4"/>
    <w:rsid w:val="001E71A1"/>
    <w:rsid w:val="001F09E1"/>
    <w:rsid w:val="001F34CF"/>
    <w:rsid w:val="001F4304"/>
    <w:rsid w:val="001F443A"/>
    <w:rsid w:val="001F44DA"/>
    <w:rsid w:val="001F45EC"/>
    <w:rsid w:val="001F54E1"/>
    <w:rsid w:val="001F5E22"/>
    <w:rsid w:val="001F66C1"/>
    <w:rsid w:val="001F7103"/>
    <w:rsid w:val="001F7933"/>
    <w:rsid w:val="00200AD3"/>
    <w:rsid w:val="002049C4"/>
    <w:rsid w:val="00216BCA"/>
    <w:rsid w:val="00217250"/>
    <w:rsid w:val="00217279"/>
    <w:rsid w:val="002214D2"/>
    <w:rsid w:val="002229D9"/>
    <w:rsid w:val="00223308"/>
    <w:rsid w:val="00223C5F"/>
    <w:rsid w:val="00224613"/>
    <w:rsid w:val="00225C99"/>
    <w:rsid w:val="00226BE2"/>
    <w:rsid w:val="0022764C"/>
    <w:rsid w:val="00233D32"/>
    <w:rsid w:val="002346F2"/>
    <w:rsid w:val="00234C09"/>
    <w:rsid w:val="00234F0C"/>
    <w:rsid w:val="00236AD4"/>
    <w:rsid w:val="00237931"/>
    <w:rsid w:val="00245220"/>
    <w:rsid w:val="00245287"/>
    <w:rsid w:val="002454B3"/>
    <w:rsid w:val="00245C03"/>
    <w:rsid w:val="00245C82"/>
    <w:rsid w:val="00246E7B"/>
    <w:rsid w:val="00247791"/>
    <w:rsid w:val="00247D32"/>
    <w:rsid w:val="00251E98"/>
    <w:rsid w:val="002522F2"/>
    <w:rsid w:val="002555B7"/>
    <w:rsid w:val="002566FB"/>
    <w:rsid w:val="00260231"/>
    <w:rsid w:val="00260670"/>
    <w:rsid w:val="00260FB8"/>
    <w:rsid w:val="00261C3E"/>
    <w:rsid w:val="002628FB"/>
    <w:rsid w:val="0026340A"/>
    <w:rsid w:val="00263617"/>
    <w:rsid w:val="00263FDD"/>
    <w:rsid w:val="00271C31"/>
    <w:rsid w:val="00272314"/>
    <w:rsid w:val="0027377A"/>
    <w:rsid w:val="00273C20"/>
    <w:rsid w:val="00274792"/>
    <w:rsid w:val="00274B4D"/>
    <w:rsid w:val="00275E17"/>
    <w:rsid w:val="00281A5B"/>
    <w:rsid w:val="0028289A"/>
    <w:rsid w:val="00284122"/>
    <w:rsid w:val="002844A6"/>
    <w:rsid w:val="002866D8"/>
    <w:rsid w:val="002901DC"/>
    <w:rsid w:val="00291DDE"/>
    <w:rsid w:val="00292FE7"/>
    <w:rsid w:val="00295CA8"/>
    <w:rsid w:val="002964BC"/>
    <w:rsid w:val="002973D9"/>
    <w:rsid w:val="00297B75"/>
    <w:rsid w:val="002A7216"/>
    <w:rsid w:val="002A7E58"/>
    <w:rsid w:val="002B0AF2"/>
    <w:rsid w:val="002B0CAF"/>
    <w:rsid w:val="002B26D8"/>
    <w:rsid w:val="002B5F73"/>
    <w:rsid w:val="002C13FC"/>
    <w:rsid w:val="002C2A62"/>
    <w:rsid w:val="002C2FD5"/>
    <w:rsid w:val="002C3135"/>
    <w:rsid w:val="002C34E8"/>
    <w:rsid w:val="002C565D"/>
    <w:rsid w:val="002C7507"/>
    <w:rsid w:val="002C7714"/>
    <w:rsid w:val="002D0DEA"/>
    <w:rsid w:val="002D37DC"/>
    <w:rsid w:val="002D4CCE"/>
    <w:rsid w:val="002E2B71"/>
    <w:rsid w:val="002E58B4"/>
    <w:rsid w:val="002E5A2A"/>
    <w:rsid w:val="002F1B3D"/>
    <w:rsid w:val="002F1DDB"/>
    <w:rsid w:val="002F27CC"/>
    <w:rsid w:val="002F2E07"/>
    <w:rsid w:val="002F54B6"/>
    <w:rsid w:val="002F717D"/>
    <w:rsid w:val="00300BC5"/>
    <w:rsid w:val="00301F78"/>
    <w:rsid w:val="003052A3"/>
    <w:rsid w:val="00310378"/>
    <w:rsid w:val="00310575"/>
    <w:rsid w:val="003110A9"/>
    <w:rsid w:val="003123FE"/>
    <w:rsid w:val="003138C3"/>
    <w:rsid w:val="00313EBD"/>
    <w:rsid w:val="00314349"/>
    <w:rsid w:val="00320E99"/>
    <w:rsid w:val="00323DD2"/>
    <w:rsid w:val="003240E4"/>
    <w:rsid w:val="00324E75"/>
    <w:rsid w:val="00326B5D"/>
    <w:rsid w:val="00327158"/>
    <w:rsid w:val="003304CA"/>
    <w:rsid w:val="003317FC"/>
    <w:rsid w:val="00331E13"/>
    <w:rsid w:val="00333514"/>
    <w:rsid w:val="00333A2E"/>
    <w:rsid w:val="0033451D"/>
    <w:rsid w:val="0033704B"/>
    <w:rsid w:val="00337A13"/>
    <w:rsid w:val="00342BAA"/>
    <w:rsid w:val="00343B9C"/>
    <w:rsid w:val="00345181"/>
    <w:rsid w:val="00347762"/>
    <w:rsid w:val="003515E5"/>
    <w:rsid w:val="00351938"/>
    <w:rsid w:val="00355515"/>
    <w:rsid w:val="0036271A"/>
    <w:rsid w:val="00365160"/>
    <w:rsid w:val="0036542A"/>
    <w:rsid w:val="003655B0"/>
    <w:rsid w:val="00367588"/>
    <w:rsid w:val="0037305B"/>
    <w:rsid w:val="00373C2A"/>
    <w:rsid w:val="003749F5"/>
    <w:rsid w:val="003761CA"/>
    <w:rsid w:val="0037759C"/>
    <w:rsid w:val="0038131A"/>
    <w:rsid w:val="00381962"/>
    <w:rsid w:val="0038477B"/>
    <w:rsid w:val="00385CBB"/>
    <w:rsid w:val="0039002C"/>
    <w:rsid w:val="003907BB"/>
    <w:rsid w:val="0039092E"/>
    <w:rsid w:val="00394EAA"/>
    <w:rsid w:val="00396DFE"/>
    <w:rsid w:val="003976DE"/>
    <w:rsid w:val="003A0CE9"/>
    <w:rsid w:val="003A1C9C"/>
    <w:rsid w:val="003A539B"/>
    <w:rsid w:val="003A67B1"/>
    <w:rsid w:val="003A682D"/>
    <w:rsid w:val="003A6E52"/>
    <w:rsid w:val="003B089C"/>
    <w:rsid w:val="003B1252"/>
    <w:rsid w:val="003B1870"/>
    <w:rsid w:val="003B19CF"/>
    <w:rsid w:val="003B60E1"/>
    <w:rsid w:val="003B6A45"/>
    <w:rsid w:val="003B7CD4"/>
    <w:rsid w:val="003C24E0"/>
    <w:rsid w:val="003C2687"/>
    <w:rsid w:val="003C51B3"/>
    <w:rsid w:val="003C656F"/>
    <w:rsid w:val="003C7A4F"/>
    <w:rsid w:val="003D0F47"/>
    <w:rsid w:val="003D4A28"/>
    <w:rsid w:val="003D5256"/>
    <w:rsid w:val="003D769B"/>
    <w:rsid w:val="003E0039"/>
    <w:rsid w:val="003E0BDC"/>
    <w:rsid w:val="003E167B"/>
    <w:rsid w:val="003E34B9"/>
    <w:rsid w:val="003E45AE"/>
    <w:rsid w:val="003E477B"/>
    <w:rsid w:val="003E5072"/>
    <w:rsid w:val="003E50BD"/>
    <w:rsid w:val="003E785E"/>
    <w:rsid w:val="003F15AC"/>
    <w:rsid w:val="003F3281"/>
    <w:rsid w:val="003F5671"/>
    <w:rsid w:val="003F5DB4"/>
    <w:rsid w:val="003F6866"/>
    <w:rsid w:val="00401844"/>
    <w:rsid w:val="004039CA"/>
    <w:rsid w:val="00403EBF"/>
    <w:rsid w:val="00404659"/>
    <w:rsid w:val="00405D17"/>
    <w:rsid w:val="00406698"/>
    <w:rsid w:val="0041329C"/>
    <w:rsid w:val="00413FEF"/>
    <w:rsid w:val="00414944"/>
    <w:rsid w:val="00414DCA"/>
    <w:rsid w:val="00416406"/>
    <w:rsid w:val="00416C0D"/>
    <w:rsid w:val="00416D4D"/>
    <w:rsid w:val="00420977"/>
    <w:rsid w:val="004232F0"/>
    <w:rsid w:val="00424597"/>
    <w:rsid w:val="00426AE6"/>
    <w:rsid w:val="00427C35"/>
    <w:rsid w:val="00430D60"/>
    <w:rsid w:val="00432374"/>
    <w:rsid w:val="004328BB"/>
    <w:rsid w:val="00432C8C"/>
    <w:rsid w:val="00432E01"/>
    <w:rsid w:val="00433901"/>
    <w:rsid w:val="00434AE7"/>
    <w:rsid w:val="00434C40"/>
    <w:rsid w:val="00436D09"/>
    <w:rsid w:val="00437667"/>
    <w:rsid w:val="00440D80"/>
    <w:rsid w:val="00441DA1"/>
    <w:rsid w:val="00442796"/>
    <w:rsid w:val="00446AD6"/>
    <w:rsid w:val="00446CF8"/>
    <w:rsid w:val="00447B8B"/>
    <w:rsid w:val="00450042"/>
    <w:rsid w:val="00452502"/>
    <w:rsid w:val="00453530"/>
    <w:rsid w:val="0045370C"/>
    <w:rsid w:val="00453F3D"/>
    <w:rsid w:val="00454E90"/>
    <w:rsid w:val="00455E7F"/>
    <w:rsid w:val="00457642"/>
    <w:rsid w:val="00457A37"/>
    <w:rsid w:val="004606DA"/>
    <w:rsid w:val="004624A0"/>
    <w:rsid w:val="00462F04"/>
    <w:rsid w:val="004658DC"/>
    <w:rsid w:val="00465B4C"/>
    <w:rsid w:val="00467BE3"/>
    <w:rsid w:val="00471400"/>
    <w:rsid w:val="0047216A"/>
    <w:rsid w:val="00473E6F"/>
    <w:rsid w:val="004765D6"/>
    <w:rsid w:val="004779B2"/>
    <w:rsid w:val="00480D34"/>
    <w:rsid w:val="004837B9"/>
    <w:rsid w:val="00484753"/>
    <w:rsid w:val="00485E21"/>
    <w:rsid w:val="00486FAF"/>
    <w:rsid w:val="0048781D"/>
    <w:rsid w:val="00491008"/>
    <w:rsid w:val="004953E8"/>
    <w:rsid w:val="00496025"/>
    <w:rsid w:val="004961A1"/>
    <w:rsid w:val="004A0676"/>
    <w:rsid w:val="004A2923"/>
    <w:rsid w:val="004A2EA7"/>
    <w:rsid w:val="004A428A"/>
    <w:rsid w:val="004A4B30"/>
    <w:rsid w:val="004A608A"/>
    <w:rsid w:val="004B1420"/>
    <w:rsid w:val="004B30AD"/>
    <w:rsid w:val="004B6D3F"/>
    <w:rsid w:val="004B726A"/>
    <w:rsid w:val="004B7291"/>
    <w:rsid w:val="004C083E"/>
    <w:rsid w:val="004C0B93"/>
    <w:rsid w:val="004C2CCF"/>
    <w:rsid w:val="004C36A9"/>
    <w:rsid w:val="004C40E7"/>
    <w:rsid w:val="004C6AF8"/>
    <w:rsid w:val="004C7313"/>
    <w:rsid w:val="004C7690"/>
    <w:rsid w:val="004C7D98"/>
    <w:rsid w:val="004D10DC"/>
    <w:rsid w:val="004D4DC1"/>
    <w:rsid w:val="004D500D"/>
    <w:rsid w:val="004D62D7"/>
    <w:rsid w:val="004D689C"/>
    <w:rsid w:val="004E0558"/>
    <w:rsid w:val="004E13D2"/>
    <w:rsid w:val="004E1D33"/>
    <w:rsid w:val="004E2CB0"/>
    <w:rsid w:val="004E4C50"/>
    <w:rsid w:val="004E5478"/>
    <w:rsid w:val="004E5571"/>
    <w:rsid w:val="004E60AB"/>
    <w:rsid w:val="004E647E"/>
    <w:rsid w:val="004E7FE5"/>
    <w:rsid w:val="004F061F"/>
    <w:rsid w:val="004F0DBA"/>
    <w:rsid w:val="004F1217"/>
    <w:rsid w:val="004F1A32"/>
    <w:rsid w:val="004F254E"/>
    <w:rsid w:val="004F2C34"/>
    <w:rsid w:val="004F3538"/>
    <w:rsid w:val="00500AB0"/>
    <w:rsid w:val="005029EB"/>
    <w:rsid w:val="00502D5E"/>
    <w:rsid w:val="00514876"/>
    <w:rsid w:val="00515172"/>
    <w:rsid w:val="00516491"/>
    <w:rsid w:val="0051722F"/>
    <w:rsid w:val="00521952"/>
    <w:rsid w:val="00523113"/>
    <w:rsid w:val="00524A95"/>
    <w:rsid w:val="00527085"/>
    <w:rsid w:val="0053056B"/>
    <w:rsid w:val="005332B7"/>
    <w:rsid w:val="00533B09"/>
    <w:rsid w:val="00535E25"/>
    <w:rsid w:val="005367B5"/>
    <w:rsid w:val="00536B9C"/>
    <w:rsid w:val="00537EF4"/>
    <w:rsid w:val="005419B6"/>
    <w:rsid w:val="005426D5"/>
    <w:rsid w:val="00542A0B"/>
    <w:rsid w:val="00544D3D"/>
    <w:rsid w:val="00544D9E"/>
    <w:rsid w:val="00545555"/>
    <w:rsid w:val="005461EA"/>
    <w:rsid w:val="0054634E"/>
    <w:rsid w:val="00546DEA"/>
    <w:rsid w:val="00547078"/>
    <w:rsid w:val="00550F79"/>
    <w:rsid w:val="00554351"/>
    <w:rsid w:val="00556EA5"/>
    <w:rsid w:val="00560603"/>
    <w:rsid w:val="005639AD"/>
    <w:rsid w:val="00565E80"/>
    <w:rsid w:val="00566BA0"/>
    <w:rsid w:val="00566BC8"/>
    <w:rsid w:val="00567095"/>
    <w:rsid w:val="005673CE"/>
    <w:rsid w:val="00567E76"/>
    <w:rsid w:val="00570664"/>
    <w:rsid w:val="00574B16"/>
    <w:rsid w:val="00577279"/>
    <w:rsid w:val="0058018C"/>
    <w:rsid w:val="005802D0"/>
    <w:rsid w:val="00581DA9"/>
    <w:rsid w:val="00581F32"/>
    <w:rsid w:val="005854F8"/>
    <w:rsid w:val="00586400"/>
    <w:rsid w:val="00587175"/>
    <w:rsid w:val="00587DB3"/>
    <w:rsid w:val="00587EAE"/>
    <w:rsid w:val="00587EFB"/>
    <w:rsid w:val="005908F3"/>
    <w:rsid w:val="00596A4A"/>
    <w:rsid w:val="00596D7D"/>
    <w:rsid w:val="005A0656"/>
    <w:rsid w:val="005A177A"/>
    <w:rsid w:val="005A18B4"/>
    <w:rsid w:val="005A5228"/>
    <w:rsid w:val="005A6458"/>
    <w:rsid w:val="005A6B2C"/>
    <w:rsid w:val="005B0BE8"/>
    <w:rsid w:val="005B0C9C"/>
    <w:rsid w:val="005B1C5E"/>
    <w:rsid w:val="005B1DF1"/>
    <w:rsid w:val="005B313D"/>
    <w:rsid w:val="005B5274"/>
    <w:rsid w:val="005C105A"/>
    <w:rsid w:val="005C30E6"/>
    <w:rsid w:val="005C4540"/>
    <w:rsid w:val="005C5200"/>
    <w:rsid w:val="005C563B"/>
    <w:rsid w:val="005C7FC9"/>
    <w:rsid w:val="005D0772"/>
    <w:rsid w:val="005D4E22"/>
    <w:rsid w:val="005D54D9"/>
    <w:rsid w:val="005D562C"/>
    <w:rsid w:val="005D7594"/>
    <w:rsid w:val="005E1602"/>
    <w:rsid w:val="005E1EE5"/>
    <w:rsid w:val="005E2234"/>
    <w:rsid w:val="005E369D"/>
    <w:rsid w:val="005E3E30"/>
    <w:rsid w:val="005E3F8E"/>
    <w:rsid w:val="005E5087"/>
    <w:rsid w:val="005E5D64"/>
    <w:rsid w:val="005E7EA5"/>
    <w:rsid w:val="005F2BCB"/>
    <w:rsid w:val="00600ADD"/>
    <w:rsid w:val="00602264"/>
    <w:rsid w:val="0060274E"/>
    <w:rsid w:val="0060404B"/>
    <w:rsid w:val="00605199"/>
    <w:rsid w:val="00607394"/>
    <w:rsid w:val="006100B6"/>
    <w:rsid w:val="00610DF7"/>
    <w:rsid w:val="006137F7"/>
    <w:rsid w:val="00616B47"/>
    <w:rsid w:val="00616DBE"/>
    <w:rsid w:val="00620ADA"/>
    <w:rsid w:val="0062102A"/>
    <w:rsid w:val="00621A20"/>
    <w:rsid w:val="00622287"/>
    <w:rsid w:val="006222A3"/>
    <w:rsid w:val="0062257D"/>
    <w:rsid w:val="00622ACF"/>
    <w:rsid w:val="00623294"/>
    <w:rsid w:val="0062349A"/>
    <w:rsid w:val="00625D41"/>
    <w:rsid w:val="0063057F"/>
    <w:rsid w:val="0063129B"/>
    <w:rsid w:val="0063194F"/>
    <w:rsid w:val="00632212"/>
    <w:rsid w:val="0063314A"/>
    <w:rsid w:val="00633761"/>
    <w:rsid w:val="00637252"/>
    <w:rsid w:val="006414DC"/>
    <w:rsid w:val="00641DF9"/>
    <w:rsid w:val="00642CA4"/>
    <w:rsid w:val="0064378D"/>
    <w:rsid w:val="0064589B"/>
    <w:rsid w:val="00646E2A"/>
    <w:rsid w:val="006474E8"/>
    <w:rsid w:val="00647C41"/>
    <w:rsid w:val="00651629"/>
    <w:rsid w:val="00657BF9"/>
    <w:rsid w:val="00662752"/>
    <w:rsid w:val="00662E08"/>
    <w:rsid w:val="006654F8"/>
    <w:rsid w:val="00672D2B"/>
    <w:rsid w:val="0067670F"/>
    <w:rsid w:val="00677DB8"/>
    <w:rsid w:val="00681582"/>
    <w:rsid w:val="0068174F"/>
    <w:rsid w:val="00682064"/>
    <w:rsid w:val="006827A2"/>
    <w:rsid w:val="00682BB5"/>
    <w:rsid w:val="00682F43"/>
    <w:rsid w:val="00684095"/>
    <w:rsid w:val="00687754"/>
    <w:rsid w:val="00687EC7"/>
    <w:rsid w:val="00696E48"/>
    <w:rsid w:val="00697E8A"/>
    <w:rsid w:val="006A1D4C"/>
    <w:rsid w:val="006A4B9F"/>
    <w:rsid w:val="006B038C"/>
    <w:rsid w:val="006B03B8"/>
    <w:rsid w:val="006B198D"/>
    <w:rsid w:val="006B37EB"/>
    <w:rsid w:val="006B3F45"/>
    <w:rsid w:val="006B668A"/>
    <w:rsid w:val="006B7268"/>
    <w:rsid w:val="006C0838"/>
    <w:rsid w:val="006C1FBC"/>
    <w:rsid w:val="006C207E"/>
    <w:rsid w:val="006C5B55"/>
    <w:rsid w:val="006C6913"/>
    <w:rsid w:val="006C742E"/>
    <w:rsid w:val="006D0389"/>
    <w:rsid w:val="006D042F"/>
    <w:rsid w:val="006D2502"/>
    <w:rsid w:val="006D2ABB"/>
    <w:rsid w:val="006E02FC"/>
    <w:rsid w:val="006E1B36"/>
    <w:rsid w:val="006E1EDB"/>
    <w:rsid w:val="006E2381"/>
    <w:rsid w:val="006E2D27"/>
    <w:rsid w:val="006E377F"/>
    <w:rsid w:val="006E4D29"/>
    <w:rsid w:val="006E51B9"/>
    <w:rsid w:val="006E67AC"/>
    <w:rsid w:val="006E7AB8"/>
    <w:rsid w:val="006F1C03"/>
    <w:rsid w:val="006F3B62"/>
    <w:rsid w:val="006F4B57"/>
    <w:rsid w:val="006F7609"/>
    <w:rsid w:val="00700C36"/>
    <w:rsid w:val="00701272"/>
    <w:rsid w:val="00703627"/>
    <w:rsid w:val="0070659A"/>
    <w:rsid w:val="00707A3D"/>
    <w:rsid w:val="00707FA7"/>
    <w:rsid w:val="00710F8B"/>
    <w:rsid w:val="00711904"/>
    <w:rsid w:val="00712B68"/>
    <w:rsid w:val="00712E58"/>
    <w:rsid w:val="00712EA0"/>
    <w:rsid w:val="007130CA"/>
    <w:rsid w:val="00714EED"/>
    <w:rsid w:val="00715604"/>
    <w:rsid w:val="00716301"/>
    <w:rsid w:val="007206AB"/>
    <w:rsid w:val="007235D8"/>
    <w:rsid w:val="007245F9"/>
    <w:rsid w:val="00724DDA"/>
    <w:rsid w:val="00725CA5"/>
    <w:rsid w:val="00725CE6"/>
    <w:rsid w:val="00727D7B"/>
    <w:rsid w:val="0073389A"/>
    <w:rsid w:val="00733C12"/>
    <w:rsid w:val="007360AA"/>
    <w:rsid w:val="007363C9"/>
    <w:rsid w:val="0074089D"/>
    <w:rsid w:val="00740E31"/>
    <w:rsid w:val="00743B61"/>
    <w:rsid w:val="00743B7C"/>
    <w:rsid w:val="00744AA0"/>
    <w:rsid w:val="00746038"/>
    <w:rsid w:val="0074774D"/>
    <w:rsid w:val="00747C5C"/>
    <w:rsid w:val="007519D2"/>
    <w:rsid w:val="00753ACB"/>
    <w:rsid w:val="00757488"/>
    <w:rsid w:val="00757EA0"/>
    <w:rsid w:val="0076266D"/>
    <w:rsid w:val="00763414"/>
    <w:rsid w:val="00763DC4"/>
    <w:rsid w:val="007667C2"/>
    <w:rsid w:val="00766B93"/>
    <w:rsid w:val="00771877"/>
    <w:rsid w:val="0077434E"/>
    <w:rsid w:val="00777233"/>
    <w:rsid w:val="00777582"/>
    <w:rsid w:val="0078201A"/>
    <w:rsid w:val="007830C5"/>
    <w:rsid w:val="0078425E"/>
    <w:rsid w:val="00790A54"/>
    <w:rsid w:val="00791F30"/>
    <w:rsid w:val="00793495"/>
    <w:rsid w:val="007956C3"/>
    <w:rsid w:val="00795D28"/>
    <w:rsid w:val="007A0186"/>
    <w:rsid w:val="007A09A7"/>
    <w:rsid w:val="007A46D3"/>
    <w:rsid w:val="007A5ED1"/>
    <w:rsid w:val="007A6A8D"/>
    <w:rsid w:val="007A6DFA"/>
    <w:rsid w:val="007B004D"/>
    <w:rsid w:val="007B074F"/>
    <w:rsid w:val="007B3243"/>
    <w:rsid w:val="007B53E3"/>
    <w:rsid w:val="007B656F"/>
    <w:rsid w:val="007B7E18"/>
    <w:rsid w:val="007C06BF"/>
    <w:rsid w:val="007C1299"/>
    <w:rsid w:val="007C5DC9"/>
    <w:rsid w:val="007D65B1"/>
    <w:rsid w:val="007D7130"/>
    <w:rsid w:val="007D7336"/>
    <w:rsid w:val="007D7863"/>
    <w:rsid w:val="007D7D7C"/>
    <w:rsid w:val="007E3007"/>
    <w:rsid w:val="007E568D"/>
    <w:rsid w:val="007F0608"/>
    <w:rsid w:val="007F06BF"/>
    <w:rsid w:val="007F195C"/>
    <w:rsid w:val="007F2C64"/>
    <w:rsid w:val="007F3110"/>
    <w:rsid w:val="007F4B94"/>
    <w:rsid w:val="007F5098"/>
    <w:rsid w:val="007F634F"/>
    <w:rsid w:val="007F68D0"/>
    <w:rsid w:val="008017F3"/>
    <w:rsid w:val="00804509"/>
    <w:rsid w:val="008077C3"/>
    <w:rsid w:val="008077CC"/>
    <w:rsid w:val="0081265B"/>
    <w:rsid w:val="00814E59"/>
    <w:rsid w:val="00815BF5"/>
    <w:rsid w:val="00822727"/>
    <w:rsid w:val="0082306D"/>
    <w:rsid w:val="0082663E"/>
    <w:rsid w:val="008269DC"/>
    <w:rsid w:val="00826F78"/>
    <w:rsid w:val="00827CA1"/>
    <w:rsid w:val="00830FF8"/>
    <w:rsid w:val="008312C3"/>
    <w:rsid w:val="00831501"/>
    <w:rsid w:val="00833212"/>
    <w:rsid w:val="008348E1"/>
    <w:rsid w:val="00837074"/>
    <w:rsid w:val="00837AB5"/>
    <w:rsid w:val="008400D2"/>
    <w:rsid w:val="008434D4"/>
    <w:rsid w:val="00844964"/>
    <w:rsid w:val="008457FB"/>
    <w:rsid w:val="00846642"/>
    <w:rsid w:val="00846FA4"/>
    <w:rsid w:val="00846FAC"/>
    <w:rsid w:val="008512D3"/>
    <w:rsid w:val="00852BFD"/>
    <w:rsid w:val="00853401"/>
    <w:rsid w:val="008547F5"/>
    <w:rsid w:val="0085504D"/>
    <w:rsid w:val="0085644E"/>
    <w:rsid w:val="00856D87"/>
    <w:rsid w:val="008616BA"/>
    <w:rsid w:val="00861788"/>
    <w:rsid w:val="00861F35"/>
    <w:rsid w:val="00862BC5"/>
    <w:rsid w:val="008706C5"/>
    <w:rsid w:val="00871B89"/>
    <w:rsid w:val="00871C50"/>
    <w:rsid w:val="0087359A"/>
    <w:rsid w:val="00876FCB"/>
    <w:rsid w:val="00880861"/>
    <w:rsid w:val="00880DCA"/>
    <w:rsid w:val="00883D39"/>
    <w:rsid w:val="008842BB"/>
    <w:rsid w:val="00884CB4"/>
    <w:rsid w:val="00885678"/>
    <w:rsid w:val="00887A07"/>
    <w:rsid w:val="00891570"/>
    <w:rsid w:val="00892DD0"/>
    <w:rsid w:val="00893D04"/>
    <w:rsid w:val="00895DB2"/>
    <w:rsid w:val="0089624E"/>
    <w:rsid w:val="008969EB"/>
    <w:rsid w:val="008A144F"/>
    <w:rsid w:val="008A471E"/>
    <w:rsid w:val="008A479A"/>
    <w:rsid w:val="008A4819"/>
    <w:rsid w:val="008A4AB2"/>
    <w:rsid w:val="008A530F"/>
    <w:rsid w:val="008A74FD"/>
    <w:rsid w:val="008B1CE7"/>
    <w:rsid w:val="008B2FB1"/>
    <w:rsid w:val="008B5586"/>
    <w:rsid w:val="008B676E"/>
    <w:rsid w:val="008C0932"/>
    <w:rsid w:val="008C0BAD"/>
    <w:rsid w:val="008C4195"/>
    <w:rsid w:val="008C4C12"/>
    <w:rsid w:val="008C61B1"/>
    <w:rsid w:val="008E12A2"/>
    <w:rsid w:val="008E1F27"/>
    <w:rsid w:val="008E28FC"/>
    <w:rsid w:val="008F1A39"/>
    <w:rsid w:val="008F250C"/>
    <w:rsid w:val="008F25B1"/>
    <w:rsid w:val="008F4696"/>
    <w:rsid w:val="008F5CCB"/>
    <w:rsid w:val="00900366"/>
    <w:rsid w:val="00903356"/>
    <w:rsid w:val="00906A48"/>
    <w:rsid w:val="00907366"/>
    <w:rsid w:val="00907E1D"/>
    <w:rsid w:val="00910111"/>
    <w:rsid w:val="00910819"/>
    <w:rsid w:val="00910C65"/>
    <w:rsid w:val="009112C7"/>
    <w:rsid w:val="00911FEB"/>
    <w:rsid w:val="009137A8"/>
    <w:rsid w:val="00913D60"/>
    <w:rsid w:val="00916B55"/>
    <w:rsid w:val="00920E71"/>
    <w:rsid w:val="0092259A"/>
    <w:rsid w:val="00924A52"/>
    <w:rsid w:val="009254A0"/>
    <w:rsid w:val="0092686B"/>
    <w:rsid w:val="00927488"/>
    <w:rsid w:val="00931023"/>
    <w:rsid w:val="00931B06"/>
    <w:rsid w:val="009325F2"/>
    <w:rsid w:val="00934379"/>
    <w:rsid w:val="00934E3D"/>
    <w:rsid w:val="00935F0D"/>
    <w:rsid w:val="00936E5C"/>
    <w:rsid w:val="009447B8"/>
    <w:rsid w:val="0095024B"/>
    <w:rsid w:val="0095087E"/>
    <w:rsid w:val="00952385"/>
    <w:rsid w:val="0095635C"/>
    <w:rsid w:val="00960165"/>
    <w:rsid w:val="00960C83"/>
    <w:rsid w:val="00960F19"/>
    <w:rsid w:val="0096163E"/>
    <w:rsid w:val="009668F9"/>
    <w:rsid w:val="00973579"/>
    <w:rsid w:val="009741CC"/>
    <w:rsid w:val="00974486"/>
    <w:rsid w:val="0097477A"/>
    <w:rsid w:val="009770C6"/>
    <w:rsid w:val="00983083"/>
    <w:rsid w:val="00985FBA"/>
    <w:rsid w:val="00986F8C"/>
    <w:rsid w:val="00987D1C"/>
    <w:rsid w:val="00987EDA"/>
    <w:rsid w:val="00991A95"/>
    <w:rsid w:val="00993ABB"/>
    <w:rsid w:val="00997D5F"/>
    <w:rsid w:val="009A139C"/>
    <w:rsid w:val="009A2A05"/>
    <w:rsid w:val="009A4301"/>
    <w:rsid w:val="009A4F6F"/>
    <w:rsid w:val="009A6360"/>
    <w:rsid w:val="009A66A8"/>
    <w:rsid w:val="009A7437"/>
    <w:rsid w:val="009B2DAB"/>
    <w:rsid w:val="009B4F53"/>
    <w:rsid w:val="009B7434"/>
    <w:rsid w:val="009C1A81"/>
    <w:rsid w:val="009D1247"/>
    <w:rsid w:val="009D443A"/>
    <w:rsid w:val="009D5318"/>
    <w:rsid w:val="009D6259"/>
    <w:rsid w:val="009D660E"/>
    <w:rsid w:val="009E2B47"/>
    <w:rsid w:val="009E2D4F"/>
    <w:rsid w:val="009E3930"/>
    <w:rsid w:val="009E5163"/>
    <w:rsid w:val="009E54F8"/>
    <w:rsid w:val="009E690F"/>
    <w:rsid w:val="009E7B07"/>
    <w:rsid w:val="009F03CA"/>
    <w:rsid w:val="009F1A0C"/>
    <w:rsid w:val="009F25F6"/>
    <w:rsid w:val="009F2EF6"/>
    <w:rsid w:val="009F65C9"/>
    <w:rsid w:val="009F6C52"/>
    <w:rsid w:val="009F79ED"/>
    <w:rsid w:val="00A00AC5"/>
    <w:rsid w:val="00A01EE6"/>
    <w:rsid w:val="00A073AA"/>
    <w:rsid w:val="00A07BE4"/>
    <w:rsid w:val="00A102FA"/>
    <w:rsid w:val="00A12862"/>
    <w:rsid w:val="00A129CE"/>
    <w:rsid w:val="00A130D1"/>
    <w:rsid w:val="00A16FD7"/>
    <w:rsid w:val="00A17C99"/>
    <w:rsid w:val="00A20E0B"/>
    <w:rsid w:val="00A22CFE"/>
    <w:rsid w:val="00A23FFD"/>
    <w:rsid w:val="00A268F7"/>
    <w:rsid w:val="00A26CBB"/>
    <w:rsid w:val="00A27D55"/>
    <w:rsid w:val="00A27EB3"/>
    <w:rsid w:val="00A32EF2"/>
    <w:rsid w:val="00A33B7E"/>
    <w:rsid w:val="00A34101"/>
    <w:rsid w:val="00A34B29"/>
    <w:rsid w:val="00A364F2"/>
    <w:rsid w:val="00A3770A"/>
    <w:rsid w:val="00A402A1"/>
    <w:rsid w:val="00A403C5"/>
    <w:rsid w:val="00A420B6"/>
    <w:rsid w:val="00A42575"/>
    <w:rsid w:val="00A44CC6"/>
    <w:rsid w:val="00A44F5E"/>
    <w:rsid w:val="00A52060"/>
    <w:rsid w:val="00A520C0"/>
    <w:rsid w:val="00A53A4D"/>
    <w:rsid w:val="00A544D1"/>
    <w:rsid w:val="00A55B45"/>
    <w:rsid w:val="00A57275"/>
    <w:rsid w:val="00A61B03"/>
    <w:rsid w:val="00A62915"/>
    <w:rsid w:val="00A63A1C"/>
    <w:rsid w:val="00A669B4"/>
    <w:rsid w:val="00A70422"/>
    <w:rsid w:val="00A708F9"/>
    <w:rsid w:val="00A71A57"/>
    <w:rsid w:val="00A72733"/>
    <w:rsid w:val="00A73165"/>
    <w:rsid w:val="00A74764"/>
    <w:rsid w:val="00A7758F"/>
    <w:rsid w:val="00A80148"/>
    <w:rsid w:val="00A810BF"/>
    <w:rsid w:val="00A8124B"/>
    <w:rsid w:val="00A8289C"/>
    <w:rsid w:val="00A85052"/>
    <w:rsid w:val="00A85CD6"/>
    <w:rsid w:val="00A85FB8"/>
    <w:rsid w:val="00A86126"/>
    <w:rsid w:val="00A865DE"/>
    <w:rsid w:val="00A87A0F"/>
    <w:rsid w:val="00A90355"/>
    <w:rsid w:val="00A9088B"/>
    <w:rsid w:val="00A95F14"/>
    <w:rsid w:val="00A96E79"/>
    <w:rsid w:val="00AA014F"/>
    <w:rsid w:val="00AA2911"/>
    <w:rsid w:val="00AA3C35"/>
    <w:rsid w:val="00AA5328"/>
    <w:rsid w:val="00AA7FB1"/>
    <w:rsid w:val="00AB007A"/>
    <w:rsid w:val="00AB1E9B"/>
    <w:rsid w:val="00AB35D3"/>
    <w:rsid w:val="00AB4782"/>
    <w:rsid w:val="00AB5ECE"/>
    <w:rsid w:val="00AC04E3"/>
    <w:rsid w:val="00AC4381"/>
    <w:rsid w:val="00AC5A94"/>
    <w:rsid w:val="00AD2C27"/>
    <w:rsid w:val="00AD527F"/>
    <w:rsid w:val="00AD59EC"/>
    <w:rsid w:val="00AD635C"/>
    <w:rsid w:val="00AE1FA1"/>
    <w:rsid w:val="00AE49CD"/>
    <w:rsid w:val="00AE4BFF"/>
    <w:rsid w:val="00AE54DF"/>
    <w:rsid w:val="00AE7553"/>
    <w:rsid w:val="00AE7EAD"/>
    <w:rsid w:val="00AF2188"/>
    <w:rsid w:val="00AF6B99"/>
    <w:rsid w:val="00B018F0"/>
    <w:rsid w:val="00B01A3C"/>
    <w:rsid w:val="00B04EC5"/>
    <w:rsid w:val="00B06D12"/>
    <w:rsid w:val="00B11624"/>
    <w:rsid w:val="00B1388E"/>
    <w:rsid w:val="00B1441C"/>
    <w:rsid w:val="00B14468"/>
    <w:rsid w:val="00B15090"/>
    <w:rsid w:val="00B1656C"/>
    <w:rsid w:val="00B16A92"/>
    <w:rsid w:val="00B208AF"/>
    <w:rsid w:val="00B213FC"/>
    <w:rsid w:val="00B226C6"/>
    <w:rsid w:val="00B22D02"/>
    <w:rsid w:val="00B23C8F"/>
    <w:rsid w:val="00B24D3C"/>
    <w:rsid w:val="00B25202"/>
    <w:rsid w:val="00B27195"/>
    <w:rsid w:val="00B301D4"/>
    <w:rsid w:val="00B34107"/>
    <w:rsid w:val="00B35710"/>
    <w:rsid w:val="00B42CA6"/>
    <w:rsid w:val="00B44A0F"/>
    <w:rsid w:val="00B51C43"/>
    <w:rsid w:val="00B52222"/>
    <w:rsid w:val="00B54E2E"/>
    <w:rsid w:val="00B5739E"/>
    <w:rsid w:val="00B609CB"/>
    <w:rsid w:val="00B60D66"/>
    <w:rsid w:val="00B64491"/>
    <w:rsid w:val="00B64C22"/>
    <w:rsid w:val="00B705F0"/>
    <w:rsid w:val="00B7144C"/>
    <w:rsid w:val="00B71E82"/>
    <w:rsid w:val="00B73902"/>
    <w:rsid w:val="00B73B40"/>
    <w:rsid w:val="00B74C1B"/>
    <w:rsid w:val="00B7730E"/>
    <w:rsid w:val="00B775BB"/>
    <w:rsid w:val="00B77D05"/>
    <w:rsid w:val="00B77D39"/>
    <w:rsid w:val="00B84FC2"/>
    <w:rsid w:val="00B85C80"/>
    <w:rsid w:val="00B85E14"/>
    <w:rsid w:val="00B87618"/>
    <w:rsid w:val="00B87DE2"/>
    <w:rsid w:val="00B96AB0"/>
    <w:rsid w:val="00B97A10"/>
    <w:rsid w:val="00BA2084"/>
    <w:rsid w:val="00BA4573"/>
    <w:rsid w:val="00BA51E3"/>
    <w:rsid w:val="00BA5D86"/>
    <w:rsid w:val="00BB101F"/>
    <w:rsid w:val="00BB19B3"/>
    <w:rsid w:val="00BB1A9D"/>
    <w:rsid w:val="00BB2B66"/>
    <w:rsid w:val="00BB309E"/>
    <w:rsid w:val="00BB7ADF"/>
    <w:rsid w:val="00BC0DF0"/>
    <w:rsid w:val="00BC0EC6"/>
    <w:rsid w:val="00BC1CA2"/>
    <w:rsid w:val="00BC2BE8"/>
    <w:rsid w:val="00BC2FA4"/>
    <w:rsid w:val="00BC5963"/>
    <w:rsid w:val="00BC6B51"/>
    <w:rsid w:val="00BC7CFC"/>
    <w:rsid w:val="00BD09F0"/>
    <w:rsid w:val="00BD0C74"/>
    <w:rsid w:val="00BD1794"/>
    <w:rsid w:val="00BD3F68"/>
    <w:rsid w:val="00BD61E1"/>
    <w:rsid w:val="00BE0CB8"/>
    <w:rsid w:val="00BE11D2"/>
    <w:rsid w:val="00BE39D6"/>
    <w:rsid w:val="00BE3D62"/>
    <w:rsid w:val="00BE4FFD"/>
    <w:rsid w:val="00BE662B"/>
    <w:rsid w:val="00BE6730"/>
    <w:rsid w:val="00BF0D43"/>
    <w:rsid w:val="00BF1EA8"/>
    <w:rsid w:val="00BF39EF"/>
    <w:rsid w:val="00BF55CC"/>
    <w:rsid w:val="00BF61DE"/>
    <w:rsid w:val="00BF6C6F"/>
    <w:rsid w:val="00BF7F16"/>
    <w:rsid w:val="00C031DC"/>
    <w:rsid w:val="00C0474A"/>
    <w:rsid w:val="00C04B51"/>
    <w:rsid w:val="00C059D9"/>
    <w:rsid w:val="00C06638"/>
    <w:rsid w:val="00C0769F"/>
    <w:rsid w:val="00C07EDD"/>
    <w:rsid w:val="00C200EA"/>
    <w:rsid w:val="00C211D0"/>
    <w:rsid w:val="00C21368"/>
    <w:rsid w:val="00C216FC"/>
    <w:rsid w:val="00C21DBC"/>
    <w:rsid w:val="00C23B80"/>
    <w:rsid w:val="00C25902"/>
    <w:rsid w:val="00C27E34"/>
    <w:rsid w:val="00C303FD"/>
    <w:rsid w:val="00C350EB"/>
    <w:rsid w:val="00C357AB"/>
    <w:rsid w:val="00C361D1"/>
    <w:rsid w:val="00C37E73"/>
    <w:rsid w:val="00C37FC8"/>
    <w:rsid w:val="00C40511"/>
    <w:rsid w:val="00C41F2F"/>
    <w:rsid w:val="00C422A6"/>
    <w:rsid w:val="00C441EA"/>
    <w:rsid w:val="00C44C80"/>
    <w:rsid w:val="00C45186"/>
    <w:rsid w:val="00C46180"/>
    <w:rsid w:val="00C465B3"/>
    <w:rsid w:val="00C4790D"/>
    <w:rsid w:val="00C47931"/>
    <w:rsid w:val="00C50732"/>
    <w:rsid w:val="00C51EEB"/>
    <w:rsid w:val="00C52C7C"/>
    <w:rsid w:val="00C53A2C"/>
    <w:rsid w:val="00C55586"/>
    <w:rsid w:val="00C55DFF"/>
    <w:rsid w:val="00C56D50"/>
    <w:rsid w:val="00C602D9"/>
    <w:rsid w:val="00C60326"/>
    <w:rsid w:val="00C615A8"/>
    <w:rsid w:val="00C61A1A"/>
    <w:rsid w:val="00C61EE6"/>
    <w:rsid w:val="00C6778D"/>
    <w:rsid w:val="00C71DAF"/>
    <w:rsid w:val="00C72C78"/>
    <w:rsid w:val="00C730FB"/>
    <w:rsid w:val="00C73BD3"/>
    <w:rsid w:val="00C807E8"/>
    <w:rsid w:val="00C81CD8"/>
    <w:rsid w:val="00C82D53"/>
    <w:rsid w:val="00C86D77"/>
    <w:rsid w:val="00C870B2"/>
    <w:rsid w:val="00C8783C"/>
    <w:rsid w:val="00C9040D"/>
    <w:rsid w:val="00C90546"/>
    <w:rsid w:val="00C9221C"/>
    <w:rsid w:val="00C93F51"/>
    <w:rsid w:val="00C9402D"/>
    <w:rsid w:val="00C94551"/>
    <w:rsid w:val="00C9484A"/>
    <w:rsid w:val="00C950C1"/>
    <w:rsid w:val="00C95BE7"/>
    <w:rsid w:val="00C970C1"/>
    <w:rsid w:val="00CA29F3"/>
    <w:rsid w:val="00CA42DE"/>
    <w:rsid w:val="00CA4F63"/>
    <w:rsid w:val="00CA575B"/>
    <w:rsid w:val="00CB17E8"/>
    <w:rsid w:val="00CB4757"/>
    <w:rsid w:val="00CC4A44"/>
    <w:rsid w:val="00CD152F"/>
    <w:rsid w:val="00CD15C0"/>
    <w:rsid w:val="00CD1E79"/>
    <w:rsid w:val="00CD218D"/>
    <w:rsid w:val="00CD5C1D"/>
    <w:rsid w:val="00CD6DAF"/>
    <w:rsid w:val="00CE0ADD"/>
    <w:rsid w:val="00CE113A"/>
    <w:rsid w:val="00CE4BFB"/>
    <w:rsid w:val="00CE50F7"/>
    <w:rsid w:val="00CF1B0A"/>
    <w:rsid w:val="00CF25CA"/>
    <w:rsid w:val="00CF6416"/>
    <w:rsid w:val="00D00320"/>
    <w:rsid w:val="00D023CC"/>
    <w:rsid w:val="00D04607"/>
    <w:rsid w:val="00D04835"/>
    <w:rsid w:val="00D0611E"/>
    <w:rsid w:val="00D14306"/>
    <w:rsid w:val="00D1540C"/>
    <w:rsid w:val="00D15D3E"/>
    <w:rsid w:val="00D17652"/>
    <w:rsid w:val="00D2061A"/>
    <w:rsid w:val="00D207D5"/>
    <w:rsid w:val="00D25E18"/>
    <w:rsid w:val="00D26431"/>
    <w:rsid w:val="00D26D61"/>
    <w:rsid w:val="00D30F6F"/>
    <w:rsid w:val="00D30FA4"/>
    <w:rsid w:val="00D31F18"/>
    <w:rsid w:val="00D338A1"/>
    <w:rsid w:val="00D40898"/>
    <w:rsid w:val="00D41A49"/>
    <w:rsid w:val="00D43254"/>
    <w:rsid w:val="00D43961"/>
    <w:rsid w:val="00D44C41"/>
    <w:rsid w:val="00D45380"/>
    <w:rsid w:val="00D46593"/>
    <w:rsid w:val="00D46A79"/>
    <w:rsid w:val="00D470A0"/>
    <w:rsid w:val="00D521DB"/>
    <w:rsid w:val="00D54ADA"/>
    <w:rsid w:val="00D54BB6"/>
    <w:rsid w:val="00D551B3"/>
    <w:rsid w:val="00D5537E"/>
    <w:rsid w:val="00D57FF2"/>
    <w:rsid w:val="00D62408"/>
    <w:rsid w:val="00D65006"/>
    <w:rsid w:val="00D71837"/>
    <w:rsid w:val="00D72F37"/>
    <w:rsid w:val="00D7389E"/>
    <w:rsid w:val="00D75182"/>
    <w:rsid w:val="00D76412"/>
    <w:rsid w:val="00D77315"/>
    <w:rsid w:val="00D7790C"/>
    <w:rsid w:val="00D80345"/>
    <w:rsid w:val="00D82E40"/>
    <w:rsid w:val="00D84341"/>
    <w:rsid w:val="00D85355"/>
    <w:rsid w:val="00D85B1E"/>
    <w:rsid w:val="00D86C4E"/>
    <w:rsid w:val="00D86C86"/>
    <w:rsid w:val="00D90781"/>
    <w:rsid w:val="00D91AD7"/>
    <w:rsid w:val="00D94166"/>
    <w:rsid w:val="00D9561A"/>
    <w:rsid w:val="00D9594D"/>
    <w:rsid w:val="00DA0382"/>
    <w:rsid w:val="00DA67FC"/>
    <w:rsid w:val="00DB308A"/>
    <w:rsid w:val="00DB32FE"/>
    <w:rsid w:val="00DB3743"/>
    <w:rsid w:val="00DB37B5"/>
    <w:rsid w:val="00DB3BBB"/>
    <w:rsid w:val="00DB4372"/>
    <w:rsid w:val="00DB5DAC"/>
    <w:rsid w:val="00DB6B6C"/>
    <w:rsid w:val="00DC114C"/>
    <w:rsid w:val="00DC2D08"/>
    <w:rsid w:val="00DC34C2"/>
    <w:rsid w:val="00DC3EF7"/>
    <w:rsid w:val="00DC404C"/>
    <w:rsid w:val="00DC4779"/>
    <w:rsid w:val="00DC48E6"/>
    <w:rsid w:val="00DC5142"/>
    <w:rsid w:val="00DC6233"/>
    <w:rsid w:val="00DD1178"/>
    <w:rsid w:val="00DD1515"/>
    <w:rsid w:val="00DD1713"/>
    <w:rsid w:val="00DD201A"/>
    <w:rsid w:val="00DD226D"/>
    <w:rsid w:val="00DD43A9"/>
    <w:rsid w:val="00DD5CA8"/>
    <w:rsid w:val="00DD7603"/>
    <w:rsid w:val="00DE1696"/>
    <w:rsid w:val="00DE2664"/>
    <w:rsid w:val="00DE29FA"/>
    <w:rsid w:val="00DE2AC1"/>
    <w:rsid w:val="00DE33C8"/>
    <w:rsid w:val="00DE46DB"/>
    <w:rsid w:val="00DE6EC8"/>
    <w:rsid w:val="00DE7928"/>
    <w:rsid w:val="00DF0B6E"/>
    <w:rsid w:val="00DF1E0B"/>
    <w:rsid w:val="00DF22BC"/>
    <w:rsid w:val="00DF40DA"/>
    <w:rsid w:val="00DF42F5"/>
    <w:rsid w:val="00DF48AB"/>
    <w:rsid w:val="00DF568B"/>
    <w:rsid w:val="00DF579D"/>
    <w:rsid w:val="00DF6303"/>
    <w:rsid w:val="00E0083E"/>
    <w:rsid w:val="00E037BF"/>
    <w:rsid w:val="00E04DA7"/>
    <w:rsid w:val="00E05492"/>
    <w:rsid w:val="00E05832"/>
    <w:rsid w:val="00E0595C"/>
    <w:rsid w:val="00E078CB"/>
    <w:rsid w:val="00E1580C"/>
    <w:rsid w:val="00E1692F"/>
    <w:rsid w:val="00E171C2"/>
    <w:rsid w:val="00E31EFF"/>
    <w:rsid w:val="00E322F7"/>
    <w:rsid w:val="00E331E1"/>
    <w:rsid w:val="00E33FD4"/>
    <w:rsid w:val="00E35BA7"/>
    <w:rsid w:val="00E37656"/>
    <w:rsid w:val="00E40C88"/>
    <w:rsid w:val="00E41018"/>
    <w:rsid w:val="00E43171"/>
    <w:rsid w:val="00E43E51"/>
    <w:rsid w:val="00E4502C"/>
    <w:rsid w:val="00E452FE"/>
    <w:rsid w:val="00E47284"/>
    <w:rsid w:val="00E47926"/>
    <w:rsid w:val="00E51395"/>
    <w:rsid w:val="00E53B78"/>
    <w:rsid w:val="00E5664F"/>
    <w:rsid w:val="00E5749A"/>
    <w:rsid w:val="00E602E3"/>
    <w:rsid w:val="00E60543"/>
    <w:rsid w:val="00E61D89"/>
    <w:rsid w:val="00E61FEB"/>
    <w:rsid w:val="00E70504"/>
    <w:rsid w:val="00E707FB"/>
    <w:rsid w:val="00E73759"/>
    <w:rsid w:val="00E74767"/>
    <w:rsid w:val="00E74AA7"/>
    <w:rsid w:val="00E74EE2"/>
    <w:rsid w:val="00E775C6"/>
    <w:rsid w:val="00E80785"/>
    <w:rsid w:val="00E813CB"/>
    <w:rsid w:val="00E82475"/>
    <w:rsid w:val="00E84ADD"/>
    <w:rsid w:val="00E85F7A"/>
    <w:rsid w:val="00E87A50"/>
    <w:rsid w:val="00E913D3"/>
    <w:rsid w:val="00E9187C"/>
    <w:rsid w:val="00E91BF6"/>
    <w:rsid w:val="00E9421A"/>
    <w:rsid w:val="00EA03FB"/>
    <w:rsid w:val="00EA1358"/>
    <w:rsid w:val="00EA6FC3"/>
    <w:rsid w:val="00EB0644"/>
    <w:rsid w:val="00EB0673"/>
    <w:rsid w:val="00EB12A9"/>
    <w:rsid w:val="00EB15B1"/>
    <w:rsid w:val="00EB3305"/>
    <w:rsid w:val="00EB3E35"/>
    <w:rsid w:val="00EB44B5"/>
    <w:rsid w:val="00EB575A"/>
    <w:rsid w:val="00EB585D"/>
    <w:rsid w:val="00EC1CDF"/>
    <w:rsid w:val="00EC33E4"/>
    <w:rsid w:val="00EC4952"/>
    <w:rsid w:val="00EC76D9"/>
    <w:rsid w:val="00EC7AD7"/>
    <w:rsid w:val="00ED0D98"/>
    <w:rsid w:val="00ED3FB2"/>
    <w:rsid w:val="00ED68C2"/>
    <w:rsid w:val="00ED6F48"/>
    <w:rsid w:val="00ED7261"/>
    <w:rsid w:val="00EE0820"/>
    <w:rsid w:val="00EE3797"/>
    <w:rsid w:val="00EE3AB3"/>
    <w:rsid w:val="00EE516C"/>
    <w:rsid w:val="00EE62F3"/>
    <w:rsid w:val="00EE6F61"/>
    <w:rsid w:val="00EF0E4B"/>
    <w:rsid w:val="00EF3C4A"/>
    <w:rsid w:val="00EF41BF"/>
    <w:rsid w:val="00EF50F6"/>
    <w:rsid w:val="00EF528E"/>
    <w:rsid w:val="00EF61E7"/>
    <w:rsid w:val="00EF658A"/>
    <w:rsid w:val="00EF71AB"/>
    <w:rsid w:val="00F003C2"/>
    <w:rsid w:val="00F02B9E"/>
    <w:rsid w:val="00F03498"/>
    <w:rsid w:val="00F0708F"/>
    <w:rsid w:val="00F07B7B"/>
    <w:rsid w:val="00F10281"/>
    <w:rsid w:val="00F112C2"/>
    <w:rsid w:val="00F1141E"/>
    <w:rsid w:val="00F1147E"/>
    <w:rsid w:val="00F13ED2"/>
    <w:rsid w:val="00F143E5"/>
    <w:rsid w:val="00F14489"/>
    <w:rsid w:val="00F15BB9"/>
    <w:rsid w:val="00F164AC"/>
    <w:rsid w:val="00F21C9F"/>
    <w:rsid w:val="00F237C6"/>
    <w:rsid w:val="00F24367"/>
    <w:rsid w:val="00F27A9E"/>
    <w:rsid w:val="00F300E2"/>
    <w:rsid w:val="00F30CA4"/>
    <w:rsid w:val="00F30E17"/>
    <w:rsid w:val="00F32F24"/>
    <w:rsid w:val="00F417D1"/>
    <w:rsid w:val="00F427A3"/>
    <w:rsid w:val="00F43CE7"/>
    <w:rsid w:val="00F4531E"/>
    <w:rsid w:val="00F4731E"/>
    <w:rsid w:val="00F4771D"/>
    <w:rsid w:val="00F52BD0"/>
    <w:rsid w:val="00F53793"/>
    <w:rsid w:val="00F54625"/>
    <w:rsid w:val="00F54CA7"/>
    <w:rsid w:val="00F55242"/>
    <w:rsid w:val="00F63777"/>
    <w:rsid w:val="00F649CA"/>
    <w:rsid w:val="00F65236"/>
    <w:rsid w:val="00F660D0"/>
    <w:rsid w:val="00F673E5"/>
    <w:rsid w:val="00F674C0"/>
    <w:rsid w:val="00F70F8F"/>
    <w:rsid w:val="00F720D9"/>
    <w:rsid w:val="00F729FD"/>
    <w:rsid w:val="00F72B45"/>
    <w:rsid w:val="00F7574B"/>
    <w:rsid w:val="00F8155B"/>
    <w:rsid w:val="00F815B4"/>
    <w:rsid w:val="00F83886"/>
    <w:rsid w:val="00F9123C"/>
    <w:rsid w:val="00F9403E"/>
    <w:rsid w:val="00F9589C"/>
    <w:rsid w:val="00FA29C6"/>
    <w:rsid w:val="00FA426D"/>
    <w:rsid w:val="00FA4E9D"/>
    <w:rsid w:val="00FA72A1"/>
    <w:rsid w:val="00FA7714"/>
    <w:rsid w:val="00FA7AE7"/>
    <w:rsid w:val="00FB10B2"/>
    <w:rsid w:val="00FB4201"/>
    <w:rsid w:val="00FB4CEB"/>
    <w:rsid w:val="00FB6329"/>
    <w:rsid w:val="00FC3383"/>
    <w:rsid w:val="00FC394E"/>
    <w:rsid w:val="00FD0005"/>
    <w:rsid w:val="00FD0B8F"/>
    <w:rsid w:val="00FD1C06"/>
    <w:rsid w:val="00FD4959"/>
    <w:rsid w:val="00FD5942"/>
    <w:rsid w:val="00FD5C60"/>
    <w:rsid w:val="00FD5C83"/>
    <w:rsid w:val="00FD6751"/>
    <w:rsid w:val="00FD79A6"/>
    <w:rsid w:val="00FE1536"/>
    <w:rsid w:val="00FE1EB8"/>
    <w:rsid w:val="00FE3155"/>
    <w:rsid w:val="00FE33EE"/>
    <w:rsid w:val="00FF336D"/>
    <w:rsid w:val="00FF361A"/>
    <w:rsid w:val="00FF58B3"/>
    <w:rsid w:val="00FF5AC5"/>
    <w:rsid w:val="00FF6A7D"/>
    <w:rsid w:val="00FF6B1F"/>
    <w:rsid w:val="00FF7169"/>
    <w:rsid w:val="00FF73C5"/>
    <w:rsid w:val="2668BEAC"/>
    <w:rsid w:val="5542A1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A96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75"/>
    <w:pPr>
      <w:tabs>
        <w:tab w:val="right" w:pos="5040"/>
      </w:tabs>
      <w:overflowPunct w:val="0"/>
      <w:autoSpaceDE w:val="0"/>
      <w:autoSpaceDN w:val="0"/>
      <w:adjustRightInd w:val="0"/>
      <w:textAlignment w:val="baseline"/>
    </w:pPr>
    <w:rPr>
      <w:sz w:val="26"/>
      <w:lang w:eastAsia="en-US"/>
    </w:rPr>
  </w:style>
  <w:style w:type="paragraph" w:styleId="Heading1">
    <w:name w:val="heading 1"/>
    <w:basedOn w:val="BodyText"/>
    <w:next w:val="BodyText"/>
    <w:link w:val="Heading1Char"/>
    <w:qFormat/>
    <w:rsid w:val="003123FE"/>
    <w:pPr>
      <w:keepNext/>
      <w:keepLines/>
      <w:numPr>
        <w:numId w:val="1"/>
      </w:numPr>
      <w:spacing w:before="120" w:after="120" w:line="240" w:lineRule="auto"/>
      <w:ind w:right="720"/>
      <w:outlineLvl w:val="0"/>
    </w:pPr>
    <w:rPr>
      <w:b/>
      <w:bCs/>
      <w:kern w:val="28"/>
      <w:szCs w:val="26"/>
    </w:rPr>
  </w:style>
  <w:style w:type="paragraph" w:styleId="Heading2">
    <w:name w:val="heading 2"/>
    <w:basedOn w:val="BodyText"/>
    <w:next w:val="BodyText"/>
    <w:link w:val="Heading2Char"/>
    <w:uiPriority w:val="99"/>
    <w:qFormat/>
    <w:pPr>
      <w:keepNext/>
      <w:numPr>
        <w:ilvl w:val="1"/>
        <w:numId w:val="1"/>
      </w:numPr>
      <w:spacing w:before="120" w:after="120" w:line="240" w:lineRule="auto"/>
      <w:ind w:right="1440"/>
      <w:outlineLvl w:val="1"/>
    </w:pPr>
    <w:rPr>
      <w:b/>
    </w:rPr>
  </w:style>
  <w:style w:type="paragraph" w:styleId="Heading3">
    <w:name w:val="heading 3"/>
    <w:basedOn w:val="Heading4"/>
    <w:next w:val="BodyText"/>
    <w:link w:val="Heading3Char"/>
    <w:qFormat/>
    <w:rsid w:val="00527085"/>
    <w:pPr>
      <w:numPr>
        <w:ilvl w:val="0"/>
        <w:numId w:val="0"/>
      </w:numPr>
      <w:outlineLvl w:val="2"/>
    </w:pPr>
  </w:style>
  <w:style w:type="paragraph" w:styleId="Heading4">
    <w:name w:val="heading 4"/>
    <w:basedOn w:val="BodyText"/>
    <w:next w:val="BodyText"/>
    <w:link w:val="Heading4Char"/>
    <w:autoRedefine/>
    <w:qFormat/>
    <w:pPr>
      <w:keepNext/>
      <w:numPr>
        <w:ilvl w:val="3"/>
        <w:numId w:val="1"/>
      </w:numPr>
      <w:overflowPunct/>
      <w:autoSpaceDE/>
      <w:autoSpaceDN/>
      <w:adjustRightInd/>
      <w:spacing w:before="120" w:after="120" w:line="240" w:lineRule="auto"/>
      <w:textAlignment w:val="auto"/>
      <w:outlineLvl w:val="3"/>
    </w:pPr>
    <w:rPr>
      <w:b/>
    </w:rPr>
  </w:style>
  <w:style w:type="paragraph" w:styleId="Heading5">
    <w:name w:val="heading 5"/>
    <w:basedOn w:val="Normal"/>
    <w:next w:val="Normal"/>
    <w:link w:val="Heading5Char"/>
    <w:autoRedefine/>
    <w:qFormat/>
    <w:pPr>
      <w:numPr>
        <w:ilvl w:val="4"/>
        <w:numId w:val="1"/>
      </w:numPr>
      <w:spacing w:before="120" w:after="120"/>
      <w:outlineLvl w:val="4"/>
    </w:pPr>
    <w:rPr>
      <w:b/>
    </w:rPr>
  </w:style>
  <w:style w:type="paragraph" w:styleId="Heading6">
    <w:name w:val="heading 6"/>
    <w:basedOn w:val="Normal"/>
    <w:next w:val="Normal"/>
    <w:link w:val="Heading6Char"/>
    <w:autoRedefine/>
    <w:qFormat/>
    <w:rsid w:val="00E82475"/>
    <w:pPr>
      <w:keepNext/>
      <w:numPr>
        <w:numId w:val="6"/>
      </w:numPr>
      <w:tabs>
        <w:tab w:val="clear" w:pos="5040"/>
        <w:tab w:val="left" w:pos="1260"/>
      </w:tabs>
      <w:overflowPunct/>
      <w:autoSpaceDE/>
      <w:autoSpaceDN/>
      <w:adjustRightInd/>
      <w:spacing w:before="120" w:after="120"/>
      <w:ind w:left="1260" w:hanging="540"/>
      <w:textAlignment w:val="auto"/>
      <w:outlineLvl w:val="5"/>
    </w:pPr>
    <w:rPr>
      <w:b/>
    </w:rPr>
  </w:style>
  <w:style w:type="paragraph" w:styleId="Heading7">
    <w:name w:val="heading 7"/>
    <w:basedOn w:val="Normal"/>
    <w:next w:val="Normal"/>
    <w:link w:val="Heading7Char"/>
    <w:autoRedefine/>
    <w:qFormat/>
    <w:pPr>
      <w:numPr>
        <w:ilvl w:val="6"/>
        <w:numId w:val="1"/>
      </w:numPr>
      <w:spacing w:before="240" w:after="60"/>
      <w:outlineLvl w:val="6"/>
    </w:pPr>
    <w:rPr>
      <w:b/>
    </w:rPr>
  </w:style>
  <w:style w:type="paragraph" w:styleId="Heading8">
    <w:name w:val="heading 8"/>
    <w:basedOn w:val="Normal"/>
    <w:next w:val="Normal"/>
    <w:link w:val="Heading8Char"/>
    <w:autoRedefine/>
    <w:qFormat/>
    <w:pPr>
      <w:numPr>
        <w:ilvl w:val="7"/>
        <w:numId w:val="1"/>
      </w:numPr>
      <w:spacing w:before="240" w:after="60"/>
      <w:outlineLvl w:val="7"/>
    </w:pPr>
    <w:rPr>
      <w:b/>
    </w:rPr>
  </w:style>
  <w:style w:type="paragraph" w:styleId="Heading9">
    <w:name w:val="heading 9"/>
    <w:basedOn w:val="Normal"/>
    <w:next w:val="Normal"/>
    <w:link w:val="Heading9Char"/>
    <w:autoRedefine/>
    <w:qFormat/>
    <w:pPr>
      <w:numPr>
        <w:ilvl w:val="8"/>
        <w:numId w:val="1"/>
      </w:numPr>
      <w:spacing w:before="24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pPr>
      <w:overflowPunct w:val="0"/>
      <w:autoSpaceDE w:val="0"/>
      <w:autoSpaceDN w:val="0"/>
      <w:adjustRightInd w:val="0"/>
      <w:spacing w:line="360" w:lineRule="auto"/>
      <w:ind w:firstLine="720"/>
      <w:textAlignment w:val="baseline"/>
    </w:pPr>
    <w:rPr>
      <w:sz w:val="26"/>
      <w:lang w:eastAsia="en-US"/>
    </w:rPr>
  </w:style>
  <w:style w:type="character" w:customStyle="1" w:styleId="BodyTextChar">
    <w:name w:val="Body Text Char"/>
    <w:link w:val="BodyText"/>
    <w:rPr>
      <w:sz w:val="26"/>
      <w:lang w:val="en-US" w:eastAsia="en-US" w:bidi="ar-SA"/>
    </w:rPr>
  </w:style>
  <w:style w:type="paragraph" w:styleId="FootnoteText">
    <w:name w:val="footnote text"/>
    <w:aliases w:val="Char,Footnote Text Char Char,Footnote Text Char2 Char,Footnote Text Char Char Char,Footnote Text Char2 Char Char Char,Footnote Text Char Char Char Char Char,Footnote Text Char2 Char Char Char Char1 Char,fn,Car,ft Char,fn "/>
    <w:basedOn w:val="Normal"/>
    <w:link w:val="FootnoteTextChar1"/>
    <w:qFormat/>
    <w:pPr>
      <w:widowControl w:val="0"/>
      <w:spacing w:after="120" w:line="240" w:lineRule="exact"/>
    </w:pPr>
    <w:rPr>
      <w:sz w:val="22"/>
    </w:rPr>
  </w:style>
  <w:style w:type="character" w:styleId="FootnoteReference">
    <w:name w:val="footnote reference"/>
    <w:aliases w:val="o,fr,o1,o2,o3,o4,o5,o6,o11,o21,o7,Style 3,o + Times New Roman,Style 12,(NECG) Footnote Reference,Appel note de bas de p,Style 124,Style 17,Style 20,Style 13,fr1,fr2,fr3,Style 58,Footnote,Style 8,Footnote Reference1"/>
    <w:rPr>
      <w:b/>
      <w:sz w:val="32"/>
      <w:u w:val="single"/>
      <w:vertAlign w:val="superscript"/>
    </w:rPr>
  </w:style>
  <w:style w:type="paragraph" w:styleId="Footer">
    <w:name w:val="footer"/>
    <w:basedOn w:val="Normal"/>
    <w:link w:val="FooterChar"/>
    <w:uiPriority w:val="99"/>
    <w:pPr>
      <w:tabs>
        <w:tab w:val="center" w:pos="4320"/>
        <w:tab w:val="right" w:pos="8640"/>
      </w:tabs>
    </w:pPr>
  </w:style>
  <w:style w:type="paragraph" w:styleId="TOC1">
    <w:name w:val="toc 1"/>
    <w:basedOn w:val="Normal"/>
    <w:next w:val="Normal"/>
    <w:autoRedefine/>
    <w:semiHidden/>
    <w:pPr>
      <w:keepNext/>
      <w:tabs>
        <w:tab w:val="clear" w:pos="5040"/>
        <w:tab w:val="right" w:leader="dot" w:pos="8640"/>
      </w:tabs>
      <w:suppressAutoHyphens/>
      <w:spacing w:before="120" w:after="120"/>
      <w:ind w:left="720" w:right="1440" w:hanging="720"/>
    </w:pPr>
    <w:rPr>
      <w:caps/>
      <w:noProof/>
      <w:sz w:val="24"/>
    </w:rPr>
  </w:style>
  <w:style w:type="paragraph" w:styleId="TOC2">
    <w:name w:val="toc 2"/>
    <w:basedOn w:val="Normal"/>
    <w:next w:val="Normal"/>
    <w:autoRedefine/>
    <w:semiHidden/>
    <w:pPr>
      <w:tabs>
        <w:tab w:val="clear" w:pos="5040"/>
        <w:tab w:val="right" w:leader="dot" w:pos="8640"/>
      </w:tabs>
      <w:suppressAutoHyphens/>
      <w:spacing w:after="120"/>
      <w:ind w:left="720" w:right="1440" w:hanging="288"/>
    </w:pPr>
    <w:rPr>
      <w:smallCaps/>
      <w:noProof/>
      <w:sz w:val="24"/>
    </w:rPr>
  </w:style>
  <w:style w:type="paragraph" w:styleId="TOC3">
    <w:name w:val="toc 3"/>
    <w:basedOn w:val="Normal"/>
    <w:next w:val="Normal"/>
    <w:autoRedefine/>
    <w:semiHidden/>
    <w:pPr>
      <w:tabs>
        <w:tab w:val="clear" w:pos="5040"/>
        <w:tab w:val="right" w:leader="dot" w:pos="8640"/>
      </w:tabs>
      <w:spacing w:after="120"/>
      <w:ind w:left="1109" w:right="1440" w:hanging="245"/>
    </w:pPr>
    <w:rPr>
      <w:noProof/>
      <w:sz w:val="24"/>
    </w:rPr>
  </w:style>
  <w:style w:type="paragraph" w:styleId="TOC4">
    <w:name w:val="toc 4"/>
    <w:basedOn w:val="Normal"/>
    <w:next w:val="Normal"/>
    <w:autoRedefine/>
    <w:semiHidden/>
    <w:pPr>
      <w:widowControl w:val="0"/>
      <w:tabs>
        <w:tab w:val="clear" w:pos="5040"/>
        <w:tab w:val="right" w:leader="dot" w:pos="8640"/>
      </w:tabs>
      <w:spacing w:after="120"/>
      <w:ind w:left="1627" w:right="1440" w:hanging="360"/>
    </w:pPr>
    <w:rPr>
      <w:sz w:val="24"/>
    </w:rPr>
  </w:style>
  <w:style w:type="paragraph" w:styleId="TOC5">
    <w:name w:val="toc 5"/>
    <w:basedOn w:val="Normal"/>
    <w:next w:val="Normal"/>
    <w:autoRedefine/>
    <w:semiHidden/>
    <w:pPr>
      <w:tabs>
        <w:tab w:val="clear" w:pos="5040"/>
        <w:tab w:val="right" w:leader="dot" w:pos="8640"/>
      </w:tabs>
      <w:spacing w:after="120"/>
      <w:ind w:left="1980" w:right="1440" w:hanging="360"/>
    </w:pPr>
    <w:rPr>
      <w:sz w:val="24"/>
    </w:rPr>
  </w:style>
  <w:style w:type="paragraph" w:styleId="TOC6">
    <w:name w:val="toc 6"/>
    <w:basedOn w:val="Normal"/>
    <w:next w:val="Normal"/>
    <w:autoRedefine/>
    <w:semiHidden/>
    <w:pPr>
      <w:tabs>
        <w:tab w:val="clear" w:pos="5040"/>
        <w:tab w:val="right" w:leader="dot" w:pos="8640"/>
      </w:tabs>
      <w:spacing w:after="120"/>
      <w:ind w:left="2333" w:right="1440" w:hanging="331"/>
    </w:pPr>
    <w:rPr>
      <w:sz w:val="24"/>
    </w:rPr>
  </w:style>
  <w:style w:type="paragraph" w:styleId="TOC7">
    <w:name w:val="toc 7"/>
    <w:basedOn w:val="Normal"/>
    <w:next w:val="Normal"/>
    <w:autoRedefine/>
    <w:semiHidden/>
    <w:pPr>
      <w:tabs>
        <w:tab w:val="clear" w:pos="5040"/>
        <w:tab w:val="right" w:leader="dot" w:pos="8640"/>
      </w:tabs>
      <w:spacing w:after="120"/>
      <w:ind w:left="2707" w:right="1440" w:hanging="360"/>
    </w:pPr>
    <w:rPr>
      <w:sz w:val="24"/>
    </w:rPr>
  </w:style>
  <w:style w:type="paragraph" w:styleId="TOC8">
    <w:name w:val="toc 8"/>
    <w:basedOn w:val="Normal"/>
    <w:next w:val="Normal"/>
    <w:autoRedefine/>
    <w:semiHidden/>
    <w:pPr>
      <w:tabs>
        <w:tab w:val="clear" w:pos="5040"/>
        <w:tab w:val="right" w:leader="dot" w:pos="8640"/>
      </w:tabs>
      <w:spacing w:after="120"/>
      <w:ind w:left="3067" w:right="1440" w:hanging="360"/>
    </w:pPr>
    <w:rPr>
      <w:sz w:val="24"/>
    </w:rPr>
  </w:style>
  <w:style w:type="paragraph" w:styleId="TOC9">
    <w:name w:val="toc 9"/>
    <w:basedOn w:val="Normal"/>
    <w:next w:val="Normal"/>
    <w:autoRedefine/>
    <w:semiHidden/>
    <w:pPr>
      <w:tabs>
        <w:tab w:val="clear" w:pos="5040"/>
        <w:tab w:val="right" w:leader="dot" w:pos="8640"/>
      </w:tabs>
      <w:spacing w:after="120"/>
      <w:ind w:left="3427" w:right="1440" w:hanging="360"/>
    </w:pPr>
    <w:rPr>
      <w:sz w:val="24"/>
    </w:rPr>
  </w:style>
  <w:style w:type="paragraph" w:customStyle="1" w:styleId="Quotation">
    <w:name w:val="Quotation"/>
    <w:basedOn w:val="BodyText"/>
    <w:next w:val="BodyText"/>
    <w:link w:val="QuotationChar"/>
    <w:pPr>
      <w:spacing w:after="120" w:line="240" w:lineRule="auto"/>
      <w:ind w:left="1440" w:right="1440" w:firstLine="0"/>
    </w:pPr>
  </w:style>
  <w:style w:type="paragraph" w:styleId="Header">
    <w:name w:val="header"/>
    <w:basedOn w:val="Normal"/>
    <w:link w:val="HeaderChar"/>
    <w:pPr>
      <w:tabs>
        <w:tab w:val="clear" w:pos="5040"/>
        <w:tab w:val="center" w:pos="4320"/>
        <w:tab w:val="right" w:pos="8640"/>
      </w:tabs>
      <w:overflowPunct/>
      <w:autoSpaceDE/>
      <w:autoSpaceDN/>
      <w:adjustRightInd/>
      <w:textAlignment w:val="auto"/>
    </w:pPr>
    <w:rPr>
      <w:sz w:val="20"/>
    </w:rPr>
  </w:style>
  <w:style w:type="paragraph" w:styleId="TOAHeading">
    <w:name w:val="toa heading"/>
    <w:basedOn w:val="Normal"/>
    <w:next w:val="Normal"/>
    <w:semiHidden/>
    <w:pPr>
      <w:spacing w:before="240" w:after="120"/>
    </w:pPr>
    <w:rPr>
      <w:b/>
      <w:smallCaps/>
    </w:rPr>
  </w:style>
  <w:style w:type="paragraph" w:customStyle="1" w:styleId="BriefHeading">
    <w:name w:val="Brief Heading"/>
    <w:basedOn w:val="Normal"/>
    <w:pPr>
      <w:jc w:val="center"/>
    </w:pPr>
    <w:rPr>
      <w:smallCaps/>
      <w:sz w:val="28"/>
    </w:rPr>
  </w:style>
  <w:style w:type="character" w:styleId="PageNumber">
    <w:name w:val="page number"/>
    <w:basedOn w:val="DefaultParagraphFont"/>
  </w:style>
  <w:style w:type="paragraph" w:styleId="Caption">
    <w:name w:val="caption"/>
    <w:basedOn w:val="BodyText"/>
    <w:qFormat/>
    <w:pPr>
      <w:tabs>
        <w:tab w:val="left" w:pos="4320"/>
        <w:tab w:val="left" w:pos="5040"/>
      </w:tabs>
      <w:spacing w:line="240" w:lineRule="auto"/>
      <w:ind w:firstLine="0"/>
    </w:pPr>
  </w:style>
  <w:style w:type="paragraph" w:customStyle="1" w:styleId="BriefTitle">
    <w:name w:val="Brief Title"/>
    <w:basedOn w:val="Normal"/>
    <w:pPr>
      <w:jc w:val="center"/>
    </w:pPr>
    <w:rPr>
      <w:b/>
      <w:caps/>
    </w:rPr>
  </w:style>
  <w:style w:type="paragraph" w:customStyle="1" w:styleId="BodyText10">
    <w:name w:val="Body Text 10"/>
    <w:basedOn w:val="BodyText"/>
    <w:pPr>
      <w:overflowPunct/>
      <w:autoSpaceDE/>
      <w:autoSpaceDN/>
      <w:adjustRightInd/>
      <w:ind w:firstLine="1296"/>
      <w:textAlignment w:val="auto"/>
    </w:pPr>
  </w:style>
  <w:style w:type="paragraph" w:customStyle="1" w:styleId="BodyText6">
    <w:name w:val="Body Text 6"/>
    <w:basedOn w:val="BodyText"/>
    <w:autoRedefine/>
    <w:pPr>
      <w:numPr>
        <w:numId w:val="2"/>
      </w:numPr>
      <w:tabs>
        <w:tab w:val="clear" w:pos="1584"/>
        <w:tab w:val="left" w:pos="1620"/>
      </w:tabs>
      <w:overflowPunct/>
      <w:autoSpaceDE/>
      <w:autoSpaceDN/>
      <w:adjustRightInd/>
      <w:ind w:left="0" w:firstLine="1224"/>
      <w:textAlignment w:val="auto"/>
    </w:pPr>
  </w:style>
  <w:style w:type="paragraph" w:styleId="BodyText3">
    <w:name w:val="Body Text 3"/>
    <w:basedOn w:val="Normal"/>
    <w:link w:val="BodyText3Char"/>
    <w:pPr>
      <w:spacing w:after="120"/>
    </w:pPr>
    <w:rPr>
      <w:sz w:val="16"/>
      <w:szCs w:val="16"/>
    </w:rPr>
  </w:style>
  <w:style w:type="character" w:styleId="Hyperlink">
    <w:name w:val="Hyperlink"/>
    <w:rPr>
      <w:color w:val="0000FF"/>
      <w:u w:val="single"/>
    </w:rPr>
  </w:style>
  <w:style w:type="table" w:styleId="TableGrid">
    <w:name w:val="Table Grid"/>
    <w:basedOn w:val="TableNormal"/>
    <w:pPr>
      <w:tabs>
        <w:tab w:val="right" w:pos="5040"/>
      </w:tab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basedOn w:val="Normal"/>
    <w:link w:val="standardChar"/>
    <w:pPr>
      <w:tabs>
        <w:tab w:val="clear" w:pos="5040"/>
      </w:tabs>
      <w:overflowPunct/>
      <w:autoSpaceDE/>
      <w:autoSpaceDN/>
      <w:adjustRightInd/>
      <w:spacing w:line="360" w:lineRule="auto"/>
      <w:ind w:firstLine="720"/>
      <w:textAlignment w:val="auto"/>
    </w:pPr>
    <w:rPr>
      <w:rFonts w:ascii="Palatino" w:hAnsi="Palatino"/>
    </w:rPr>
  </w:style>
  <w:style w:type="character" w:customStyle="1" w:styleId="standardChar">
    <w:name w:val="standard Char"/>
    <w:link w:val="standard"/>
    <w:locked/>
    <w:rPr>
      <w:rFonts w:ascii="Palatino" w:hAnsi="Palatino"/>
      <w:sz w:val="26"/>
      <w:lang w:val="en-US" w:eastAsia="en-US" w:bidi="ar-SA"/>
    </w:rPr>
  </w:style>
  <w:style w:type="character" w:customStyle="1" w:styleId="FootnoteTextChar1">
    <w:name w:val="Footnote Text Char1"/>
    <w:aliases w:val="Char Char1,Footnote Text Char Char Char2,Footnote Text Char2 Char Char1,Footnote Text Char Char Char Char1,Footnote Text Char2 Char Char Char Char1,Footnote Text Char Char Char Char Char Char1,fn Char1,Car Char1,ft Char Char,fn  Char"/>
    <w:link w:val="FootnoteText"/>
    <w:uiPriority w:val="99"/>
    <w:locked/>
    <w:rPr>
      <w:sz w:val="22"/>
      <w:lang w:val="en-US" w:eastAsia="en-US" w:bidi="ar-SA"/>
    </w:rPr>
  </w:style>
  <w:style w:type="paragraph" w:styleId="BalloonText">
    <w:name w:val="Balloon Text"/>
    <w:basedOn w:val="Normal"/>
    <w:link w:val="BalloonTextChar"/>
    <w:semiHidden/>
    <w:rsid w:val="0063129B"/>
    <w:rPr>
      <w:rFonts w:ascii="Tahoma" w:hAnsi="Tahoma" w:cs="Tahoma"/>
      <w:sz w:val="16"/>
      <w:szCs w:val="16"/>
    </w:rPr>
  </w:style>
  <w:style w:type="paragraph" w:styleId="BodyTextIndent">
    <w:name w:val="Body Text Indent"/>
    <w:basedOn w:val="Normal"/>
    <w:link w:val="BodyTextIndentChar"/>
    <w:rsid w:val="009E2B47"/>
    <w:pPr>
      <w:tabs>
        <w:tab w:val="clear" w:pos="5040"/>
      </w:tabs>
      <w:overflowPunct/>
      <w:autoSpaceDE/>
      <w:autoSpaceDN/>
      <w:adjustRightInd/>
      <w:spacing w:after="120"/>
      <w:ind w:left="360"/>
      <w:textAlignment w:val="auto"/>
    </w:pPr>
    <w:rPr>
      <w:sz w:val="20"/>
    </w:rPr>
  </w:style>
  <w:style w:type="character" w:customStyle="1" w:styleId="BodyTextIndentChar">
    <w:name w:val="Body Text Indent Char"/>
    <w:link w:val="BodyTextIndent"/>
    <w:semiHidden/>
    <w:locked/>
    <w:rsid w:val="009E2B47"/>
    <w:rPr>
      <w:lang w:val="en-US" w:eastAsia="en-US" w:bidi="ar-SA"/>
    </w:rPr>
  </w:style>
  <w:style w:type="character" w:customStyle="1" w:styleId="FootnoteTextChar">
    <w:name w:val="Footnote Text Char"/>
    <w:aliases w:val="Char Char,Footnote Text Char1 Char,Footnote Text Char Char Char1,Footnote Text Char2 Char Char,Footnote Text Char Char Char Char,Footnote Text Char2 Char Char Char Char,Footnote Text Char Char Char Char Char Char,fn Char,Car Char"/>
    <w:uiPriority w:val="99"/>
    <w:locked/>
    <w:rsid w:val="009E2B47"/>
    <w:rPr>
      <w:rFonts w:cs="Times New Roman"/>
      <w:sz w:val="20"/>
      <w:szCs w:val="20"/>
    </w:rPr>
  </w:style>
  <w:style w:type="character" w:customStyle="1" w:styleId="Heading1Char">
    <w:name w:val="Heading 1 Char"/>
    <w:link w:val="Heading1"/>
    <w:locked/>
    <w:rsid w:val="003123FE"/>
    <w:rPr>
      <w:b/>
      <w:bCs/>
      <w:kern w:val="28"/>
      <w:sz w:val="26"/>
      <w:szCs w:val="26"/>
      <w:lang w:eastAsia="en-US"/>
    </w:rPr>
  </w:style>
  <w:style w:type="character" w:customStyle="1" w:styleId="QuotationChar">
    <w:name w:val="Quotation Char"/>
    <w:link w:val="Quotation"/>
    <w:rsid w:val="001F54E1"/>
    <w:rPr>
      <w:sz w:val="26"/>
    </w:rPr>
  </w:style>
  <w:style w:type="character" w:customStyle="1" w:styleId="FooterChar">
    <w:name w:val="Footer Char"/>
    <w:link w:val="Footer"/>
    <w:uiPriority w:val="99"/>
    <w:rsid w:val="00C51EEB"/>
    <w:rPr>
      <w:sz w:val="26"/>
    </w:rPr>
  </w:style>
  <w:style w:type="paragraph" w:styleId="EndnoteText">
    <w:name w:val="endnote text"/>
    <w:basedOn w:val="Normal"/>
    <w:link w:val="EndnoteTextChar"/>
    <w:rsid w:val="00E33FD4"/>
    <w:rPr>
      <w:sz w:val="20"/>
    </w:rPr>
  </w:style>
  <w:style w:type="character" w:customStyle="1" w:styleId="EndnoteTextChar">
    <w:name w:val="Endnote Text Char"/>
    <w:basedOn w:val="DefaultParagraphFont"/>
    <w:link w:val="EndnoteText"/>
    <w:rsid w:val="00E33FD4"/>
  </w:style>
  <w:style w:type="character" w:styleId="EndnoteReference">
    <w:name w:val="endnote reference"/>
    <w:rsid w:val="00E33FD4"/>
    <w:rPr>
      <w:vertAlign w:val="superscript"/>
    </w:rPr>
  </w:style>
  <w:style w:type="paragraph" w:styleId="ListParagraph">
    <w:name w:val="List Paragraph"/>
    <w:basedOn w:val="Normal"/>
    <w:qFormat/>
    <w:rsid w:val="000C69C3"/>
    <w:pPr>
      <w:tabs>
        <w:tab w:val="clear" w:pos="5040"/>
      </w:tabs>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Quote1">
    <w:name w:val="Quote1"/>
    <w:basedOn w:val="standard"/>
    <w:next w:val="standard"/>
    <w:rsid w:val="006D042F"/>
    <w:pPr>
      <w:spacing w:before="120" w:after="240" w:line="240" w:lineRule="auto"/>
      <w:ind w:left="720" w:right="720" w:firstLine="0"/>
    </w:pPr>
  </w:style>
  <w:style w:type="character" w:styleId="CommentReference">
    <w:name w:val="annotation reference"/>
    <w:rsid w:val="004C7D98"/>
    <w:rPr>
      <w:sz w:val="16"/>
      <w:szCs w:val="16"/>
    </w:rPr>
  </w:style>
  <w:style w:type="paragraph" w:styleId="CommentText">
    <w:name w:val="annotation text"/>
    <w:basedOn w:val="Normal"/>
    <w:link w:val="CommentTextChar"/>
    <w:rsid w:val="004C7D98"/>
    <w:pPr>
      <w:tabs>
        <w:tab w:val="clear" w:pos="5040"/>
      </w:tabs>
      <w:overflowPunct/>
      <w:autoSpaceDE/>
      <w:autoSpaceDN/>
      <w:adjustRightInd/>
      <w:textAlignment w:val="auto"/>
    </w:pPr>
    <w:rPr>
      <w:sz w:val="20"/>
    </w:rPr>
  </w:style>
  <w:style w:type="character" w:customStyle="1" w:styleId="CommentTextChar">
    <w:name w:val="Comment Text Char"/>
    <w:basedOn w:val="DefaultParagraphFont"/>
    <w:link w:val="CommentText"/>
    <w:rsid w:val="004C7D98"/>
  </w:style>
  <w:style w:type="character" w:customStyle="1" w:styleId="Heading2Char">
    <w:name w:val="Heading 2 Char"/>
    <w:link w:val="Heading2"/>
    <w:uiPriority w:val="99"/>
    <w:locked/>
    <w:rsid w:val="0008066D"/>
    <w:rPr>
      <w:b/>
      <w:sz w:val="26"/>
      <w:lang w:eastAsia="en-US"/>
    </w:rPr>
  </w:style>
  <w:style w:type="character" w:customStyle="1" w:styleId="Heading3Char">
    <w:name w:val="Heading 3 Char"/>
    <w:link w:val="Heading3"/>
    <w:locked/>
    <w:rsid w:val="00527085"/>
    <w:rPr>
      <w:b/>
      <w:sz w:val="26"/>
      <w:lang w:eastAsia="en-US"/>
    </w:rPr>
  </w:style>
  <w:style w:type="character" w:customStyle="1" w:styleId="Heading4Char">
    <w:name w:val="Heading 4 Char"/>
    <w:link w:val="Heading4"/>
    <w:locked/>
    <w:rsid w:val="0008066D"/>
    <w:rPr>
      <w:b/>
      <w:sz w:val="26"/>
      <w:lang w:eastAsia="en-US"/>
    </w:rPr>
  </w:style>
  <w:style w:type="character" w:customStyle="1" w:styleId="Heading5Char">
    <w:name w:val="Heading 5 Char"/>
    <w:link w:val="Heading5"/>
    <w:locked/>
    <w:rsid w:val="0008066D"/>
    <w:rPr>
      <w:b/>
      <w:sz w:val="26"/>
      <w:lang w:eastAsia="en-US"/>
    </w:rPr>
  </w:style>
  <w:style w:type="character" w:customStyle="1" w:styleId="Heading6Char">
    <w:name w:val="Heading 6 Char"/>
    <w:link w:val="Heading6"/>
    <w:locked/>
    <w:rsid w:val="00E82475"/>
    <w:rPr>
      <w:b/>
      <w:sz w:val="26"/>
      <w:lang w:eastAsia="en-US"/>
    </w:rPr>
  </w:style>
  <w:style w:type="character" w:customStyle="1" w:styleId="Heading7Char">
    <w:name w:val="Heading 7 Char"/>
    <w:link w:val="Heading7"/>
    <w:locked/>
    <w:rsid w:val="0008066D"/>
    <w:rPr>
      <w:b/>
      <w:sz w:val="26"/>
      <w:lang w:eastAsia="en-US"/>
    </w:rPr>
  </w:style>
  <w:style w:type="character" w:customStyle="1" w:styleId="Heading8Char">
    <w:name w:val="Heading 8 Char"/>
    <w:link w:val="Heading8"/>
    <w:locked/>
    <w:rsid w:val="0008066D"/>
    <w:rPr>
      <w:b/>
      <w:sz w:val="26"/>
      <w:lang w:eastAsia="en-US"/>
    </w:rPr>
  </w:style>
  <w:style w:type="character" w:customStyle="1" w:styleId="Heading9Char">
    <w:name w:val="Heading 9 Char"/>
    <w:link w:val="Heading9"/>
    <w:locked/>
    <w:rsid w:val="0008066D"/>
    <w:rPr>
      <w:b/>
      <w:sz w:val="26"/>
      <w:lang w:eastAsia="en-US"/>
    </w:rPr>
  </w:style>
  <w:style w:type="character" w:customStyle="1" w:styleId="HeaderChar">
    <w:name w:val="Header Char"/>
    <w:link w:val="Header"/>
    <w:locked/>
    <w:rsid w:val="0008066D"/>
  </w:style>
  <w:style w:type="character" w:customStyle="1" w:styleId="BodyText3Char">
    <w:name w:val="Body Text 3 Char"/>
    <w:link w:val="BodyText3"/>
    <w:locked/>
    <w:rsid w:val="0008066D"/>
    <w:rPr>
      <w:sz w:val="16"/>
      <w:szCs w:val="16"/>
    </w:rPr>
  </w:style>
  <w:style w:type="paragraph" w:styleId="Closing">
    <w:name w:val="Closing"/>
    <w:basedOn w:val="Normal"/>
    <w:link w:val="ClosingChar"/>
    <w:rsid w:val="0008066D"/>
    <w:pPr>
      <w:widowControl w:val="0"/>
      <w:tabs>
        <w:tab w:val="clear" w:pos="5040"/>
      </w:tabs>
      <w:overflowPunct/>
      <w:autoSpaceDE/>
      <w:autoSpaceDN/>
      <w:adjustRightInd/>
      <w:spacing w:line="360" w:lineRule="auto"/>
      <w:ind w:left="4320"/>
      <w:textAlignment w:val="auto"/>
    </w:pPr>
    <w:rPr>
      <w:rFonts w:ascii="Arial" w:hAnsi="Arial"/>
      <w:sz w:val="24"/>
    </w:rPr>
  </w:style>
  <w:style w:type="character" w:customStyle="1" w:styleId="ClosingChar">
    <w:name w:val="Closing Char"/>
    <w:link w:val="Closing"/>
    <w:rsid w:val="0008066D"/>
    <w:rPr>
      <w:rFonts w:ascii="Arial" w:hAnsi="Arial"/>
      <w:sz w:val="24"/>
    </w:rPr>
  </w:style>
  <w:style w:type="paragraph" w:styleId="BodyTextIndent2">
    <w:name w:val="Body Text Indent 2"/>
    <w:basedOn w:val="Normal"/>
    <w:link w:val="BodyTextIndent2Char"/>
    <w:rsid w:val="0008066D"/>
    <w:pPr>
      <w:tabs>
        <w:tab w:val="clear" w:pos="5040"/>
        <w:tab w:val="left" w:pos="1440"/>
      </w:tabs>
      <w:overflowPunct/>
      <w:autoSpaceDE/>
      <w:autoSpaceDN/>
      <w:adjustRightInd/>
      <w:ind w:left="1440" w:hanging="1440"/>
      <w:textAlignment w:val="auto"/>
    </w:pPr>
    <w:rPr>
      <w:b/>
    </w:rPr>
  </w:style>
  <w:style w:type="character" w:customStyle="1" w:styleId="BodyTextIndent2Char">
    <w:name w:val="Body Text Indent 2 Char"/>
    <w:link w:val="BodyTextIndent2"/>
    <w:rsid w:val="0008066D"/>
    <w:rPr>
      <w:b/>
      <w:sz w:val="26"/>
    </w:rPr>
  </w:style>
  <w:style w:type="character" w:customStyle="1" w:styleId="term1">
    <w:name w:val="term1"/>
    <w:rsid w:val="0008066D"/>
    <w:rPr>
      <w:rFonts w:cs="Times New Roman"/>
      <w:b/>
      <w:bCs/>
    </w:rPr>
  </w:style>
  <w:style w:type="character" w:styleId="Emphasis">
    <w:name w:val="Emphasis"/>
    <w:qFormat/>
    <w:rsid w:val="0008066D"/>
    <w:rPr>
      <w:rFonts w:cs="Times New Roman"/>
      <w:i/>
      <w:iCs/>
    </w:rPr>
  </w:style>
  <w:style w:type="character" w:customStyle="1" w:styleId="pmterms31">
    <w:name w:val="pmterms31"/>
    <w:rsid w:val="0008066D"/>
    <w:rPr>
      <w:rFonts w:cs="Times New Roman"/>
      <w:b/>
      <w:bCs/>
      <w:color w:val="000000"/>
    </w:rPr>
  </w:style>
  <w:style w:type="character" w:customStyle="1" w:styleId="pmterms11">
    <w:name w:val="pmterms11"/>
    <w:rsid w:val="0008066D"/>
    <w:rPr>
      <w:rFonts w:cs="Times New Roman"/>
      <w:b/>
      <w:bCs/>
      <w:color w:val="000000"/>
    </w:rPr>
  </w:style>
  <w:style w:type="character" w:customStyle="1" w:styleId="pmterms21">
    <w:name w:val="pmterms21"/>
    <w:rsid w:val="0008066D"/>
    <w:rPr>
      <w:rFonts w:cs="Times New Roman"/>
      <w:b/>
      <w:bCs/>
      <w:color w:val="000000"/>
    </w:rPr>
  </w:style>
  <w:style w:type="character" w:styleId="FollowedHyperlink">
    <w:name w:val="FollowedHyperlink"/>
    <w:rsid w:val="0008066D"/>
    <w:rPr>
      <w:rFonts w:cs="Times New Roman"/>
      <w:color w:val="800080"/>
      <w:u w:val="single"/>
    </w:rPr>
  </w:style>
  <w:style w:type="character" w:customStyle="1" w:styleId="BalloonTextChar">
    <w:name w:val="Balloon Text Char"/>
    <w:link w:val="BalloonText"/>
    <w:semiHidden/>
    <w:locked/>
    <w:rsid w:val="0008066D"/>
    <w:rPr>
      <w:rFonts w:ascii="Tahoma" w:hAnsi="Tahoma" w:cs="Tahoma"/>
      <w:sz w:val="16"/>
      <w:szCs w:val="16"/>
    </w:rPr>
  </w:style>
  <w:style w:type="paragraph" w:styleId="NormalWeb">
    <w:name w:val="Normal (Web)"/>
    <w:basedOn w:val="Normal"/>
    <w:rsid w:val="0008066D"/>
    <w:pPr>
      <w:tabs>
        <w:tab w:val="clear" w:pos="5040"/>
      </w:tabs>
      <w:overflowPunct/>
      <w:autoSpaceDE/>
      <w:autoSpaceDN/>
      <w:adjustRightInd/>
      <w:spacing w:before="100" w:beforeAutospacing="1" w:after="100" w:afterAutospacing="1"/>
      <w:textAlignment w:val="auto"/>
    </w:pPr>
    <w:rPr>
      <w:sz w:val="24"/>
      <w:szCs w:val="24"/>
    </w:rPr>
  </w:style>
  <w:style w:type="paragraph" w:customStyle="1" w:styleId="main">
    <w:name w:val="main"/>
    <w:basedOn w:val="Normal"/>
    <w:rsid w:val="0008066D"/>
    <w:pPr>
      <w:tabs>
        <w:tab w:val="clear" w:pos="5040"/>
      </w:tabs>
      <w:overflowPunct/>
      <w:autoSpaceDE/>
      <w:autoSpaceDN/>
      <w:adjustRightInd/>
      <w:jc w:val="center"/>
      <w:textAlignment w:val="auto"/>
    </w:pPr>
    <w:rPr>
      <w:rFonts w:ascii="Helvetica" w:hAnsi="Helvetica"/>
      <w:b/>
    </w:rPr>
  </w:style>
  <w:style w:type="character" w:customStyle="1" w:styleId="StyleFootnoteReference13pt">
    <w:name w:val="Style Footnote Reference + 13 pt"/>
    <w:rsid w:val="0008066D"/>
    <w:rPr>
      <w:rFonts w:ascii="Times New Roman Bold" w:hAnsi="Times New Roman Bold" w:cs="Times New Roman"/>
      <w:b/>
      <w:sz w:val="28"/>
      <w:u w:val="single"/>
      <w:vertAlign w:val="superscript"/>
    </w:rPr>
  </w:style>
  <w:style w:type="character" w:customStyle="1" w:styleId="pmterms1">
    <w:name w:val="pmterms1"/>
    <w:rsid w:val="0008066D"/>
    <w:rPr>
      <w:rFonts w:cs="Times New Roman"/>
    </w:rPr>
  </w:style>
  <w:style w:type="character" w:customStyle="1" w:styleId="pmterms3">
    <w:name w:val="pmterms3"/>
    <w:rsid w:val="0008066D"/>
    <w:rPr>
      <w:rFonts w:cs="Times New Roman"/>
    </w:rPr>
  </w:style>
  <w:style w:type="paragraph" w:customStyle="1" w:styleId="sub2">
    <w:name w:val="sub2"/>
    <w:basedOn w:val="Normal"/>
    <w:rsid w:val="0008066D"/>
    <w:pPr>
      <w:tabs>
        <w:tab w:val="clear" w:pos="5040"/>
      </w:tabs>
      <w:overflowPunct/>
      <w:autoSpaceDE/>
      <w:autoSpaceDN/>
      <w:adjustRightInd/>
      <w:spacing w:line="360" w:lineRule="auto"/>
      <w:ind w:firstLine="720"/>
      <w:textAlignment w:val="auto"/>
    </w:pPr>
    <w:rPr>
      <w:rFonts w:ascii="Palatino" w:hAnsi="Palatino"/>
    </w:rPr>
  </w:style>
  <w:style w:type="paragraph" w:customStyle="1" w:styleId="Quote2">
    <w:name w:val="Quote2"/>
    <w:basedOn w:val="standard"/>
    <w:next w:val="standard"/>
    <w:link w:val="quoteChar"/>
    <w:rsid w:val="0008066D"/>
    <w:pPr>
      <w:spacing w:before="120" w:after="120" w:line="240" w:lineRule="auto"/>
      <w:ind w:left="720" w:right="1080" w:firstLine="0"/>
    </w:pPr>
  </w:style>
  <w:style w:type="character" w:customStyle="1" w:styleId="quoteChar">
    <w:name w:val="quote Char"/>
    <w:link w:val="Quote2"/>
    <w:locked/>
    <w:rsid w:val="0008066D"/>
  </w:style>
  <w:style w:type="paragraph" w:customStyle="1" w:styleId="num1">
    <w:name w:val="num1"/>
    <w:basedOn w:val="Normal"/>
    <w:rsid w:val="0008066D"/>
    <w:pPr>
      <w:tabs>
        <w:tab w:val="clear" w:pos="5040"/>
        <w:tab w:val="left" w:pos="-720"/>
      </w:tabs>
      <w:suppressAutoHyphens/>
      <w:overflowPunct/>
      <w:autoSpaceDE/>
      <w:autoSpaceDN/>
      <w:adjustRightInd/>
      <w:spacing w:line="360" w:lineRule="auto"/>
      <w:ind w:firstLine="360"/>
      <w:textAlignment w:val="auto"/>
    </w:pPr>
    <w:rPr>
      <w:rFonts w:ascii="Palatino" w:hAnsi="Palatino"/>
    </w:rPr>
  </w:style>
  <w:style w:type="paragraph" w:styleId="Revision">
    <w:name w:val="Revision"/>
    <w:hidden/>
    <w:uiPriority w:val="99"/>
    <w:semiHidden/>
    <w:rsid w:val="0008066D"/>
    <w:rPr>
      <w:lang w:eastAsia="en-US"/>
    </w:rPr>
  </w:style>
  <w:style w:type="paragraph" w:customStyle="1" w:styleId="num2">
    <w:name w:val="num2"/>
    <w:basedOn w:val="num1"/>
    <w:rsid w:val="0008066D"/>
    <w:pPr>
      <w:keepNext/>
      <w:keepLines/>
      <w:numPr>
        <w:numId w:val="4"/>
      </w:numPr>
      <w:ind w:firstLine="270"/>
    </w:pPr>
    <w:rPr>
      <w:bCs/>
    </w:rPr>
  </w:style>
  <w:style w:type="paragraph" w:customStyle="1" w:styleId="Default">
    <w:name w:val="Default"/>
    <w:rsid w:val="0008066D"/>
    <w:pPr>
      <w:autoSpaceDE w:val="0"/>
      <w:autoSpaceDN w:val="0"/>
      <w:adjustRightInd w:val="0"/>
    </w:pPr>
    <w:rPr>
      <w:rFonts w:eastAsia="Calibri"/>
      <w:color w:val="000000"/>
      <w:sz w:val="24"/>
      <w:szCs w:val="24"/>
      <w:lang w:eastAsia="en-US"/>
    </w:rPr>
  </w:style>
  <w:style w:type="paragraph" w:styleId="CommentSubject">
    <w:name w:val="annotation subject"/>
    <w:basedOn w:val="CommentText"/>
    <w:next w:val="CommentText"/>
    <w:link w:val="CommentSubjectChar"/>
    <w:rsid w:val="0008066D"/>
    <w:rPr>
      <w:b/>
      <w:bCs/>
    </w:rPr>
  </w:style>
  <w:style w:type="character" w:customStyle="1" w:styleId="CommentSubjectChar">
    <w:name w:val="Comment Subject Char"/>
    <w:link w:val="CommentSubject"/>
    <w:rsid w:val="000806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539855">
      <w:bodyDiv w:val="1"/>
      <w:marLeft w:val="0"/>
      <w:marRight w:val="0"/>
      <w:marTop w:val="0"/>
      <w:marBottom w:val="0"/>
      <w:divBdr>
        <w:top w:val="none" w:sz="0" w:space="0" w:color="auto"/>
        <w:left w:val="none" w:sz="0" w:space="0" w:color="auto"/>
        <w:bottom w:val="none" w:sz="0" w:space="0" w:color="auto"/>
        <w:right w:val="none" w:sz="0" w:space="0" w:color="auto"/>
      </w:divBdr>
    </w:div>
    <w:div w:id="173172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8BD44727CA1642AB1EBBE6F9AEA9D0" ma:contentTypeVersion="11" ma:contentTypeDescription="Create a new document." ma:contentTypeScope="" ma:versionID="c6a904779c83f59411a5c6fde7193f27">
  <xsd:schema xmlns:xsd="http://www.w3.org/2001/XMLSchema" xmlns:xs="http://www.w3.org/2001/XMLSchema" xmlns:p="http://schemas.microsoft.com/office/2006/metadata/properties" xmlns:ns3="85be6bfd-4088-495c-af0c-3776498f7805" xmlns:ns4="1baaca03-33c3-4dc6-ae14-232cca80af59" targetNamespace="http://schemas.microsoft.com/office/2006/metadata/properties" ma:root="true" ma:fieldsID="b16fedb4a499b952e211bfd8a918a614" ns3:_="" ns4:_="">
    <xsd:import namespace="85be6bfd-4088-495c-af0c-3776498f7805"/>
    <xsd:import namespace="1baaca03-33c3-4dc6-ae14-232cca80af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e6bfd-4088-495c-af0c-3776498f78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aca03-33c3-4dc6-ae14-232cca80af5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EF36F-BE07-4D8A-A7E0-A6D7F32E0F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038DCC-B48D-43B3-9B0F-01C2287E9ADE}">
  <ds:schemaRefs>
    <ds:schemaRef ds:uri="http://schemas.microsoft.com/sharepoint/v3/contenttype/forms"/>
  </ds:schemaRefs>
</ds:datastoreItem>
</file>

<file path=customXml/itemProps3.xml><?xml version="1.0" encoding="utf-8"?>
<ds:datastoreItem xmlns:ds="http://schemas.openxmlformats.org/officeDocument/2006/customXml" ds:itemID="{ABBD5B06-849D-40A0-9052-8459D586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e6bfd-4088-495c-af0c-3776498f7805"/>
    <ds:schemaRef ds:uri="1baaca03-33c3-4dc6-ae14-232cca80a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E0427-6DEB-45C8-87A8-DB39623D4017}">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14</ap:Pages>
  <ap:Words>3321</ap:Words>
  <ap:Characters>18930</ap:Characters>
  <ap:Application>Microsoft Office Word</ap:Application>
  <ap:DocSecurity>0</ap:DocSecurity>
  <ap:Lines>157</ap:Lines>
  <ap:Paragraphs>44</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22207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2015-06-12T16:11:00Z</cp:lastPrinted>
  <dcterms:created xsi:type="dcterms:W3CDTF">2021-05-07T13:37:53Z</dcterms:created>
  <dcterms:modified xsi:type="dcterms:W3CDTF">2021-05-07T13:37:53Z</dcterms:modified>
</cp:coreProperties>
</file>