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RDefault="00CF17DE" w14:paraId="70BEAF91" w14:textId="57ED341A">
      <w:pPr>
        <w:pStyle w:val="titlebar"/>
        <w:rPr>
          <w:sz w:val="24"/>
        </w:rPr>
      </w:pPr>
      <w:r w:rsidRPr="00A13189">
        <w:rPr>
          <w:sz w:val="24"/>
        </w:rPr>
        <w:t>PUBLIC UTILITIES COMMISSION OF THE STATE OF CALIFORNIA</w:t>
      </w:r>
    </w:p>
    <w:p w:rsidR="006C77C6" w:rsidRDefault="006C77C6" w14:paraId="41F49C51" w14:textId="4E5F6C26">
      <w:pPr>
        <w:pStyle w:val="titlebar"/>
        <w:rPr>
          <w:sz w:val="24"/>
        </w:rPr>
      </w:pPr>
    </w:p>
    <w:p w:rsidRPr="006C77C6" w:rsidR="00CF17DE" w:rsidP="00461BE0" w:rsidRDefault="0061626E" w14:paraId="5E624470" w14:textId="661910A8">
      <w:pPr>
        <w:suppressAutoHyphens/>
        <w:rPr>
          <w:b/>
          <w:bCs/>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bCs/>
          <w:sz w:val="24"/>
          <w:szCs w:val="24"/>
        </w:rPr>
        <w:t xml:space="preserve"> </w:t>
      </w:r>
    </w:p>
    <w:p w:rsidR="003F05E6" w:rsidP="003F05E6" w:rsidRDefault="00593807" w14:paraId="2FCF57C7" w14:textId="61512769">
      <w:pPr>
        <w:rPr>
          <w:b/>
          <w:sz w:val="24"/>
        </w:rPr>
      </w:pPr>
      <w:r w:rsidRPr="00A13189">
        <w:rPr>
          <w:b/>
          <w:sz w:val="24"/>
        </w:rPr>
        <w:t>ENERGY DIVISION</w:t>
      </w:r>
      <w:r w:rsidRPr="00A13189">
        <w:rPr>
          <w:b/>
          <w:sz w:val="24"/>
        </w:rPr>
        <w:tab/>
      </w:r>
      <w:r w:rsidRPr="00A13189">
        <w:rPr>
          <w:b/>
          <w:sz w:val="24"/>
        </w:rPr>
        <w:tab/>
      </w:r>
      <w:r w:rsidRPr="00A13189">
        <w:rPr>
          <w:b/>
          <w:sz w:val="24"/>
        </w:rPr>
        <w:tab/>
      </w:r>
      <w:r w:rsidRPr="00A13189">
        <w:rPr>
          <w:b/>
          <w:sz w:val="24"/>
        </w:rPr>
        <w:tab/>
      </w:r>
      <w:r w:rsidRPr="00A13189">
        <w:rPr>
          <w:b/>
          <w:sz w:val="24"/>
        </w:rPr>
        <w:tab/>
      </w:r>
      <w:r w:rsidRPr="00A13189" w:rsidR="00AB0FE9">
        <w:rPr>
          <w:b/>
          <w:sz w:val="24"/>
        </w:rPr>
        <w:tab/>
      </w:r>
      <w:r w:rsidR="003F05E6">
        <w:rPr>
          <w:b/>
          <w:sz w:val="24"/>
        </w:rPr>
        <w:tab/>
      </w:r>
      <w:r w:rsidRPr="00A13189" w:rsidR="00CF17DE">
        <w:rPr>
          <w:b/>
          <w:sz w:val="24"/>
        </w:rPr>
        <w:t xml:space="preserve">RESOLUTION </w:t>
      </w:r>
      <w:r w:rsidRPr="00A13189" w:rsidR="00AB0FE9">
        <w:rPr>
          <w:b/>
          <w:sz w:val="24"/>
        </w:rPr>
        <w:t>E-</w:t>
      </w:r>
      <w:r w:rsidRPr="00A13189" w:rsidR="00BD0499">
        <w:rPr>
          <w:b/>
          <w:sz w:val="24"/>
        </w:rPr>
        <w:t>514</w:t>
      </w:r>
      <w:r w:rsidRPr="00A13189" w:rsidR="00A13189">
        <w:rPr>
          <w:b/>
          <w:sz w:val="24"/>
        </w:rPr>
        <w:t>2</w:t>
      </w:r>
    </w:p>
    <w:p w:rsidRPr="00A13189" w:rsidR="00CF17DE" w:rsidP="0061626E" w:rsidRDefault="0061626E" w14:paraId="3DBC912E" w14:textId="23E09CA2">
      <w:pPr>
        <w:ind w:left="1440" w:firstLine="720"/>
        <w:rPr>
          <w:b/>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sidRPr="00A13189" w:rsidR="00A13189">
        <w:rPr>
          <w:b/>
          <w:sz w:val="24"/>
        </w:rPr>
        <w:t>May 6</w:t>
      </w:r>
      <w:r w:rsidRPr="00A13189" w:rsidR="009E0CA5">
        <w:rPr>
          <w:b/>
          <w:sz w:val="24"/>
        </w:rPr>
        <w:t>, 202</w:t>
      </w:r>
      <w:r w:rsidRPr="00A13189" w:rsidR="00C64201">
        <w:rPr>
          <w:b/>
          <w:sz w:val="24"/>
        </w:rPr>
        <w:t>1</w:t>
      </w:r>
    </w:p>
    <w:p w:rsidRPr="00A13189" w:rsidR="00CF17DE" w:rsidRDefault="00CF17DE" w14:paraId="061A7957" w14:textId="77777777">
      <w:pPr>
        <w:tabs>
          <w:tab w:val="right" w:pos="8910"/>
        </w:tabs>
        <w:ind w:left="1440" w:firstLine="720"/>
        <w:rPr>
          <w:b/>
          <w:sz w:val="24"/>
        </w:rPr>
      </w:pPr>
    </w:p>
    <w:p w:rsidRPr="00A13189" w:rsidR="00CF17DE" w:rsidRDefault="00CF17DE" w14:paraId="40ADBA19" w14:textId="77777777">
      <w:pPr>
        <w:pStyle w:val="mainex"/>
        <w:rPr>
          <w:u w:val="single"/>
        </w:rPr>
      </w:pPr>
      <w:bookmarkStart w:name="_Ref404993683" w:id="0"/>
      <w:r w:rsidRPr="00A13189">
        <w:rPr>
          <w:u w:val="single"/>
        </w:rPr>
        <w:t>RESOLUTION</w:t>
      </w:r>
    </w:p>
    <w:p w:rsidRPr="00A13189" w:rsidR="00CF17DE" w:rsidRDefault="00CF17DE" w14:paraId="63C93376" w14:textId="77777777"/>
    <w:p w:rsidRPr="003C30EA" w:rsidR="00B927B5" w:rsidP="00B927B5" w:rsidRDefault="00B927B5" w14:paraId="38C822AA" w14:textId="5B1F617B">
      <w:pPr>
        <w:pStyle w:val="Res-Caption"/>
        <w:rPr>
          <w:highlight w:val="cyan"/>
        </w:rPr>
      </w:pPr>
      <w:bookmarkStart w:name="_Hlk68162602" w:id="1"/>
      <w:r w:rsidRPr="00A13189">
        <w:t xml:space="preserve">Resolution </w:t>
      </w:r>
      <w:r w:rsidRPr="00A13189" w:rsidR="00AB0FE9">
        <w:t>E-</w:t>
      </w:r>
      <w:r w:rsidRPr="00A13189" w:rsidR="00BD0499">
        <w:t>514</w:t>
      </w:r>
      <w:r w:rsidRPr="00A13189" w:rsidR="00A13189">
        <w:t>2</w:t>
      </w:r>
      <w:r w:rsidRPr="00A13189">
        <w:t xml:space="preserve">.  </w:t>
      </w:r>
      <w:r w:rsidRPr="00A13189" w:rsidR="003C30EA">
        <w:t>Southern</w:t>
      </w:r>
      <w:r w:rsidRPr="003C30EA" w:rsidR="003C30EA">
        <w:t xml:space="preserve"> California Edison</w:t>
      </w:r>
      <w:r w:rsidRPr="003C30EA" w:rsidR="009E0CA5">
        <w:t xml:space="preserve"> Company’s Request for</w:t>
      </w:r>
      <w:r w:rsidRPr="003C30EA" w:rsidR="003C30EA">
        <w:t xml:space="preserve"> Review and</w:t>
      </w:r>
      <w:r w:rsidRPr="003C30EA" w:rsidR="009E0CA5">
        <w:t xml:space="preserve"> Approval of System Reliability </w:t>
      </w:r>
      <w:r w:rsidRPr="003C30EA" w:rsidR="003C30EA">
        <w:t xml:space="preserve">Standard Track </w:t>
      </w:r>
      <w:r w:rsidRPr="003C30EA" w:rsidR="009E0CA5">
        <w:t>Contracts Pursuant to Decision 19-11-016.</w:t>
      </w:r>
    </w:p>
    <w:p w:rsidRPr="003C30EA" w:rsidR="00801D70" w:rsidRDefault="00801D70" w14:paraId="70E6A3B4" w14:textId="77777777">
      <w:pPr>
        <w:pStyle w:val="Res-Caption"/>
        <w:rPr>
          <w:highlight w:val="cyan"/>
        </w:rPr>
      </w:pPr>
    </w:p>
    <w:p w:rsidRPr="003C30EA" w:rsidR="00DF35CC" w:rsidP="00DF35CC" w:rsidRDefault="00801D70" w14:paraId="5B232953" w14:textId="77777777">
      <w:pPr>
        <w:pStyle w:val="Res-Caption"/>
        <w:rPr>
          <w:rFonts w:ascii="Palatino Linotype" w:hAnsi="Palatino Linotype"/>
        </w:rPr>
      </w:pPr>
      <w:r w:rsidRPr="003C30EA">
        <w:t>PROPOSED OUTCOME</w:t>
      </w:r>
      <w:r w:rsidRPr="003C30EA">
        <w:rPr>
          <w:rFonts w:ascii="Palatino Linotype" w:hAnsi="Palatino Linotype"/>
        </w:rPr>
        <w:t>:</w:t>
      </w:r>
      <w:r w:rsidRPr="003C30EA" w:rsidR="00142FB8">
        <w:rPr>
          <w:rFonts w:ascii="Palatino Linotype" w:hAnsi="Palatino Linotype"/>
        </w:rPr>
        <w:t xml:space="preserve"> </w:t>
      </w:r>
    </w:p>
    <w:p w:rsidRPr="003C30EA" w:rsidR="6338AFA2" w:rsidP="006F4DAE" w:rsidRDefault="009E0CA5" w14:paraId="6009A610" w14:textId="1E1161F8">
      <w:pPr>
        <w:pStyle w:val="Res-Caption"/>
        <w:numPr>
          <w:ilvl w:val="0"/>
          <w:numId w:val="9"/>
        </w:numPr>
        <w:rPr>
          <w:rFonts w:ascii="Palatino Linotype" w:hAnsi="Palatino Linotype"/>
        </w:rPr>
      </w:pPr>
      <w:r w:rsidRPr="003C30EA">
        <w:rPr>
          <w:rFonts w:ascii="Palatino Linotype" w:hAnsi="Palatino Linotype"/>
        </w:rPr>
        <w:t xml:space="preserve">This Resolution approves </w:t>
      </w:r>
      <w:r w:rsidRPr="003C30EA" w:rsidR="003C30EA">
        <w:rPr>
          <w:rFonts w:ascii="Palatino Linotype" w:hAnsi="Palatino Linotype"/>
        </w:rPr>
        <w:t>five</w:t>
      </w:r>
      <w:r w:rsidRPr="003C30EA" w:rsidR="0F265F47">
        <w:rPr>
          <w:rFonts w:ascii="Palatino Linotype" w:hAnsi="Palatino Linotype"/>
        </w:rPr>
        <w:t xml:space="preserve"> </w:t>
      </w:r>
      <w:r w:rsidRPr="003C30EA">
        <w:rPr>
          <w:rFonts w:ascii="Palatino Linotype" w:hAnsi="Palatino Linotype"/>
        </w:rPr>
        <w:t xml:space="preserve">contracts for </w:t>
      </w:r>
      <w:r w:rsidRPr="003C30EA" w:rsidR="5A54AC31">
        <w:rPr>
          <w:rFonts w:ascii="Palatino Linotype" w:hAnsi="Palatino Linotype"/>
        </w:rPr>
        <w:t>incremental</w:t>
      </w:r>
      <w:r w:rsidRPr="003C30EA">
        <w:rPr>
          <w:rFonts w:ascii="Palatino Linotype" w:hAnsi="Palatino Linotype"/>
        </w:rPr>
        <w:t xml:space="preserve"> system reliability resources that </w:t>
      </w:r>
      <w:r w:rsidR="003C30EA">
        <w:rPr>
          <w:rFonts w:ascii="Palatino Linotype" w:hAnsi="Palatino Linotype"/>
        </w:rPr>
        <w:t>Southern California Edison</w:t>
      </w:r>
      <w:r w:rsidRPr="003C30EA">
        <w:rPr>
          <w:rFonts w:ascii="Palatino Linotype" w:hAnsi="Palatino Linotype"/>
        </w:rPr>
        <w:t xml:space="preserve"> Company procured via a competitive solicitation, pursuant to Decision 19-11-016.</w:t>
      </w:r>
    </w:p>
    <w:p w:rsidRPr="00352797" w:rsidR="00F51F8B" w:rsidRDefault="00F51F8B" w14:paraId="65BE5ED4" w14:textId="77777777">
      <w:pPr>
        <w:pStyle w:val="Res-Caption"/>
        <w:rPr>
          <w:rFonts w:ascii="Palatino Linotype" w:hAnsi="Palatino Linotype"/>
        </w:rPr>
      </w:pPr>
    </w:p>
    <w:p w:rsidRPr="00352797" w:rsidR="00F51F8B" w:rsidRDefault="00F51F8B" w14:paraId="5348E825" w14:textId="77777777">
      <w:pPr>
        <w:pStyle w:val="Res-Caption"/>
      </w:pPr>
      <w:r w:rsidRPr="00352797">
        <w:t>SAFETY CONSIDERATIONS:</w:t>
      </w:r>
    </w:p>
    <w:p w:rsidRPr="00352797" w:rsidR="00352797" w:rsidP="00352797" w:rsidRDefault="00352797" w14:paraId="4A14614A" w14:textId="3E22962A">
      <w:pPr>
        <w:numPr>
          <w:ilvl w:val="0"/>
          <w:numId w:val="17"/>
        </w:numPr>
        <w:autoSpaceDE w:val="0"/>
        <w:autoSpaceDN w:val="0"/>
        <w:ind w:right="720"/>
        <w:rPr>
          <w:rFonts w:ascii="Palatino Linotype" w:hAnsi="Palatino Linotype" w:eastAsia="Calibri" w:cs="Arial"/>
          <w:szCs w:val="22"/>
        </w:rPr>
      </w:pPr>
      <w:r w:rsidRPr="00352797">
        <w:rPr>
          <w:rFonts w:ascii="Palatino Linotype" w:hAnsi="Palatino Linotype" w:eastAsia="Calibri" w:cs="Arial"/>
          <w:bCs/>
          <w:szCs w:val="25"/>
        </w:rPr>
        <w:t xml:space="preserve">SCE’s Pro Forma Energy Storage Agreement requires the Seller to operate the energy storage facility in accordance with “Prudent Electrical Practices.” An expansive list of safety provisions is found on pages 29-30 of </w:t>
      </w:r>
      <w:r w:rsidR="001B08E7">
        <w:rPr>
          <w:rFonts w:ascii="Palatino Linotype" w:hAnsi="Palatino Linotype" w:eastAsia="Calibri" w:cs="Arial"/>
          <w:bCs/>
          <w:szCs w:val="25"/>
        </w:rPr>
        <w:t xml:space="preserve">SCE </w:t>
      </w:r>
      <w:r w:rsidRPr="00352797">
        <w:rPr>
          <w:rFonts w:ascii="Palatino Linotype" w:hAnsi="Palatino Linotype" w:eastAsia="Calibri" w:cs="Arial"/>
          <w:bCs/>
          <w:szCs w:val="25"/>
        </w:rPr>
        <w:t>Advice Letter 4373-E</w:t>
      </w:r>
      <w:r w:rsidRPr="00352797">
        <w:rPr>
          <w:rFonts w:ascii="Palatino Linotype" w:hAnsi="Palatino Linotype" w:eastAsia="Calibri" w:cs="Arial"/>
          <w:szCs w:val="22"/>
        </w:rPr>
        <w:t>.</w:t>
      </w:r>
    </w:p>
    <w:p w:rsidRPr="00352797" w:rsidR="000F17F1" w:rsidP="000F17F1" w:rsidRDefault="000F17F1" w14:paraId="6AEA4BA8" w14:textId="77777777">
      <w:pPr>
        <w:pStyle w:val="Res-Caption"/>
        <w:ind w:left="1440"/>
        <w:rPr>
          <w:rFonts w:ascii="Palatino Linotype" w:hAnsi="Palatino Linotype"/>
        </w:rPr>
      </w:pPr>
    </w:p>
    <w:p w:rsidRPr="00352797" w:rsidR="00801D70" w:rsidRDefault="00801D70" w14:paraId="28BD615D" w14:textId="77777777">
      <w:pPr>
        <w:pStyle w:val="Res-Caption"/>
        <w:rPr>
          <w:rFonts w:ascii="Palatino Linotype" w:hAnsi="Palatino Linotype"/>
        </w:rPr>
      </w:pPr>
      <w:r w:rsidRPr="00352797">
        <w:t>ESTIMATED COST</w:t>
      </w:r>
      <w:r w:rsidRPr="00352797">
        <w:rPr>
          <w:rFonts w:ascii="Palatino Linotype" w:hAnsi="Palatino Linotype"/>
        </w:rPr>
        <w:t xml:space="preserve">:  </w:t>
      </w:r>
    </w:p>
    <w:p w:rsidRPr="00097C4C" w:rsidR="003B28DC" w:rsidP="009E0CA5" w:rsidRDefault="00700BE0" w14:paraId="14013F68" w14:textId="2D8EF49D">
      <w:pPr>
        <w:pStyle w:val="Res-Caption"/>
        <w:numPr>
          <w:ilvl w:val="0"/>
          <w:numId w:val="8"/>
        </w:numPr>
        <w:rPr>
          <w:rFonts w:ascii="Palatino Linotype" w:hAnsi="Palatino Linotype" w:eastAsia="Calibri" w:cs="Arial"/>
          <w:bCs/>
          <w:szCs w:val="25"/>
        </w:rPr>
      </w:pPr>
      <w:r w:rsidRPr="00097C4C">
        <w:rPr>
          <w:rFonts w:ascii="Palatino Linotype" w:hAnsi="Palatino Linotype" w:eastAsia="Calibri" w:cs="Arial"/>
          <w:bCs/>
          <w:szCs w:val="25"/>
        </w:rPr>
        <w:t xml:space="preserve">Contract costs are confidential </w:t>
      </w:r>
      <w:proofErr w:type="gramStart"/>
      <w:r w:rsidRPr="00097C4C">
        <w:rPr>
          <w:rFonts w:ascii="Palatino Linotype" w:hAnsi="Palatino Linotype" w:eastAsia="Calibri" w:cs="Arial"/>
          <w:bCs/>
          <w:szCs w:val="25"/>
        </w:rPr>
        <w:t>at this time</w:t>
      </w:r>
      <w:proofErr w:type="gramEnd"/>
      <w:r w:rsidRPr="00097C4C">
        <w:rPr>
          <w:rFonts w:ascii="Palatino Linotype" w:hAnsi="Palatino Linotype" w:eastAsia="Calibri" w:cs="Arial"/>
          <w:bCs/>
          <w:szCs w:val="25"/>
        </w:rPr>
        <w:t xml:space="preserve">. The Commission finds that </w:t>
      </w:r>
      <w:r w:rsidRPr="00097C4C" w:rsidR="000F17F1">
        <w:rPr>
          <w:rFonts w:ascii="Palatino Linotype" w:hAnsi="Palatino Linotype" w:eastAsia="Calibri" w:cs="Arial"/>
          <w:bCs/>
          <w:szCs w:val="25"/>
        </w:rPr>
        <w:t>the selected contracts represent a net benefit to ratepayers over their terms.</w:t>
      </w:r>
    </w:p>
    <w:p w:rsidRPr="003C30EA" w:rsidR="00CF17DE" w:rsidRDefault="00CF17DE" w14:paraId="414B5F5B" w14:textId="77777777">
      <w:pPr>
        <w:pStyle w:val="Res-Caption"/>
        <w:rPr>
          <w:highlight w:val="cyan"/>
        </w:rPr>
      </w:pPr>
    </w:p>
    <w:p w:rsidRPr="002D3A39" w:rsidR="00CF17DE" w:rsidRDefault="00CF17DE" w14:paraId="0395FC4E" w14:textId="0130F9E2">
      <w:pPr>
        <w:pStyle w:val="Res-Caption"/>
        <w:rPr>
          <w:rFonts w:ascii="Palatino Linotype" w:hAnsi="Palatino Linotype"/>
        </w:rPr>
      </w:pPr>
      <w:r w:rsidRPr="002D3A39">
        <w:rPr>
          <w:rFonts w:ascii="Palatino Linotype" w:hAnsi="Palatino Linotype"/>
        </w:rPr>
        <w:t xml:space="preserve">By Advice Letter </w:t>
      </w:r>
      <w:r w:rsidRPr="002D3A39" w:rsidR="003C30EA">
        <w:rPr>
          <w:rFonts w:ascii="Palatino Linotype" w:hAnsi="Palatino Linotype"/>
        </w:rPr>
        <w:t>4373</w:t>
      </w:r>
      <w:r w:rsidRPr="002D3A39" w:rsidR="00700BE0">
        <w:rPr>
          <w:rFonts w:ascii="Palatino Linotype" w:hAnsi="Palatino Linotype"/>
        </w:rPr>
        <w:t xml:space="preserve">-E, Filed on </w:t>
      </w:r>
      <w:r w:rsidRPr="002D3A39" w:rsidR="00F71981">
        <w:rPr>
          <w:rFonts w:ascii="Palatino Linotype" w:hAnsi="Palatino Linotype"/>
        </w:rPr>
        <w:t xml:space="preserve">December </w:t>
      </w:r>
      <w:r w:rsidRPr="002D3A39" w:rsidR="003C30EA">
        <w:rPr>
          <w:rFonts w:ascii="Palatino Linotype" w:hAnsi="Palatino Linotype"/>
        </w:rPr>
        <w:t>18</w:t>
      </w:r>
      <w:r w:rsidRPr="002D3A39" w:rsidR="00700BE0">
        <w:rPr>
          <w:rFonts w:ascii="Palatino Linotype" w:hAnsi="Palatino Linotype"/>
        </w:rPr>
        <w:t>, 2020.</w:t>
      </w:r>
    </w:p>
    <w:p w:rsidRPr="003C30EA" w:rsidR="00CF17DE" w:rsidRDefault="00CF17DE" w14:paraId="2BFCF270" w14:textId="77777777">
      <w:pPr>
        <w:jc w:val="center"/>
      </w:pPr>
      <w:r w:rsidRPr="003C30EA">
        <w:t>__________________________________________________________</w:t>
      </w:r>
    </w:p>
    <w:bookmarkEnd w:id="1"/>
    <w:p w:rsidRPr="003C30EA" w:rsidR="00CF17DE" w:rsidRDefault="00CF17DE" w14:paraId="21ED6BB6" w14:textId="77777777">
      <w:pPr>
        <w:rPr>
          <w:b/>
          <w:highlight w:val="cyan"/>
        </w:rPr>
      </w:pPr>
    </w:p>
    <w:p w:rsidRPr="00352797" w:rsidR="00CF17DE" w:rsidRDefault="00CF17DE" w14:paraId="2C49E15C" w14:textId="77777777">
      <w:pPr>
        <w:pStyle w:val="Heading1"/>
      </w:pPr>
      <w:r w:rsidRPr="00352797">
        <w:t>Summary</w:t>
      </w:r>
      <w:bookmarkEnd w:id="0"/>
    </w:p>
    <w:p w:rsidR="00461BE0" w:rsidP="3BA1B222" w:rsidRDefault="00CF17DE" w14:paraId="075D3834" w14:textId="77777777">
      <w:pPr>
        <w:rPr>
          <w:rFonts w:ascii="Palatino Linotype" w:hAnsi="Palatino Linotype"/>
        </w:rPr>
      </w:pPr>
      <w:r w:rsidRPr="00097C4C">
        <w:rPr>
          <w:rFonts w:ascii="Palatino Linotype" w:hAnsi="Palatino Linotype"/>
        </w:rPr>
        <w:t xml:space="preserve">This Resolution </w:t>
      </w:r>
      <w:r w:rsidRPr="00097C4C" w:rsidR="33B77690">
        <w:rPr>
          <w:rFonts w:ascii="Palatino Linotype" w:hAnsi="Palatino Linotype"/>
        </w:rPr>
        <w:t xml:space="preserve">approves </w:t>
      </w:r>
      <w:r w:rsidRPr="00097C4C" w:rsidR="00A13189">
        <w:rPr>
          <w:rFonts w:ascii="Palatino Linotype" w:hAnsi="Palatino Linotype"/>
        </w:rPr>
        <w:t>five</w:t>
      </w:r>
      <w:r w:rsidRPr="00097C4C" w:rsidR="33B77690">
        <w:rPr>
          <w:rFonts w:ascii="Palatino Linotype" w:hAnsi="Palatino Linotype"/>
        </w:rPr>
        <w:t xml:space="preserve"> contracts for incremental system reliability resources</w:t>
      </w:r>
      <w:r w:rsidRPr="00097C4C" w:rsidR="7FCBB754">
        <w:rPr>
          <w:rFonts w:ascii="Palatino Linotype" w:hAnsi="Palatino Linotype"/>
        </w:rPr>
        <w:t xml:space="preserve"> that </w:t>
      </w:r>
      <w:r w:rsidRPr="00097C4C" w:rsidR="003C30EA">
        <w:rPr>
          <w:rFonts w:ascii="Palatino Linotype" w:hAnsi="Palatino Linotype"/>
        </w:rPr>
        <w:t>Southern California Edison</w:t>
      </w:r>
      <w:r w:rsidRPr="00097C4C" w:rsidR="7FCBB754">
        <w:rPr>
          <w:rFonts w:ascii="Palatino Linotype" w:hAnsi="Palatino Linotype"/>
        </w:rPr>
        <w:t xml:space="preserve"> Company </w:t>
      </w:r>
      <w:r w:rsidRPr="00097C4C" w:rsidR="4C0F28BB">
        <w:rPr>
          <w:rFonts w:ascii="Palatino Linotype" w:hAnsi="Palatino Linotype"/>
        </w:rPr>
        <w:t>procur</w:t>
      </w:r>
      <w:r w:rsidRPr="00097C4C" w:rsidR="7FCBB754">
        <w:rPr>
          <w:rFonts w:ascii="Palatino Linotype" w:hAnsi="Palatino Linotype"/>
        </w:rPr>
        <w:t xml:space="preserve">ed through </w:t>
      </w:r>
      <w:r w:rsidRPr="00097C4C" w:rsidR="003C30EA">
        <w:rPr>
          <w:rFonts w:ascii="Palatino Linotype" w:hAnsi="Palatino Linotype"/>
        </w:rPr>
        <w:t xml:space="preserve">the Standard Track of </w:t>
      </w:r>
      <w:r w:rsidRPr="00097C4C" w:rsidR="00A13189">
        <w:rPr>
          <w:rFonts w:ascii="Palatino Linotype" w:hAnsi="Palatino Linotype"/>
        </w:rPr>
        <w:t>i</w:t>
      </w:r>
      <w:r w:rsidRPr="00097C4C" w:rsidR="003C30EA">
        <w:rPr>
          <w:rFonts w:ascii="Palatino Linotype" w:hAnsi="Palatino Linotype"/>
        </w:rPr>
        <w:t>ts</w:t>
      </w:r>
      <w:r w:rsidRPr="00097C4C" w:rsidR="7FCBB754">
        <w:rPr>
          <w:rFonts w:ascii="Palatino Linotype" w:hAnsi="Palatino Linotype"/>
        </w:rPr>
        <w:t xml:space="preserve"> </w:t>
      </w:r>
      <w:r w:rsidRPr="00097C4C" w:rsidR="719B2913">
        <w:rPr>
          <w:rFonts w:ascii="Palatino Linotype" w:hAnsi="Palatino Linotype"/>
        </w:rPr>
        <w:t xml:space="preserve">System Reliability Request for Offers solicitation in 2020. </w:t>
      </w:r>
      <w:r w:rsidRPr="00097C4C" w:rsidR="003C30EA">
        <w:rPr>
          <w:rFonts w:ascii="Palatino Linotype" w:hAnsi="Palatino Linotype"/>
        </w:rPr>
        <w:lastRenderedPageBreak/>
        <w:t xml:space="preserve">Southern California Edison Company </w:t>
      </w:r>
      <w:r w:rsidRPr="00097C4C" w:rsidR="719B2913">
        <w:rPr>
          <w:rFonts w:ascii="Palatino Linotype" w:hAnsi="Palatino Linotype"/>
        </w:rPr>
        <w:t xml:space="preserve">undertook this procurement </w:t>
      </w:r>
      <w:r w:rsidRPr="00097C4C" w:rsidR="22925E07">
        <w:rPr>
          <w:rFonts w:ascii="Palatino Linotype" w:hAnsi="Palatino Linotype"/>
        </w:rPr>
        <w:t>to meet its 202</w:t>
      </w:r>
      <w:r w:rsidRPr="00097C4C" w:rsidR="00F71981">
        <w:rPr>
          <w:rFonts w:ascii="Palatino Linotype" w:hAnsi="Palatino Linotype"/>
        </w:rPr>
        <w:t>2 and 2023</w:t>
      </w:r>
      <w:r w:rsidRPr="00097C4C" w:rsidR="22925E07">
        <w:rPr>
          <w:rFonts w:ascii="Palatino Linotype" w:hAnsi="Palatino Linotype"/>
        </w:rPr>
        <w:t xml:space="preserve"> incremental procurement requirements </w:t>
      </w:r>
      <w:r w:rsidRPr="00097C4C" w:rsidR="1257B2FE">
        <w:rPr>
          <w:rFonts w:ascii="Palatino Linotype" w:hAnsi="Palatino Linotype"/>
        </w:rPr>
        <w:t xml:space="preserve">pursuant to </w:t>
      </w:r>
    </w:p>
    <w:p w:rsidRPr="00097C4C" w:rsidR="00CF17DE" w:rsidP="3BA1B222" w:rsidRDefault="719B2913" w14:paraId="295761C3" w14:textId="41A8E4C5">
      <w:pPr>
        <w:rPr>
          <w:rFonts w:ascii="Palatino Linotype" w:hAnsi="Palatino Linotype"/>
        </w:rPr>
      </w:pPr>
      <w:r w:rsidRPr="00097C4C">
        <w:rPr>
          <w:rFonts w:ascii="Palatino Linotype" w:hAnsi="Palatino Linotype"/>
        </w:rPr>
        <w:t>Decision 19-11-016</w:t>
      </w:r>
      <w:r w:rsidRPr="00097C4C" w:rsidR="64ED0202">
        <w:rPr>
          <w:rFonts w:ascii="Palatino Linotype" w:hAnsi="Palatino Linotype"/>
        </w:rPr>
        <w:t xml:space="preserve"> in </w:t>
      </w:r>
      <w:r w:rsidRPr="00097C4C" w:rsidR="00353EAB">
        <w:rPr>
          <w:rFonts w:ascii="Palatino Linotype" w:hAnsi="Palatino Linotype"/>
        </w:rPr>
        <w:t xml:space="preserve">the </w:t>
      </w:r>
      <w:r w:rsidRPr="00097C4C" w:rsidR="64ED0202">
        <w:rPr>
          <w:rFonts w:ascii="Palatino Linotype" w:hAnsi="Palatino Linotype"/>
        </w:rPr>
        <w:t>Integrated Resource Plan Rulemaking</w:t>
      </w:r>
      <w:r w:rsidRPr="00097C4C" w:rsidR="00353EAB">
        <w:rPr>
          <w:rFonts w:ascii="Palatino Linotype" w:hAnsi="Palatino Linotype"/>
        </w:rPr>
        <w:t>,</w:t>
      </w:r>
      <w:r w:rsidRPr="00097C4C" w:rsidR="64ED0202">
        <w:rPr>
          <w:rFonts w:ascii="Palatino Linotype" w:hAnsi="Palatino Linotype"/>
        </w:rPr>
        <w:t xml:space="preserve"> 16-02-007</w:t>
      </w:r>
      <w:r w:rsidRPr="00097C4C" w:rsidR="22CB848B">
        <w:rPr>
          <w:rFonts w:ascii="Palatino Linotype" w:hAnsi="Palatino Linotype"/>
        </w:rPr>
        <w:t>.</w:t>
      </w:r>
      <w:r w:rsidRPr="00097C4C" w:rsidR="0F78E1F9">
        <w:rPr>
          <w:rFonts w:ascii="Palatino Linotype" w:hAnsi="Palatino Linotype"/>
        </w:rPr>
        <w:t xml:space="preserve"> This Resolution approves the contracts without modification</w:t>
      </w:r>
      <w:r w:rsidRPr="00097C4C" w:rsidR="684E49B5">
        <w:rPr>
          <w:rFonts w:ascii="Palatino Linotype" w:hAnsi="Palatino Linotype"/>
        </w:rPr>
        <w:t>.</w:t>
      </w:r>
    </w:p>
    <w:p w:rsidRPr="00352797" w:rsidR="00CF17DE" w:rsidRDefault="00CF17DE" w14:paraId="184E396E" w14:textId="77777777"/>
    <w:p w:rsidRPr="00352797" w:rsidR="00CF17DE" w:rsidRDefault="00CF17DE" w14:paraId="0BFDDE4C" w14:textId="77777777">
      <w:pPr>
        <w:pStyle w:val="Heading1"/>
      </w:pPr>
      <w:r w:rsidRPr="00352797">
        <w:t>Background</w:t>
      </w:r>
    </w:p>
    <w:p w:rsidR="00461BE0" w:rsidP="004226F0" w:rsidRDefault="0069165D" w14:paraId="22028087" w14:textId="77777777">
      <w:pPr>
        <w:rPr>
          <w:rFonts w:ascii="Palatino Linotype" w:hAnsi="Palatino Linotype"/>
        </w:rPr>
      </w:pPr>
      <w:r w:rsidRPr="00097C4C">
        <w:rPr>
          <w:rFonts w:ascii="Palatino Linotype" w:hAnsi="Palatino Linotype"/>
        </w:rPr>
        <w:t>Decision (D.)19-11-016</w:t>
      </w:r>
      <w:r w:rsidRPr="00097C4C" w:rsidR="00F84A3E">
        <w:rPr>
          <w:rFonts w:ascii="Palatino Linotype" w:hAnsi="Palatino Linotype"/>
        </w:rPr>
        <w:t xml:space="preserve"> in</w:t>
      </w:r>
      <w:r w:rsidRPr="00097C4C" w:rsidR="00353EAB">
        <w:rPr>
          <w:rFonts w:ascii="Palatino Linotype" w:hAnsi="Palatino Linotype"/>
        </w:rPr>
        <w:t xml:space="preserve"> the</w:t>
      </w:r>
      <w:r w:rsidRPr="00097C4C" w:rsidR="00F84A3E">
        <w:rPr>
          <w:rFonts w:ascii="Palatino Linotype" w:hAnsi="Palatino Linotype"/>
        </w:rPr>
        <w:t xml:space="preserve"> Integrated Resource Plan </w:t>
      </w:r>
      <w:r w:rsidRPr="00097C4C" w:rsidR="21F8764E">
        <w:rPr>
          <w:rFonts w:ascii="Palatino Linotype" w:hAnsi="Palatino Linotype"/>
        </w:rPr>
        <w:t>Rulemaking</w:t>
      </w:r>
      <w:r w:rsidRPr="00097C4C" w:rsidR="00353EAB">
        <w:rPr>
          <w:rFonts w:ascii="Palatino Linotype" w:hAnsi="Palatino Linotype"/>
        </w:rPr>
        <w:t>,</w:t>
      </w:r>
      <w:r w:rsidRPr="00097C4C" w:rsidR="00F84A3E">
        <w:rPr>
          <w:rFonts w:ascii="Palatino Linotype" w:hAnsi="Palatino Linotype"/>
        </w:rPr>
        <w:t xml:space="preserve"> </w:t>
      </w:r>
    </w:p>
    <w:p w:rsidR="00461BE0" w:rsidP="004226F0" w:rsidRDefault="745ACCE9" w14:paraId="6AF7DB67" w14:textId="77777777">
      <w:pPr>
        <w:rPr>
          <w:rFonts w:ascii="Palatino Linotype" w:hAnsi="Palatino Linotype"/>
        </w:rPr>
      </w:pPr>
      <w:r w:rsidRPr="00097C4C">
        <w:rPr>
          <w:rFonts w:ascii="Palatino Linotype" w:hAnsi="Palatino Linotype"/>
        </w:rPr>
        <w:t>(R.)</w:t>
      </w:r>
      <w:r w:rsidRPr="00097C4C" w:rsidR="00F84A3E">
        <w:rPr>
          <w:rFonts w:ascii="Palatino Linotype" w:hAnsi="Palatino Linotype"/>
        </w:rPr>
        <w:t>16-02-007</w:t>
      </w:r>
      <w:r w:rsidRPr="00097C4C" w:rsidR="00353EAB">
        <w:rPr>
          <w:rFonts w:ascii="Palatino Linotype" w:hAnsi="Palatino Linotype"/>
        </w:rPr>
        <w:t>,</w:t>
      </w:r>
      <w:r w:rsidRPr="00097C4C" w:rsidR="0069165D">
        <w:rPr>
          <w:rFonts w:ascii="Palatino Linotype" w:hAnsi="Palatino Linotype"/>
        </w:rPr>
        <w:t xml:space="preserve"> </w:t>
      </w:r>
      <w:r w:rsidRPr="00097C4C" w:rsidR="00F84A3E">
        <w:rPr>
          <w:rFonts w:ascii="Palatino Linotype" w:hAnsi="Palatino Linotype"/>
        </w:rPr>
        <w:t xml:space="preserve">ordered </w:t>
      </w:r>
      <w:r w:rsidRPr="00097C4C" w:rsidR="00D54839">
        <w:rPr>
          <w:rFonts w:ascii="Palatino Linotype" w:hAnsi="Palatino Linotype"/>
        </w:rPr>
        <w:t>Southern California Electric Company</w:t>
      </w:r>
      <w:r w:rsidRPr="00097C4C" w:rsidR="00F84A3E">
        <w:rPr>
          <w:rFonts w:ascii="Palatino Linotype" w:hAnsi="Palatino Linotype"/>
        </w:rPr>
        <w:t xml:space="preserve"> (</w:t>
      </w:r>
      <w:r w:rsidRPr="00097C4C" w:rsidR="00D54839">
        <w:rPr>
          <w:rFonts w:ascii="Palatino Linotype" w:hAnsi="Palatino Linotype"/>
        </w:rPr>
        <w:t>SC</w:t>
      </w:r>
      <w:r w:rsidRPr="00097C4C" w:rsidR="00F84A3E">
        <w:rPr>
          <w:rFonts w:ascii="Palatino Linotype" w:hAnsi="Palatino Linotype"/>
        </w:rPr>
        <w:t xml:space="preserve">E) to procure </w:t>
      </w:r>
      <w:r w:rsidRPr="00097C4C" w:rsidR="00D54839">
        <w:rPr>
          <w:rFonts w:ascii="Palatino Linotype" w:hAnsi="Palatino Linotype"/>
        </w:rPr>
        <w:t>1,184.7</w:t>
      </w:r>
      <w:r w:rsidRPr="00097C4C" w:rsidR="00F84A3E">
        <w:rPr>
          <w:rFonts w:ascii="Palatino Linotype" w:hAnsi="Palatino Linotype"/>
        </w:rPr>
        <w:t xml:space="preserve"> megawatts (MW) of system resource adequacy (RA) capacity,</w:t>
      </w:r>
      <w:r w:rsidRPr="00097C4C" w:rsidR="4F10FD8F">
        <w:rPr>
          <w:rFonts w:ascii="Palatino Linotype" w:hAnsi="Palatino Linotype"/>
        </w:rPr>
        <w:t xml:space="preserve"> at least</w:t>
      </w:r>
      <w:r w:rsidRPr="00097C4C" w:rsidR="00F84A3E">
        <w:rPr>
          <w:rFonts w:ascii="Palatino Linotype" w:hAnsi="Palatino Linotype"/>
        </w:rPr>
        <w:t xml:space="preserve"> 50% of which must come online by August 1, 2021</w:t>
      </w:r>
      <w:r w:rsidRPr="00097C4C" w:rsidR="000A5916">
        <w:rPr>
          <w:rFonts w:ascii="Palatino Linotype" w:hAnsi="Palatino Linotype"/>
        </w:rPr>
        <w:t>, 75% by August 1, 2022, and 100% by August 1, 2023</w:t>
      </w:r>
      <w:r w:rsidRPr="00097C4C" w:rsidR="00F84A3E">
        <w:rPr>
          <w:rFonts w:ascii="Palatino Linotype" w:hAnsi="Palatino Linotype"/>
        </w:rPr>
        <w:t>.</w:t>
      </w:r>
      <w:r w:rsidRPr="00097C4C" w:rsidR="00F84A3E">
        <w:rPr>
          <w:rStyle w:val="FootnoteReference"/>
          <w:rFonts w:ascii="Palatino Linotype" w:hAnsi="Palatino Linotype"/>
        </w:rPr>
        <w:footnoteReference w:id="2"/>
      </w:r>
      <w:r w:rsidRPr="00097C4C" w:rsidR="00F84A3E">
        <w:rPr>
          <w:rFonts w:ascii="Palatino Linotype" w:hAnsi="Palatino Linotype"/>
        </w:rPr>
        <w:t xml:space="preserve"> </w:t>
      </w:r>
      <w:r w:rsidRPr="00097C4C" w:rsidR="004226F0">
        <w:rPr>
          <w:rFonts w:ascii="Palatino Linotype" w:hAnsi="Palatino Linotype"/>
        </w:rPr>
        <w:t xml:space="preserve">In the event that a Community Choice Aggregator (CCA) or Electric Service Provider (ESP) opted not to procure its total allocation, </w:t>
      </w:r>
    </w:p>
    <w:p w:rsidR="00E17A0E" w:rsidP="004226F0" w:rsidRDefault="004226F0" w14:paraId="191B698D" w14:textId="55099076">
      <w:pPr>
        <w:rPr>
          <w:rFonts w:ascii="Palatino Linotype" w:hAnsi="Palatino Linotype"/>
        </w:rPr>
      </w:pPr>
      <w:r w:rsidRPr="00097C4C">
        <w:rPr>
          <w:rFonts w:ascii="Palatino Linotype" w:hAnsi="Palatino Linotype"/>
        </w:rPr>
        <w:t>D.19-11-016 required the relevant investor-owned utility (IOU) to procure the remaining portion of the allocation.</w:t>
      </w:r>
      <w:r w:rsidRPr="00097C4C">
        <w:rPr>
          <w:rStyle w:val="FootnoteReference"/>
          <w:rFonts w:ascii="Palatino Linotype" w:hAnsi="Palatino Linotype"/>
        </w:rPr>
        <w:footnoteReference w:id="3"/>
      </w:r>
      <w:r w:rsidRPr="00097C4C">
        <w:rPr>
          <w:rFonts w:ascii="Palatino Linotype" w:hAnsi="Palatino Linotype"/>
        </w:rPr>
        <w:t xml:space="preserve"> </w:t>
      </w:r>
    </w:p>
    <w:p w:rsidR="00E17A0E" w:rsidP="004226F0" w:rsidRDefault="00E17A0E" w14:paraId="48751CDC" w14:textId="77777777">
      <w:pPr>
        <w:rPr>
          <w:rFonts w:ascii="Palatino Linotype" w:hAnsi="Palatino Linotype"/>
        </w:rPr>
      </w:pPr>
    </w:p>
    <w:p w:rsidRPr="00097C4C" w:rsidR="004226F0" w:rsidP="004226F0" w:rsidRDefault="004226F0" w14:paraId="130AA8DE" w14:textId="4BAD0A68">
      <w:pPr>
        <w:rPr>
          <w:rFonts w:ascii="Palatino Linotype" w:hAnsi="Palatino Linotype"/>
        </w:rPr>
      </w:pPr>
      <w:r w:rsidRPr="00097C4C">
        <w:rPr>
          <w:rFonts w:ascii="Palatino Linotype" w:hAnsi="Palatino Linotype"/>
        </w:rPr>
        <w:t>The Commission directed the IOUs to conduct all-source solicitations that would consider “existing as well as new resources, demand-side resources, combined heat and power, and storage,” provided that selected resources were incremental to baseline resource assumptions included in the Preferred System Plan that the Commission adopted in D.19-04-040.</w:t>
      </w:r>
      <w:r w:rsidRPr="00097C4C">
        <w:rPr>
          <w:rStyle w:val="FootnoteReference"/>
          <w:rFonts w:ascii="Palatino Linotype" w:hAnsi="Palatino Linotype"/>
        </w:rPr>
        <w:footnoteReference w:id="4"/>
      </w:r>
      <w:r w:rsidRPr="00097C4C">
        <w:rPr>
          <w:rFonts w:ascii="Palatino Linotype" w:hAnsi="Palatino Linotype"/>
        </w:rPr>
        <w:t xml:space="preserve"> Finally, the Commission required the IOUs to file Tier 3 advice letters </w:t>
      </w:r>
      <w:r w:rsidRPr="00097C4C" w:rsidR="28E67C29">
        <w:rPr>
          <w:rFonts w:ascii="Palatino Linotype" w:hAnsi="Palatino Linotype"/>
        </w:rPr>
        <w:t xml:space="preserve">(AL) </w:t>
      </w:r>
      <w:r w:rsidRPr="00097C4C">
        <w:rPr>
          <w:rFonts w:ascii="Palatino Linotype" w:hAnsi="Palatino Linotype"/>
        </w:rPr>
        <w:t>for approval of contracts no later than January 1, 2021 and specified that the advice letters must include:</w:t>
      </w:r>
    </w:p>
    <w:p w:rsidRPr="00097C4C" w:rsidR="004226F0" w:rsidP="004226F0" w:rsidRDefault="004226F0" w14:paraId="15C56296" w14:textId="5063E018">
      <w:pPr>
        <w:rPr>
          <w:rFonts w:ascii="Palatino Linotype" w:hAnsi="Palatino Linotype"/>
        </w:rPr>
      </w:pPr>
    </w:p>
    <w:p w:rsidRPr="00097C4C" w:rsidR="005F76DD" w:rsidP="005F76DD" w:rsidRDefault="004226F0" w14:paraId="5EE8B083" w14:textId="334ADBB5">
      <w:pPr>
        <w:pStyle w:val="ListParagraph"/>
        <w:numPr>
          <w:ilvl w:val="0"/>
          <w:numId w:val="16"/>
        </w:numPr>
        <w:rPr>
          <w:rFonts w:ascii="Palatino Linotype" w:hAnsi="Palatino Linotype"/>
        </w:rPr>
      </w:pPr>
      <w:r w:rsidRPr="00097C4C">
        <w:rPr>
          <w:rFonts w:ascii="Palatino Linotype" w:hAnsi="Palatino Linotype"/>
        </w:rPr>
        <w:t xml:space="preserve">Metrics used to compare bids received in the </w:t>
      </w:r>
      <w:proofErr w:type="gramStart"/>
      <w:r w:rsidRPr="00097C4C">
        <w:rPr>
          <w:rFonts w:ascii="Palatino Linotype" w:hAnsi="Palatino Linotype"/>
        </w:rPr>
        <w:t>solicitation;</w:t>
      </w:r>
      <w:proofErr w:type="gramEnd"/>
    </w:p>
    <w:p w:rsidRPr="00097C4C" w:rsidR="004226F0" w:rsidP="004226F0" w:rsidRDefault="004226F0" w14:paraId="4C65783C" w14:textId="090E4FBC">
      <w:pPr>
        <w:pStyle w:val="ListParagraph"/>
        <w:numPr>
          <w:ilvl w:val="0"/>
          <w:numId w:val="16"/>
        </w:numPr>
        <w:rPr>
          <w:rFonts w:ascii="Palatino Linotype" w:hAnsi="Palatino Linotype"/>
        </w:rPr>
      </w:pPr>
      <w:r w:rsidRPr="00097C4C">
        <w:rPr>
          <w:rFonts w:ascii="Palatino Linotype" w:hAnsi="Palatino Linotype"/>
        </w:rPr>
        <w:t xml:space="preserve">Metrics used to compare utility-owned resource options, using Appendix A, Section 2c, of Decision 19-06-032 as a </w:t>
      </w:r>
      <w:proofErr w:type="gramStart"/>
      <w:r w:rsidRPr="00097C4C">
        <w:rPr>
          <w:rFonts w:ascii="Palatino Linotype" w:hAnsi="Palatino Linotype"/>
        </w:rPr>
        <w:t>guide;</w:t>
      </w:r>
      <w:proofErr w:type="gramEnd"/>
    </w:p>
    <w:p w:rsidRPr="00097C4C" w:rsidR="004226F0" w:rsidP="004226F0" w:rsidRDefault="004226F0" w14:paraId="26A88062" w14:textId="3A1AF85E">
      <w:pPr>
        <w:pStyle w:val="ListParagraph"/>
        <w:numPr>
          <w:ilvl w:val="0"/>
          <w:numId w:val="16"/>
        </w:numPr>
        <w:rPr>
          <w:rFonts w:ascii="Palatino Linotype" w:hAnsi="Palatino Linotype"/>
        </w:rPr>
      </w:pPr>
      <w:r w:rsidRPr="00097C4C">
        <w:rPr>
          <w:rFonts w:ascii="Palatino Linotype" w:hAnsi="Palatino Linotype"/>
        </w:rPr>
        <w:lastRenderedPageBreak/>
        <w:t>Demonstration of incrementality to the baseline given in Ordering Paragraph 5 of this decision.</w:t>
      </w:r>
      <w:r w:rsidRPr="00097C4C" w:rsidR="005F76DD">
        <w:rPr>
          <w:rStyle w:val="FootnoteReference"/>
          <w:rFonts w:ascii="Palatino Linotype" w:hAnsi="Palatino Linotype"/>
        </w:rPr>
        <w:footnoteReference w:id="5"/>
      </w:r>
    </w:p>
    <w:p w:rsidRPr="00097C4C" w:rsidR="002C275B" w:rsidP="004226F0" w:rsidRDefault="002C275B" w14:paraId="423CF788" w14:textId="77777777">
      <w:pPr>
        <w:rPr>
          <w:rFonts w:ascii="Palatino Linotype" w:hAnsi="Palatino Linotype"/>
          <w:highlight w:val="cyan"/>
        </w:rPr>
      </w:pPr>
    </w:p>
    <w:p w:rsidRPr="00097C4C" w:rsidR="002C275B" w:rsidP="004226F0" w:rsidRDefault="00D54839" w14:paraId="3445C7FD" w14:textId="384566E1">
      <w:pPr>
        <w:rPr>
          <w:rFonts w:ascii="Palatino Linotype" w:hAnsi="Palatino Linotype"/>
          <w:highlight w:val="cyan"/>
        </w:rPr>
      </w:pPr>
      <w:r w:rsidRPr="00097C4C">
        <w:rPr>
          <w:rFonts w:ascii="Palatino Linotype" w:hAnsi="Palatino Linotype"/>
        </w:rPr>
        <w:t>SC</w:t>
      </w:r>
      <w:r w:rsidRPr="00097C4C" w:rsidR="002C275B">
        <w:rPr>
          <w:rFonts w:ascii="Palatino Linotype" w:hAnsi="Palatino Linotype"/>
        </w:rPr>
        <w:t xml:space="preserve">E’s total procurement requirement is </w:t>
      </w:r>
      <w:r w:rsidRPr="00097C4C">
        <w:rPr>
          <w:rFonts w:ascii="Palatino Linotype" w:hAnsi="Palatino Linotype"/>
        </w:rPr>
        <w:t>1,241.3</w:t>
      </w:r>
      <w:r w:rsidRPr="00097C4C" w:rsidR="002C275B">
        <w:rPr>
          <w:rFonts w:ascii="Palatino Linotype" w:hAnsi="Palatino Linotype"/>
        </w:rPr>
        <w:t xml:space="preserve"> MW, including </w:t>
      </w:r>
      <w:r w:rsidRPr="00097C4C">
        <w:rPr>
          <w:rFonts w:ascii="Palatino Linotype" w:hAnsi="Palatino Linotype"/>
        </w:rPr>
        <w:t>1,184.7</w:t>
      </w:r>
      <w:r w:rsidRPr="00097C4C" w:rsidR="002C275B">
        <w:rPr>
          <w:rFonts w:ascii="Palatino Linotype" w:hAnsi="Palatino Linotype"/>
        </w:rPr>
        <w:t xml:space="preserve"> MW corresponding to bundled customers and </w:t>
      </w:r>
      <w:r w:rsidRPr="00097C4C">
        <w:rPr>
          <w:rFonts w:ascii="Palatino Linotype" w:hAnsi="Palatino Linotype"/>
        </w:rPr>
        <w:t>56.6</w:t>
      </w:r>
      <w:r w:rsidRPr="00097C4C" w:rsidR="002C275B">
        <w:rPr>
          <w:rFonts w:ascii="Palatino Linotype" w:hAnsi="Palatino Linotype"/>
        </w:rPr>
        <w:t xml:space="preserve"> MW corresponding to customers of load serving entities (LSE</w:t>
      </w:r>
      <w:r w:rsidRPr="00097C4C" w:rsidR="00B5238F">
        <w:rPr>
          <w:rFonts w:ascii="Palatino Linotype" w:hAnsi="Palatino Linotype"/>
        </w:rPr>
        <w:t>s</w:t>
      </w:r>
      <w:r w:rsidRPr="00097C4C" w:rsidR="002C275B">
        <w:rPr>
          <w:rFonts w:ascii="Palatino Linotype" w:hAnsi="Palatino Linotype"/>
        </w:rPr>
        <w:t xml:space="preserve">) operating within the </w:t>
      </w:r>
      <w:r w:rsidRPr="00097C4C">
        <w:rPr>
          <w:rFonts w:ascii="Palatino Linotype" w:hAnsi="Palatino Linotype"/>
        </w:rPr>
        <w:t>SC</w:t>
      </w:r>
      <w:r w:rsidRPr="00097C4C" w:rsidR="002C275B">
        <w:rPr>
          <w:rFonts w:ascii="Palatino Linotype" w:hAnsi="Palatino Linotype"/>
        </w:rPr>
        <w:t>E service territory that opted out of their D.19-11-016 procurement requirements.</w:t>
      </w:r>
      <w:r w:rsidRPr="00097C4C" w:rsidR="002C275B">
        <w:rPr>
          <w:rStyle w:val="FootnoteReference"/>
          <w:rFonts w:ascii="Palatino Linotype" w:hAnsi="Palatino Linotype"/>
        </w:rPr>
        <w:footnoteReference w:id="6"/>
      </w:r>
      <w:r w:rsidRPr="00097C4C" w:rsidR="002C275B">
        <w:rPr>
          <w:rFonts w:ascii="Palatino Linotype" w:hAnsi="Palatino Linotype"/>
        </w:rPr>
        <w:t xml:space="preserve"> </w:t>
      </w:r>
      <w:r w:rsidRPr="00097C4C" w:rsidR="001C3F72">
        <w:rPr>
          <w:rFonts w:ascii="Palatino Linotype" w:hAnsi="Palatino Linotype"/>
        </w:rPr>
        <w:t xml:space="preserve">Thus, </w:t>
      </w:r>
      <w:r w:rsidRPr="00097C4C">
        <w:rPr>
          <w:rFonts w:ascii="Palatino Linotype" w:hAnsi="Palatino Linotype"/>
        </w:rPr>
        <w:t>SC</w:t>
      </w:r>
      <w:r w:rsidRPr="00097C4C" w:rsidR="001C3F72">
        <w:rPr>
          <w:rFonts w:ascii="Palatino Linotype" w:hAnsi="Palatino Linotype"/>
        </w:rPr>
        <w:t xml:space="preserve">E must procure at least </w:t>
      </w:r>
      <w:r w:rsidRPr="00097C4C" w:rsidR="000D0B89">
        <w:rPr>
          <w:rFonts w:ascii="Palatino Linotype" w:hAnsi="Palatino Linotype"/>
        </w:rPr>
        <w:t>620.65</w:t>
      </w:r>
      <w:r w:rsidRPr="00097C4C" w:rsidR="001C3F72">
        <w:rPr>
          <w:rFonts w:ascii="Palatino Linotype" w:hAnsi="Palatino Linotype"/>
        </w:rPr>
        <w:t xml:space="preserve"> MW </w:t>
      </w:r>
      <w:r w:rsidRPr="00097C4C" w:rsidR="00E55904">
        <w:rPr>
          <w:rFonts w:ascii="Palatino Linotype" w:hAnsi="Palatino Linotype"/>
        </w:rPr>
        <w:t xml:space="preserve">by August 1, 2021, at least </w:t>
      </w:r>
      <w:r w:rsidRPr="00097C4C" w:rsidR="00E5474A">
        <w:rPr>
          <w:rFonts w:ascii="Palatino Linotype" w:hAnsi="Palatino Linotype"/>
        </w:rPr>
        <w:t>9</w:t>
      </w:r>
      <w:r w:rsidR="00E5474A">
        <w:rPr>
          <w:rFonts w:ascii="Palatino Linotype" w:hAnsi="Palatino Linotype"/>
        </w:rPr>
        <w:t>3</w:t>
      </w:r>
      <w:r w:rsidRPr="00097C4C" w:rsidR="00E5474A">
        <w:rPr>
          <w:rFonts w:ascii="Palatino Linotype" w:hAnsi="Palatino Linotype"/>
        </w:rPr>
        <w:t>0</w:t>
      </w:r>
      <w:r w:rsidRPr="00097C4C" w:rsidR="000D0B89">
        <w:rPr>
          <w:rFonts w:ascii="Palatino Linotype" w:hAnsi="Palatino Linotype"/>
        </w:rPr>
        <w:t>.98</w:t>
      </w:r>
      <w:r w:rsidRPr="00097C4C" w:rsidR="00E55904">
        <w:rPr>
          <w:rFonts w:ascii="Palatino Linotype" w:hAnsi="Palatino Linotype"/>
        </w:rPr>
        <w:t xml:space="preserve"> MW by August 1, 2022, and </w:t>
      </w:r>
      <w:r w:rsidRPr="00097C4C" w:rsidR="000D0B89">
        <w:rPr>
          <w:rFonts w:ascii="Palatino Linotype" w:hAnsi="Palatino Linotype"/>
        </w:rPr>
        <w:t>1,241.3</w:t>
      </w:r>
      <w:r w:rsidRPr="00097C4C" w:rsidR="00E55904">
        <w:rPr>
          <w:rFonts w:ascii="Palatino Linotype" w:hAnsi="Palatino Linotype"/>
        </w:rPr>
        <w:t xml:space="preserve"> MW by August 1, 2023.</w:t>
      </w:r>
    </w:p>
    <w:p w:rsidRPr="00097C4C" w:rsidR="002C275B" w:rsidP="004226F0" w:rsidRDefault="002C275B" w14:paraId="0AD3C95C" w14:textId="77777777">
      <w:pPr>
        <w:rPr>
          <w:rFonts w:ascii="Palatino Linotype" w:hAnsi="Palatino Linotype"/>
          <w:highlight w:val="cyan"/>
        </w:rPr>
      </w:pPr>
    </w:p>
    <w:p w:rsidRPr="00097C4C" w:rsidR="005B3E0A" w:rsidP="004226F0" w:rsidRDefault="00572A8D" w14:paraId="14323166" w14:textId="77777777">
      <w:pPr>
        <w:rPr>
          <w:rFonts w:ascii="Palatino Linotype" w:hAnsi="Palatino Linotype"/>
        </w:rPr>
      </w:pPr>
      <w:r w:rsidRPr="00097C4C">
        <w:rPr>
          <w:rFonts w:ascii="Palatino Linotype" w:hAnsi="Palatino Linotype"/>
        </w:rPr>
        <w:t xml:space="preserve">On </w:t>
      </w:r>
      <w:r w:rsidRPr="00097C4C" w:rsidR="000D0B89">
        <w:rPr>
          <w:rFonts w:ascii="Palatino Linotype" w:hAnsi="Palatino Linotype"/>
        </w:rPr>
        <w:t>September 19, 2019</w:t>
      </w:r>
      <w:r w:rsidRPr="00097C4C">
        <w:rPr>
          <w:rFonts w:ascii="Palatino Linotype" w:hAnsi="Palatino Linotype"/>
        </w:rPr>
        <w:t xml:space="preserve">, </w:t>
      </w:r>
      <w:r w:rsidRPr="00097C4C" w:rsidR="000D0B89">
        <w:rPr>
          <w:rFonts w:ascii="Palatino Linotype" w:hAnsi="Palatino Linotype"/>
        </w:rPr>
        <w:t>SC</w:t>
      </w:r>
      <w:r w:rsidRPr="00097C4C">
        <w:rPr>
          <w:rFonts w:ascii="Palatino Linotype" w:hAnsi="Palatino Linotype"/>
        </w:rPr>
        <w:t>E initiated a</w:t>
      </w:r>
      <w:r w:rsidRPr="00097C4C" w:rsidR="000D0B89">
        <w:rPr>
          <w:rFonts w:ascii="Palatino Linotype" w:hAnsi="Palatino Linotype"/>
        </w:rPr>
        <w:t xml:space="preserve"> System Reliability Request for Offers (SRRFO) which utilized a Fast Track for projects to come online by August 1, 2021 and a Standard Track for projects to come online by August 1, 2022 and August 1, 2023. The </w:t>
      </w:r>
      <w:proofErr w:type="gramStart"/>
      <w:r w:rsidRPr="00097C4C" w:rsidR="000D0B89">
        <w:rPr>
          <w:rFonts w:ascii="Palatino Linotype" w:hAnsi="Palatino Linotype"/>
        </w:rPr>
        <w:t>Fast Track</w:t>
      </w:r>
      <w:proofErr w:type="gramEnd"/>
      <w:r w:rsidRPr="00097C4C">
        <w:rPr>
          <w:rFonts w:ascii="Palatino Linotype" w:hAnsi="Palatino Linotype"/>
        </w:rPr>
        <w:t xml:space="preserve"> solicitation </w:t>
      </w:r>
      <w:r w:rsidRPr="00097C4C" w:rsidR="006D4A91">
        <w:rPr>
          <w:rFonts w:ascii="Palatino Linotype" w:hAnsi="Palatino Linotype"/>
        </w:rPr>
        <w:t>resulted in seven contracts for</w:t>
      </w:r>
      <w:r w:rsidRPr="00097C4C" w:rsidR="002C275B">
        <w:rPr>
          <w:rFonts w:ascii="Palatino Linotype" w:hAnsi="Palatino Linotype"/>
        </w:rPr>
        <w:t xml:space="preserve"> roughly </w:t>
      </w:r>
      <w:r w:rsidRPr="00097C4C" w:rsidR="000D0B89">
        <w:rPr>
          <w:rFonts w:ascii="Palatino Linotype" w:hAnsi="Palatino Linotype"/>
        </w:rPr>
        <w:t>677.6</w:t>
      </w:r>
      <w:r w:rsidRPr="00097C4C" w:rsidR="002C275B">
        <w:rPr>
          <w:rFonts w:ascii="Palatino Linotype" w:hAnsi="Palatino Linotype"/>
        </w:rPr>
        <w:t xml:space="preserve"> MW of</w:t>
      </w:r>
      <w:r w:rsidRPr="00097C4C" w:rsidR="006D4A91">
        <w:rPr>
          <w:rFonts w:ascii="Palatino Linotype" w:hAnsi="Palatino Linotype"/>
        </w:rPr>
        <w:t xml:space="preserve"> incremental capacity, which the Commission subsequently approved in Resolution E-510</w:t>
      </w:r>
      <w:r w:rsidRPr="00097C4C" w:rsidR="000D0B89">
        <w:rPr>
          <w:rFonts w:ascii="Palatino Linotype" w:hAnsi="Palatino Linotype"/>
        </w:rPr>
        <w:t>1</w:t>
      </w:r>
      <w:r w:rsidRPr="00097C4C" w:rsidR="006D4A91">
        <w:rPr>
          <w:rFonts w:ascii="Palatino Linotype" w:hAnsi="Palatino Linotype"/>
        </w:rPr>
        <w:t xml:space="preserve">. </w:t>
      </w:r>
    </w:p>
    <w:p w:rsidRPr="00097C4C" w:rsidR="005B3E0A" w:rsidP="004226F0" w:rsidRDefault="005B3E0A" w14:paraId="15C4A703" w14:textId="77777777">
      <w:pPr>
        <w:rPr>
          <w:rFonts w:ascii="Palatino Linotype" w:hAnsi="Palatino Linotype"/>
        </w:rPr>
      </w:pPr>
    </w:p>
    <w:p w:rsidRPr="00097C4C" w:rsidR="00983917" w:rsidP="004226F0" w:rsidRDefault="005B3E0A" w14:paraId="3D4E0113" w14:textId="478267CD">
      <w:pPr>
        <w:rPr>
          <w:rFonts w:ascii="Palatino Linotype" w:hAnsi="Palatino Linotype"/>
          <w:highlight w:val="cyan"/>
        </w:rPr>
      </w:pPr>
      <w:r w:rsidRPr="00097C4C">
        <w:rPr>
          <w:rFonts w:ascii="Palatino Linotype" w:hAnsi="Palatino Linotype"/>
        </w:rPr>
        <w:t xml:space="preserve">SCE consulted with its Procurement Review Group (PRG) regarding the launch of the SRRFO on September 18, 2019. Once it received notice that it would be procuring on behalf of other LSEs that opted out of self-procuring, SCE consulted with its </w:t>
      </w:r>
      <w:r w:rsidRPr="00097C4C" w:rsidR="00B5238F">
        <w:rPr>
          <w:rFonts w:ascii="Palatino Linotype" w:hAnsi="Palatino Linotype"/>
        </w:rPr>
        <w:t>cost allocation mechanism (</w:t>
      </w:r>
      <w:r w:rsidRPr="00097C4C">
        <w:rPr>
          <w:rFonts w:ascii="Palatino Linotype" w:hAnsi="Palatino Linotype"/>
        </w:rPr>
        <w:t>CAM</w:t>
      </w:r>
      <w:r w:rsidRPr="00097C4C" w:rsidR="00B5238F">
        <w:rPr>
          <w:rFonts w:ascii="Palatino Linotype" w:hAnsi="Palatino Linotype"/>
        </w:rPr>
        <w:t>)</w:t>
      </w:r>
      <w:r w:rsidRPr="00097C4C">
        <w:rPr>
          <w:rFonts w:ascii="Palatino Linotype" w:hAnsi="Palatino Linotype"/>
        </w:rPr>
        <w:t xml:space="preserve"> PRG group which includes the members of SCE’s PRG and Direct Access representatives. SCE consulted with the CAM PRG on its Standard Track final selection recommendations on September 22, 2020 and on one of the selected Standard Track Contracts on October 21, 2020.</w:t>
      </w:r>
      <w:r w:rsidRPr="00097C4C" w:rsidR="00D304CE">
        <w:rPr>
          <w:rStyle w:val="FootnoteReference"/>
          <w:rFonts w:ascii="Palatino Linotype" w:hAnsi="Palatino Linotype"/>
        </w:rPr>
        <w:footnoteReference w:id="7"/>
      </w:r>
      <w:r w:rsidRPr="00097C4C" w:rsidR="6DED578B">
        <w:rPr>
          <w:rFonts w:ascii="Palatino Linotype" w:hAnsi="Palatino Linotype"/>
        </w:rPr>
        <w:t xml:space="preserve"> </w:t>
      </w:r>
      <w:r w:rsidRPr="00097C4C">
        <w:rPr>
          <w:rFonts w:ascii="Palatino Linotype" w:hAnsi="Palatino Linotype"/>
        </w:rPr>
        <w:t>SC</w:t>
      </w:r>
      <w:r w:rsidRPr="00097C4C" w:rsidR="002C0D8B">
        <w:rPr>
          <w:rFonts w:ascii="Palatino Linotype" w:hAnsi="Palatino Linotype"/>
        </w:rPr>
        <w:t xml:space="preserve">E also consulted with </w:t>
      </w:r>
      <w:r w:rsidRPr="00097C4C" w:rsidR="00617CD9">
        <w:rPr>
          <w:rFonts w:ascii="Palatino Linotype" w:hAnsi="Palatino Linotype"/>
        </w:rPr>
        <w:t>its</w:t>
      </w:r>
      <w:r w:rsidRPr="00097C4C" w:rsidR="002C0D8B">
        <w:rPr>
          <w:rFonts w:ascii="Palatino Linotype" w:hAnsi="Palatino Linotype"/>
        </w:rPr>
        <w:t xml:space="preserve"> independent evaluator (IE) – </w:t>
      </w:r>
      <w:proofErr w:type="spellStart"/>
      <w:r w:rsidRPr="00097C4C">
        <w:rPr>
          <w:rFonts w:ascii="Palatino Linotype" w:hAnsi="Palatino Linotype"/>
        </w:rPr>
        <w:t>Sedway</w:t>
      </w:r>
      <w:proofErr w:type="spellEnd"/>
      <w:r w:rsidRPr="00097C4C">
        <w:rPr>
          <w:rFonts w:ascii="Palatino Linotype" w:hAnsi="Palatino Linotype"/>
        </w:rPr>
        <w:t xml:space="preserve"> Consulting</w:t>
      </w:r>
      <w:r w:rsidRPr="00097C4C" w:rsidR="002C0D8B">
        <w:rPr>
          <w:rFonts w:ascii="Palatino Linotype" w:hAnsi="Palatino Linotype"/>
        </w:rPr>
        <w:t xml:space="preserve"> – throughout the solicitation process, and AL </w:t>
      </w:r>
      <w:r w:rsidRPr="00097C4C">
        <w:rPr>
          <w:rFonts w:ascii="Palatino Linotype" w:hAnsi="Palatino Linotype"/>
        </w:rPr>
        <w:t>4373</w:t>
      </w:r>
      <w:r w:rsidRPr="00097C4C" w:rsidR="002C0D8B">
        <w:rPr>
          <w:rFonts w:ascii="Palatino Linotype" w:hAnsi="Palatino Linotype"/>
        </w:rPr>
        <w:t>-E contains both public and confidential versions of the IE’s report</w:t>
      </w:r>
      <w:r w:rsidRPr="00097C4C" w:rsidR="00617CD9">
        <w:rPr>
          <w:rFonts w:ascii="Palatino Linotype" w:hAnsi="Palatino Linotype"/>
        </w:rPr>
        <w:t xml:space="preserve"> on the solicitation</w:t>
      </w:r>
      <w:r w:rsidRPr="00097C4C" w:rsidR="002C0D8B">
        <w:rPr>
          <w:rFonts w:ascii="Palatino Linotype" w:hAnsi="Palatino Linotype"/>
        </w:rPr>
        <w:t>.</w:t>
      </w:r>
      <w:r w:rsidRPr="00097C4C" w:rsidR="002C0D8B">
        <w:rPr>
          <w:rStyle w:val="FootnoteReference"/>
          <w:rFonts w:ascii="Palatino Linotype" w:hAnsi="Palatino Linotype"/>
        </w:rPr>
        <w:footnoteReference w:id="8"/>
      </w:r>
      <w:r w:rsidRPr="00097C4C" w:rsidR="002C0D8B">
        <w:rPr>
          <w:rFonts w:ascii="Palatino Linotype" w:hAnsi="Palatino Linotype"/>
        </w:rPr>
        <w:t xml:space="preserve"> </w:t>
      </w:r>
    </w:p>
    <w:p w:rsidRPr="00097C4C" w:rsidR="00A54196" w:rsidP="004226F0" w:rsidRDefault="005F76DD" w14:paraId="4CAF7BF9" w14:textId="70D50481">
      <w:pPr>
        <w:rPr>
          <w:rFonts w:ascii="Palatino Linotype" w:hAnsi="Palatino Linotype"/>
        </w:rPr>
      </w:pPr>
      <w:r w:rsidRPr="00097C4C">
        <w:rPr>
          <w:rFonts w:ascii="Palatino Linotype" w:hAnsi="Palatino Linotype"/>
        </w:rPr>
        <w:lastRenderedPageBreak/>
        <w:t xml:space="preserve">On </w:t>
      </w:r>
      <w:r w:rsidRPr="00097C4C" w:rsidR="00E55904">
        <w:rPr>
          <w:rFonts w:ascii="Palatino Linotype" w:hAnsi="Palatino Linotype"/>
        </w:rPr>
        <w:t xml:space="preserve">December </w:t>
      </w:r>
      <w:r w:rsidRPr="00097C4C" w:rsidR="00C30869">
        <w:rPr>
          <w:rFonts w:ascii="Palatino Linotype" w:hAnsi="Palatino Linotype"/>
        </w:rPr>
        <w:t>18</w:t>
      </w:r>
      <w:r w:rsidRPr="00097C4C">
        <w:rPr>
          <w:rFonts w:ascii="Palatino Linotype" w:hAnsi="Palatino Linotype"/>
        </w:rPr>
        <w:t xml:space="preserve">, 2020, </w:t>
      </w:r>
      <w:r w:rsidRPr="00097C4C" w:rsidR="00C30869">
        <w:rPr>
          <w:rFonts w:ascii="Palatino Linotype" w:hAnsi="Palatino Linotype"/>
        </w:rPr>
        <w:t>SC</w:t>
      </w:r>
      <w:r w:rsidRPr="00097C4C">
        <w:rPr>
          <w:rFonts w:ascii="Palatino Linotype" w:hAnsi="Palatino Linotype"/>
        </w:rPr>
        <w:t xml:space="preserve">E filed </w:t>
      </w:r>
      <w:r w:rsidRPr="00097C4C" w:rsidR="5DF2DA6B">
        <w:rPr>
          <w:rFonts w:ascii="Palatino Linotype" w:hAnsi="Palatino Linotype"/>
        </w:rPr>
        <w:t xml:space="preserve">Tier 3 </w:t>
      </w:r>
      <w:r w:rsidRPr="00097C4C" w:rsidR="00CE2E3F">
        <w:rPr>
          <w:rFonts w:ascii="Palatino Linotype" w:hAnsi="Palatino Linotype"/>
        </w:rPr>
        <w:t xml:space="preserve">AL </w:t>
      </w:r>
      <w:r w:rsidRPr="00097C4C" w:rsidR="00C30869">
        <w:rPr>
          <w:rFonts w:ascii="Palatino Linotype" w:hAnsi="Palatino Linotype"/>
        </w:rPr>
        <w:t>4373</w:t>
      </w:r>
      <w:r w:rsidRPr="00097C4C" w:rsidR="00CE2E3F">
        <w:rPr>
          <w:rFonts w:ascii="Palatino Linotype" w:hAnsi="Palatino Linotype"/>
        </w:rPr>
        <w:t>-E, which requests approval of</w:t>
      </w:r>
      <w:r w:rsidRPr="00097C4C" w:rsidR="0029049F">
        <w:rPr>
          <w:rFonts w:ascii="Palatino Linotype" w:hAnsi="Palatino Linotype"/>
        </w:rPr>
        <w:t xml:space="preserve"> </w:t>
      </w:r>
      <w:r w:rsidRPr="00097C4C" w:rsidR="00C30869">
        <w:rPr>
          <w:rFonts w:ascii="Palatino Linotype" w:hAnsi="Palatino Linotype"/>
        </w:rPr>
        <w:t>five</w:t>
      </w:r>
      <w:r w:rsidRPr="00097C4C" w:rsidR="192FCBCA">
        <w:rPr>
          <w:rFonts w:ascii="Palatino Linotype" w:hAnsi="Palatino Linotype"/>
        </w:rPr>
        <w:t xml:space="preserve"> </w:t>
      </w:r>
      <w:r w:rsidRPr="00097C4C" w:rsidR="00124402">
        <w:rPr>
          <w:rFonts w:ascii="Palatino Linotype" w:hAnsi="Palatino Linotype"/>
        </w:rPr>
        <w:t xml:space="preserve">selected </w:t>
      </w:r>
      <w:r w:rsidRPr="00097C4C" w:rsidR="00C30869">
        <w:rPr>
          <w:rFonts w:ascii="Palatino Linotype" w:hAnsi="Palatino Linotype"/>
        </w:rPr>
        <w:t xml:space="preserve">Standard Track </w:t>
      </w:r>
      <w:r w:rsidRPr="00097C4C" w:rsidR="0029049F">
        <w:rPr>
          <w:rFonts w:ascii="Palatino Linotype" w:hAnsi="Palatino Linotype"/>
        </w:rPr>
        <w:t>contracts.</w:t>
      </w:r>
      <w:r w:rsidRPr="00097C4C" w:rsidR="0AEC4312">
        <w:rPr>
          <w:rFonts w:ascii="Palatino Linotype" w:hAnsi="Palatino Linotype"/>
        </w:rPr>
        <w:t xml:space="preserve"> </w:t>
      </w:r>
      <w:r w:rsidRPr="00097C4C" w:rsidR="00C30869">
        <w:rPr>
          <w:rFonts w:ascii="Palatino Linotype" w:hAnsi="Palatino Linotype"/>
        </w:rPr>
        <w:t>Two</w:t>
      </w:r>
      <w:r w:rsidRPr="00097C4C" w:rsidR="00983917">
        <w:rPr>
          <w:rFonts w:ascii="Palatino Linotype" w:hAnsi="Palatino Linotype"/>
        </w:rPr>
        <w:t xml:space="preserve"> </w:t>
      </w:r>
      <w:r w:rsidRPr="00097C4C" w:rsidR="0090225A">
        <w:rPr>
          <w:rFonts w:ascii="Palatino Linotype" w:hAnsi="Palatino Linotype"/>
        </w:rPr>
        <w:t xml:space="preserve">contracts </w:t>
      </w:r>
      <w:r w:rsidRPr="00097C4C" w:rsidR="00983917">
        <w:rPr>
          <w:rFonts w:ascii="Palatino Linotype" w:hAnsi="Palatino Linotype"/>
        </w:rPr>
        <w:t>are</w:t>
      </w:r>
      <w:r w:rsidRPr="00097C4C" w:rsidR="00C30869">
        <w:rPr>
          <w:rFonts w:ascii="Palatino Linotype" w:hAnsi="Palatino Linotype"/>
        </w:rPr>
        <w:t xml:space="preserve"> in-front of the meter (IFOM) energy storage tolling agreements, one contract is IFOM</w:t>
      </w:r>
      <w:r w:rsidRPr="00097C4C" w:rsidR="00983917">
        <w:rPr>
          <w:rFonts w:ascii="Palatino Linotype" w:hAnsi="Palatino Linotype"/>
        </w:rPr>
        <w:t xml:space="preserve"> </w:t>
      </w:r>
      <w:r w:rsidRPr="00097C4C" w:rsidR="00C30869">
        <w:rPr>
          <w:rFonts w:ascii="Palatino Linotype" w:hAnsi="Palatino Linotype"/>
        </w:rPr>
        <w:t xml:space="preserve">energy storage for resource adequacy (RA) plus Put Option, and two contracts are for behind-the-meter (BTM) energy storage-demand response. </w:t>
      </w:r>
      <w:r w:rsidRPr="00097C4C" w:rsidR="00983917">
        <w:rPr>
          <w:rFonts w:ascii="Palatino Linotype" w:hAnsi="Palatino Linotype"/>
        </w:rPr>
        <w:t>The projects represent</w:t>
      </w:r>
      <w:r w:rsidRPr="00097C4C" w:rsidR="00550FB3">
        <w:rPr>
          <w:rFonts w:ascii="Palatino Linotype" w:hAnsi="Palatino Linotype"/>
        </w:rPr>
        <w:t xml:space="preserve"> </w:t>
      </w:r>
      <w:r w:rsidRPr="00097C4C" w:rsidR="00C30869">
        <w:rPr>
          <w:rFonts w:ascii="Palatino Linotype" w:hAnsi="Palatino Linotype"/>
        </w:rPr>
        <w:t>590</w:t>
      </w:r>
      <w:r w:rsidRPr="00097C4C" w:rsidR="00550FB3">
        <w:rPr>
          <w:rFonts w:ascii="Palatino Linotype" w:hAnsi="Palatino Linotype"/>
        </w:rPr>
        <w:t xml:space="preserve"> MW of </w:t>
      </w:r>
      <w:r w:rsidRPr="00097C4C" w:rsidR="00FC1166">
        <w:rPr>
          <w:rFonts w:ascii="Palatino Linotype" w:hAnsi="Palatino Linotype"/>
        </w:rPr>
        <w:t>incremental capacity</w:t>
      </w:r>
      <w:r w:rsidRPr="00097C4C" w:rsidR="00550FB3">
        <w:rPr>
          <w:rFonts w:ascii="Palatino Linotype" w:hAnsi="Palatino Linotype"/>
        </w:rPr>
        <w:t xml:space="preserve">, </w:t>
      </w:r>
      <w:r w:rsidRPr="00097C4C" w:rsidR="00C30869">
        <w:rPr>
          <w:rFonts w:ascii="Palatino Linotype" w:hAnsi="Palatino Linotype"/>
        </w:rPr>
        <w:t>260</w:t>
      </w:r>
      <w:r w:rsidRPr="00097C4C" w:rsidR="00550FB3">
        <w:rPr>
          <w:rFonts w:ascii="Palatino Linotype" w:hAnsi="Palatino Linotype"/>
        </w:rPr>
        <w:t xml:space="preserve"> MW of which would achieve commercial operation by August 1, 2022</w:t>
      </w:r>
      <w:r w:rsidRPr="00097C4C" w:rsidR="00295E4A">
        <w:rPr>
          <w:rFonts w:ascii="Palatino Linotype" w:hAnsi="Palatino Linotype"/>
        </w:rPr>
        <w:t>,</w:t>
      </w:r>
      <w:r w:rsidRPr="00097C4C" w:rsidR="00550FB3">
        <w:rPr>
          <w:rFonts w:ascii="Palatino Linotype" w:hAnsi="Palatino Linotype"/>
        </w:rPr>
        <w:t xml:space="preserve"> and </w:t>
      </w:r>
      <w:r w:rsidRPr="00097C4C" w:rsidR="00C30869">
        <w:rPr>
          <w:rFonts w:ascii="Palatino Linotype" w:hAnsi="Palatino Linotype"/>
        </w:rPr>
        <w:t>330</w:t>
      </w:r>
      <w:r w:rsidRPr="00097C4C" w:rsidR="00550FB3">
        <w:rPr>
          <w:rFonts w:ascii="Palatino Linotype" w:hAnsi="Palatino Linotype"/>
        </w:rPr>
        <w:t xml:space="preserve"> MW of which would achieve commercial operation by August 1, 2023. </w:t>
      </w:r>
      <w:r w:rsidRPr="00097C4C" w:rsidR="00FC1166">
        <w:rPr>
          <w:rFonts w:ascii="Palatino Linotype" w:hAnsi="Palatino Linotype"/>
        </w:rPr>
        <w:t xml:space="preserve">In combination with the </w:t>
      </w:r>
      <w:r w:rsidRPr="00097C4C" w:rsidR="00C30869">
        <w:rPr>
          <w:rFonts w:ascii="Palatino Linotype" w:hAnsi="Palatino Linotype"/>
        </w:rPr>
        <w:t>677.6</w:t>
      </w:r>
      <w:r w:rsidRPr="00097C4C" w:rsidR="00FC1166">
        <w:rPr>
          <w:rFonts w:ascii="Palatino Linotype" w:hAnsi="Palatino Linotype"/>
        </w:rPr>
        <w:t xml:space="preserve"> MW of 2021 incremental capacity that the Commission approved in Resolution E-510</w:t>
      </w:r>
      <w:r w:rsidRPr="00097C4C" w:rsidR="00C30869">
        <w:rPr>
          <w:rFonts w:ascii="Palatino Linotype" w:hAnsi="Palatino Linotype"/>
        </w:rPr>
        <w:t>1</w:t>
      </w:r>
      <w:r w:rsidRPr="00097C4C" w:rsidR="00FC1166">
        <w:rPr>
          <w:rFonts w:ascii="Palatino Linotype" w:hAnsi="Palatino Linotype"/>
        </w:rPr>
        <w:t xml:space="preserve">, </w:t>
      </w:r>
      <w:r w:rsidRPr="00097C4C" w:rsidR="00295E4A">
        <w:rPr>
          <w:rFonts w:ascii="Palatino Linotype" w:hAnsi="Palatino Linotype"/>
        </w:rPr>
        <w:t>the</w:t>
      </w:r>
      <w:r w:rsidRPr="00097C4C" w:rsidR="00FC1166">
        <w:rPr>
          <w:rFonts w:ascii="Palatino Linotype" w:hAnsi="Palatino Linotype"/>
        </w:rPr>
        <w:t xml:space="preserve"> </w:t>
      </w:r>
      <w:r w:rsidRPr="00097C4C" w:rsidR="00295E4A">
        <w:rPr>
          <w:rFonts w:ascii="Palatino Linotype" w:hAnsi="Palatino Linotype"/>
        </w:rPr>
        <w:t>procurement</w:t>
      </w:r>
      <w:r w:rsidRPr="00097C4C" w:rsidR="00FC1166">
        <w:rPr>
          <w:rFonts w:ascii="Palatino Linotype" w:hAnsi="Palatino Linotype"/>
        </w:rPr>
        <w:t xml:space="preserve"> </w:t>
      </w:r>
      <w:r w:rsidRPr="00097C4C" w:rsidR="00295E4A">
        <w:rPr>
          <w:rFonts w:ascii="Palatino Linotype" w:hAnsi="Palatino Linotype"/>
        </w:rPr>
        <w:t xml:space="preserve">in AL </w:t>
      </w:r>
      <w:r w:rsidRPr="00097C4C" w:rsidR="00C30869">
        <w:rPr>
          <w:rFonts w:ascii="Palatino Linotype" w:hAnsi="Palatino Linotype"/>
        </w:rPr>
        <w:t>4373</w:t>
      </w:r>
      <w:r w:rsidRPr="00097C4C" w:rsidR="00295E4A">
        <w:rPr>
          <w:rFonts w:ascii="Palatino Linotype" w:hAnsi="Palatino Linotype"/>
        </w:rPr>
        <w:t xml:space="preserve">-E </w:t>
      </w:r>
      <w:r w:rsidRPr="00097C4C" w:rsidR="00FC1166">
        <w:rPr>
          <w:rFonts w:ascii="Palatino Linotype" w:hAnsi="Palatino Linotype"/>
        </w:rPr>
        <w:t xml:space="preserve">would result in </w:t>
      </w:r>
      <w:r w:rsidRPr="00097C4C" w:rsidR="00C30869">
        <w:rPr>
          <w:rFonts w:ascii="Palatino Linotype" w:hAnsi="Palatino Linotype"/>
        </w:rPr>
        <w:t>937.6</w:t>
      </w:r>
      <w:r w:rsidRPr="00097C4C" w:rsidR="00FC1166">
        <w:rPr>
          <w:rFonts w:ascii="Palatino Linotype" w:hAnsi="Palatino Linotype"/>
        </w:rPr>
        <w:t xml:space="preserve"> MW of incremental capacity coming online by 2022 and </w:t>
      </w:r>
      <w:r w:rsidRPr="00097C4C" w:rsidR="00C30869">
        <w:rPr>
          <w:rFonts w:ascii="Palatino Linotype" w:hAnsi="Palatino Linotype"/>
        </w:rPr>
        <w:t>1,267.6</w:t>
      </w:r>
      <w:r w:rsidRPr="00097C4C" w:rsidR="00FC1166">
        <w:rPr>
          <w:rFonts w:ascii="Palatino Linotype" w:hAnsi="Palatino Linotype"/>
        </w:rPr>
        <w:t xml:space="preserve"> MW coming online by 2023, exceeding </w:t>
      </w:r>
      <w:r w:rsidRPr="00097C4C" w:rsidR="00C30869">
        <w:rPr>
          <w:rFonts w:ascii="Palatino Linotype" w:hAnsi="Palatino Linotype"/>
        </w:rPr>
        <w:t>SC</w:t>
      </w:r>
      <w:r w:rsidRPr="00097C4C" w:rsidR="00FC1166">
        <w:rPr>
          <w:rFonts w:ascii="Palatino Linotype" w:hAnsi="Palatino Linotype"/>
        </w:rPr>
        <w:t>E’s respective requirements for those years.</w:t>
      </w:r>
      <w:r w:rsidRPr="00097C4C" w:rsidR="00D375E9">
        <w:rPr>
          <w:rStyle w:val="FootnoteReference"/>
          <w:rFonts w:ascii="Palatino Linotype" w:hAnsi="Palatino Linotype"/>
        </w:rPr>
        <w:footnoteReference w:id="9"/>
      </w:r>
      <w:r w:rsidRPr="00097C4C" w:rsidR="00FC1166">
        <w:rPr>
          <w:rFonts w:ascii="Palatino Linotype" w:hAnsi="Palatino Linotype"/>
        </w:rPr>
        <w:t xml:space="preserve"> </w:t>
      </w:r>
      <w:r w:rsidRPr="00097C4C" w:rsidR="00550FB3">
        <w:rPr>
          <w:rFonts w:ascii="Palatino Linotype" w:hAnsi="Palatino Linotype"/>
        </w:rPr>
        <w:t xml:space="preserve">The table below describes the contracts for which </w:t>
      </w:r>
      <w:r w:rsidRPr="00097C4C" w:rsidR="00C30869">
        <w:rPr>
          <w:rFonts w:ascii="Palatino Linotype" w:hAnsi="Palatino Linotype"/>
        </w:rPr>
        <w:t>SC</w:t>
      </w:r>
      <w:r w:rsidRPr="00097C4C" w:rsidR="00550FB3">
        <w:rPr>
          <w:rFonts w:ascii="Palatino Linotype" w:hAnsi="Palatino Linotype"/>
        </w:rPr>
        <w:t>E seeks approval.</w:t>
      </w:r>
    </w:p>
    <w:p w:rsidRPr="00097C4C" w:rsidR="76508F2D" w:rsidP="76508F2D" w:rsidRDefault="76508F2D" w14:paraId="4E226967" w14:textId="76AB24EB">
      <w:pPr>
        <w:rPr>
          <w:rFonts w:ascii="Palatino Linotype" w:hAnsi="Palatino Linotype"/>
          <w:highlight w:val="cyan"/>
        </w:rPr>
      </w:pPr>
    </w:p>
    <w:tbl>
      <w:tblPr>
        <w:tblStyle w:val="TableGrid"/>
        <w:tblW w:w="9441" w:type="dxa"/>
        <w:tblInd w:w="4" w:type="dxa"/>
        <w:tblLayout w:type="fixed"/>
        <w:tblLook w:val="06A0" w:firstRow="1" w:lastRow="0" w:firstColumn="1" w:lastColumn="0" w:noHBand="1" w:noVBand="1"/>
      </w:tblPr>
      <w:tblGrid>
        <w:gridCol w:w="1971"/>
        <w:gridCol w:w="1350"/>
        <w:gridCol w:w="1080"/>
        <w:gridCol w:w="1620"/>
        <w:gridCol w:w="1080"/>
        <w:gridCol w:w="1170"/>
        <w:gridCol w:w="1170"/>
      </w:tblGrid>
      <w:tr w:rsidRPr="00097C4C" w:rsidR="00983917" w:rsidTr="00F44283" w14:paraId="2B86136D" w14:textId="77777777">
        <w:tc>
          <w:tcPr>
            <w:tcW w:w="1971" w:type="dxa"/>
          </w:tcPr>
          <w:p w:rsidRPr="00097C4C" w:rsidR="00983917" w:rsidP="7BEB169B" w:rsidRDefault="000408F2" w14:paraId="21C32E1A" w14:textId="6CBC4041">
            <w:pPr>
              <w:rPr>
                <w:rFonts w:ascii="Palatino Linotype" w:hAnsi="Palatino Linotype"/>
                <w:b/>
                <w:bCs/>
                <w:sz w:val="20"/>
              </w:rPr>
            </w:pPr>
            <w:r w:rsidRPr="00097C4C">
              <w:rPr>
                <w:rFonts w:ascii="Palatino Linotype" w:hAnsi="Palatino Linotype"/>
                <w:b/>
                <w:bCs/>
                <w:sz w:val="20"/>
              </w:rPr>
              <w:t>Seller/Project</w:t>
            </w:r>
          </w:p>
        </w:tc>
        <w:tc>
          <w:tcPr>
            <w:tcW w:w="1350" w:type="dxa"/>
          </w:tcPr>
          <w:p w:rsidRPr="00097C4C" w:rsidR="00983917" w:rsidP="7BEB169B" w:rsidRDefault="00983917" w14:paraId="5473717A" w14:textId="211014E8">
            <w:pPr>
              <w:rPr>
                <w:rFonts w:ascii="Palatino Linotype" w:hAnsi="Palatino Linotype"/>
                <w:b/>
                <w:bCs/>
                <w:sz w:val="20"/>
              </w:rPr>
            </w:pPr>
            <w:r w:rsidRPr="00097C4C">
              <w:rPr>
                <w:rFonts w:ascii="Palatino Linotype" w:hAnsi="Palatino Linotype"/>
                <w:b/>
                <w:bCs/>
                <w:sz w:val="20"/>
              </w:rPr>
              <w:t>Technology</w:t>
            </w:r>
            <w:r w:rsidRPr="00097C4C" w:rsidR="000408F2">
              <w:rPr>
                <w:rFonts w:ascii="Palatino Linotype" w:hAnsi="Palatino Linotype"/>
                <w:b/>
                <w:bCs/>
                <w:sz w:val="20"/>
              </w:rPr>
              <w:t xml:space="preserve"> Type</w:t>
            </w:r>
          </w:p>
        </w:tc>
        <w:tc>
          <w:tcPr>
            <w:tcW w:w="1080" w:type="dxa"/>
          </w:tcPr>
          <w:p w:rsidRPr="00097C4C" w:rsidR="00983917" w:rsidP="76508F2D" w:rsidRDefault="000408F2" w14:paraId="32647006" w14:textId="152B3658">
            <w:pPr>
              <w:spacing w:line="259" w:lineRule="auto"/>
              <w:rPr>
                <w:rFonts w:ascii="Palatino Linotype" w:hAnsi="Palatino Linotype"/>
                <w:b/>
                <w:bCs/>
                <w:sz w:val="20"/>
              </w:rPr>
            </w:pPr>
            <w:r w:rsidRPr="00097C4C">
              <w:rPr>
                <w:rFonts w:ascii="Palatino Linotype" w:hAnsi="Palatino Linotype"/>
                <w:b/>
                <w:bCs/>
                <w:sz w:val="20"/>
              </w:rPr>
              <w:t>Capac</w:t>
            </w:r>
            <w:r w:rsidRPr="00097C4C" w:rsidR="00B5238F">
              <w:rPr>
                <w:rFonts w:ascii="Palatino Linotype" w:hAnsi="Palatino Linotype"/>
                <w:b/>
                <w:bCs/>
                <w:sz w:val="20"/>
              </w:rPr>
              <w:t>i</w:t>
            </w:r>
            <w:r w:rsidRPr="00097C4C">
              <w:rPr>
                <w:rFonts w:ascii="Palatino Linotype" w:hAnsi="Palatino Linotype"/>
                <w:b/>
                <w:bCs/>
                <w:sz w:val="20"/>
              </w:rPr>
              <w:t>ty</w:t>
            </w:r>
            <w:r w:rsidRPr="00097C4C" w:rsidR="00983917">
              <w:rPr>
                <w:rFonts w:ascii="Palatino Linotype" w:hAnsi="Palatino Linotype"/>
                <w:b/>
                <w:bCs/>
                <w:sz w:val="20"/>
              </w:rPr>
              <w:t xml:space="preserve"> (MW)</w:t>
            </w:r>
          </w:p>
        </w:tc>
        <w:tc>
          <w:tcPr>
            <w:tcW w:w="1620" w:type="dxa"/>
          </w:tcPr>
          <w:p w:rsidRPr="00097C4C" w:rsidR="00983917" w:rsidP="7BEB169B" w:rsidRDefault="00983917" w14:paraId="0D9396B4" w14:textId="3571308D">
            <w:pPr>
              <w:spacing w:line="259" w:lineRule="auto"/>
              <w:rPr>
                <w:rFonts w:ascii="Palatino Linotype" w:hAnsi="Palatino Linotype"/>
                <w:b/>
                <w:bCs/>
                <w:sz w:val="20"/>
              </w:rPr>
            </w:pPr>
            <w:r w:rsidRPr="00097C4C">
              <w:rPr>
                <w:rFonts w:ascii="Palatino Linotype" w:hAnsi="Palatino Linotype"/>
                <w:b/>
                <w:bCs/>
                <w:sz w:val="20"/>
              </w:rPr>
              <w:t>Location and DAC Designation</w:t>
            </w:r>
            <w:r w:rsidRPr="00097C4C">
              <w:rPr>
                <w:rStyle w:val="FootnoteReference"/>
                <w:rFonts w:ascii="Palatino Linotype" w:hAnsi="Palatino Linotype"/>
                <w:b/>
                <w:bCs/>
                <w:sz w:val="20"/>
              </w:rPr>
              <w:footnoteReference w:id="10"/>
            </w:r>
          </w:p>
        </w:tc>
        <w:tc>
          <w:tcPr>
            <w:tcW w:w="1080" w:type="dxa"/>
          </w:tcPr>
          <w:p w:rsidRPr="00097C4C" w:rsidR="00983917" w:rsidP="76508F2D" w:rsidRDefault="00983917" w14:paraId="50B71DDC" w14:textId="30A2AF2A">
            <w:pPr>
              <w:spacing w:line="259" w:lineRule="auto"/>
              <w:rPr>
                <w:rFonts w:ascii="Palatino Linotype" w:hAnsi="Palatino Linotype"/>
                <w:b/>
                <w:bCs/>
                <w:sz w:val="20"/>
              </w:rPr>
            </w:pPr>
            <w:r w:rsidRPr="00097C4C">
              <w:rPr>
                <w:rFonts w:ascii="Palatino Linotype" w:hAnsi="Palatino Linotype"/>
                <w:b/>
                <w:bCs/>
                <w:sz w:val="20"/>
              </w:rPr>
              <w:t>Contract Type</w:t>
            </w:r>
          </w:p>
        </w:tc>
        <w:tc>
          <w:tcPr>
            <w:tcW w:w="1170" w:type="dxa"/>
          </w:tcPr>
          <w:p w:rsidRPr="00097C4C" w:rsidR="00983917" w:rsidP="76508F2D" w:rsidRDefault="00983917" w14:paraId="7A5F926C" w14:textId="0761DF10">
            <w:pPr>
              <w:spacing w:line="259" w:lineRule="auto"/>
              <w:rPr>
                <w:rFonts w:ascii="Palatino Linotype" w:hAnsi="Palatino Linotype"/>
              </w:rPr>
            </w:pPr>
            <w:r w:rsidRPr="00097C4C">
              <w:rPr>
                <w:rFonts w:ascii="Palatino Linotype" w:hAnsi="Palatino Linotype"/>
                <w:b/>
                <w:bCs/>
                <w:sz w:val="20"/>
              </w:rPr>
              <w:t>Initial Delivery Date</w:t>
            </w:r>
          </w:p>
        </w:tc>
        <w:tc>
          <w:tcPr>
            <w:tcW w:w="1170" w:type="dxa"/>
          </w:tcPr>
          <w:p w:rsidRPr="00097C4C" w:rsidR="00983917" w:rsidP="7BEB169B" w:rsidRDefault="000408F2" w14:paraId="57E2F880" w14:textId="30FEAB8A">
            <w:pPr>
              <w:rPr>
                <w:rFonts w:ascii="Palatino Linotype" w:hAnsi="Palatino Linotype"/>
                <w:b/>
                <w:bCs/>
                <w:sz w:val="20"/>
              </w:rPr>
            </w:pPr>
            <w:r w:rsidRPr="00097C4C">
              <w:rPr>
                <w:rFonts w:ascii="Palatino Linotype" w:hAnsi="Palatino Linotype"/>
                <w:b/>
                <w:bCs/>
                <w:sz w:val="20"/>
              </w:rPr>
              <w:t xml:space="preserve">Contract </w:t>
            </w:r>
            <w:r w:rsidRPr="00097C4C" w:rsidR="00983917">
              <w:rPr>
                <w:rFonts w:ascii="Palatino Linotype" w:hAnsi="Palatino Linotype"/>
                <w:b/>
                <w:bCs/>
                <w:sz w:val="20"/>
              </w:rPr>
              <w:t>Term</w:t>
            </w:r>
          </w:p>
        </w:tc>
      </w:tr>
      <w:tr w:rsidRPr="00097C4C" w:rsidR="00983917" w:rsidTr="00F44283" w14:paraId="6602CB2C" w14:textId="77777777">
        <w:tc>
          <w:tcPr>
            <w:tcW w:w="1971" w:type="dxa"/>
          </w:tcPr>
          <w:p w:rsidRPr="00097C4C" w:rsidR="000408F2" w:rsidP="000408F2" w:rsidRDefault="000408F2" w14:paraId="69330DC6" w14:textId="77777777">
            <w:pPr>
              <w:rPr>
                <w:rFonts w:ascii="Palatino Linotype" w:hAnsi="Palatino Linotype"/>
                <w:sz w:val="20"/>
              </w:rPr>
            </w:pPr>
            <w:r w:rsidRPr="00097C4C">
              <w:rPr>
                <w:rFonts w:ascii="Palatino Linotype" w:hAnsi="Palatino Linotype"/>
                <w:sz w:val="20"/>
              </w:rPr>
              <w:t>Sonoran West Solar</w:t>
            </w:r>
          </w:p>
          <w:p w:rsidRPr="00097C4C" w:rsidR="000408F2" w:rsidP="000408F2" w:rsidRDefault="000408F2" w14:paraId="66A4486F" w14:textId="77777777">
            <w:pPr>
              <w:rPr>
                <w:rFonts w:ascii="Palatino Linotype" w:hAnsi="Palatino Linotype"/>
                <w:sz w:val="20"/>
              </w:rPr>
            </w:pPr>
            <w:r w:rsidRPr="00097C4C">
              <w:rPr>
                <w:rFonts w:ascii="Palatino Linotype" w:hAnsi="Palatino Linotype"/>
                <w:sz w:val="20"/>
              </w:rPr>
              <w:t>Holdings, LLC/</w:t>
            </w:r>
          </w:p>
          <w:p w:rsidRPr="00097C4C" w:rsidR="00983917" w:rsidP="000408F2" w:rsidRDefault="000408F2" w14:paraId="5D6F8ACD" w14:textId="64D32804">
            <w:pPr>
              <w:rPr>
                <w:rFonts w:ascii="Palatino Linotype" w:hAnsi="Palatino Linotype"/>
                <w:sz w:val="20"/>
              </w:rPr>
            </w:pPr>
            <w:r w:rsidRPr="00097C4C">
              <w:rPr>
                <w:rFonts w:ascii="Palatino Linotype" w:hAnsi="Palatino Linotype"/>
                <w:sz w:val="20"/>
              </w:rPr>
              <w:t>Crimson</w:t>
            </w:r>
          </w:p>
        </w:tc>
        <w:tc>
          <w:tcPr>
            <w:tcW w:w="1350" w:type="dxa"/>
          </w:tcPr>
          <w:p w:rsidRPr="00097C4C" w:rsidR="00983917" w:rsidP="7BEB169B" w:rsidRDefault="000408F2" w14:paraId="1B2CC5D9" w14:textId="33ADCD91">
            <w:pPr>
              <w:rPr>
                <w:rFonts w:ascii="Palatino Linotype" w:hAnsi="Palatino Linotype"/>
                <w:sz w:val="20"/>
              </w:rPr>
            </w:pPr>
            <w:r w:rsidRPr="00097C4C">
              <w:rPr>
                <w:rFonts w:ascii="Palatino Linotype" w:hAnsi="Palatino Linotype"/>
                <w:sz w:val="20"/>
              </w:rPr>
              <w:t xml:space="preserve">IFOM </w:t>
            </w:r>
            <w:r w:rsidRPr="00097C4C" w:rsidR="00112A22">
              <w:rPr>
                <w:rFonts w:ascii="Palatino Linotype" w:hAnsi="Palatino Linotype"/>
                <w:sz w:val="20"/>
              </w:rPr>
              <w:t>Lithium-Ion Battery</w:t>
            </w:r>
          </w:p>
        </w:tc>
        <w:tc>
          <w:tcPr>
            <w:tcW w:w="1080" w:type="dxa"/>
          </w:tcPr>
          <w:p w:rsidRPr="00097C4C" w:rsidR="00983917" w:rsidP="76508F2D" w:rsidRDefault="000408F2" w14:paraId="1FAED479" w14:textId="1F4FDF1C">
            <w:pPr>
              <w:spacing w:line="259" w:lineRule="auto"/>
              <w:rPr>
                <w:rFonts w:ascii="Palatino Linotype" w:hAnsi="Palatino Linotype"/>
                <w:sz w:val="20"/>
              </w:rPr>
            </w:pPr>
            <w:r w:rsidRPr="00097C4C">
              <w:rPr>
                <w:rFonts w:ascii="Palatino Linotype" w:hAnsi="Palatino Linotype"/>
                <w:sz w:val="20"/>
              </w:rPr>
              <w:t>200</w:t>
            </w:r>
          </w:p>
        </w:tc>
        <w:tc>
          <w:tcPr>
            <w:tcW w:w="1620" w:type="dxa"/>
          </w:tcPr>
          <w:p w:rsidRPr="00097C4C" w:rsidR="00983917" w:rsidP="7BEB169B" w:rsidRDefault="000408F2" w14:paraId="1119FA1B" w14:textId="56376E04">
            <w:pPr>
              <w:spacing w:line="259" w:lineRule="auto"/>
              <w:rPr>
                <w:rFonts w:ascii="Palatino Linotype" w:hAnsi="Palatino Linotype"/>
                <w:sz w:val="20"/>
              </w:rPr>
            </w:pPr>
            <w:r w:rsidRPr="00097C4C">
              <w:rPr>
                <w:rFonts w:ascii="Palatino Linotype" w:hAnsi="Palatino Linotype"/>
                <w:sz w:val="20"/>
              </w:rPr>
              <w:t>Blythe, CA</w:t>
            </w:r>
            <w:r w:rsidRPr="00097C4C" w:rsidR="00112A22">
              <w:rPr>
                <w:rFonts w:ascii="Palatino Linotype" w:hAnsi="Palatino Linotype"/>
                <w:sz w:val="20"/>
              </w:rPr>
              <w:t xml:space="preserve"> (not in DAC)</w:t>
            </w:r>
          </w:p>
        </w:tc>
        <w:tc>
          <w:tcPr>
            <w:tcW w:w="1080" w:type="dxa"/>
          </w:tcPr>
          <w:p w:rsidRPr="00097C4C" w:rsidR="00983917" w:rsidP="76508F2D" w:rsidRDefault="000408F2" w14:paraId="7E7914AD" w14:textId="55FBF734">
            <w:pPr>
              <w:spacing w:line="259" w:lineRule="auto"/>
              <w:rPr>
                <w:rFonts w:ascii="Palatino Linotype" w:hAnsi="Palatino Linotype"/>
                <w:sz w:val="20"/>
              </w:rPr>
            </w:pPr>
            <w:r w:rsidRPr="00097C4C">
              <w:rPr>
                <w:rFonts w:ascii="Palatino Linotype" w:hAnsi="Palatino Linotype"/>
                <w:sz w:val="20"/>
              </w:rPr>
              <w:t>RA with Put Options</w:t>
            </w:r>
          </w:p>
        </w:tc>
        <w:tc>
          <w:tcPr>
            <w:tcW w:w="1170" w:type="dxa"/>
          </w:tcPr>
          <w:p w:rsidRPr="00097C4C" w:rsidR="00983917" w:rsidP="76508F2D" w:rsidRDefault="00983917" w14:paraId="2C9C909D" w14:textId="1C0171D7">
            <w:pPr>
              <w:spacing w:line="259" w:lineRule="auto"/>
              <w:rPr>
                <w:rFonts w:ascii="Palatino Linotype" w:hAnsi="Palatino Linotype"/>
                <w:sz w:val="20"/>
              </w:rPr>
            </w:pPr>
            <w:r w:rsidRPr="00097C4C">
              <w:rPr>
                <w:rFonts w:ascii="Palatino Linotype" w:hAnsi="Palatino Linotype"/>
                <w:sz w:val="20"/>
              </w:rPr>
              <w:t>8/1/2022</w:t>
            </w:r>
          </w:p>
        </w:tc>
        <w:tc>
          <w:tcPr>
            <w:tcW w:w="1170" w:type="dxa"/>
          </w:tcPr>
          <w:p w:rsidRPr="00097C4C" w:rsidR="00B5238F" w:rsidP="7BEB169B" w:rsidRDefault="00983917" w14:paraId="55033576" w14:textId="77777777">
            <w:pPr>
              <w:rPr>
                <w:rFonts w:ascii="Palatino Linotype" w:hAnsi="Palatino Linotype"/>
                <w:sz w:val="20"/>
              </w:rPr>
            </w:pPr>
            <w:r w:rsidRPr="00097C4C">
              <w:rPr>
                <w:rFonts w:ascii="Palatino Linotype" w:hAnsi="Palatino Linotype"/>
                <w:sz w:val="20"/>
              </w:rPr>
              <w:t>1</w:t>
            </w:r>
            <w:r w:rsidRPr="00097C4C" w:rsidR="000408F2">
              <w:rPr>
                <w:rFonts w:ascii="Palatino Linotype" w:hAnsi="Palatino Linotype"/>
                <w:sz w:val="20"/>
              </w:rPr>
              <w:t xml:space="preserve">4 years </w:t>
            </w:r>
          </w:p>
          <w:p w:rsidRPr="00097C4C" w:rsidR="00983917" w:rsidP="7BEB169B" w:rsidRDefault="000408F2" w14:paraId="0D64905C" w14:textId="165BA630">
            <w:pPr>
              <w:rPr>
                <w:rFonts w:ascii="Palatino Linotype" w:hAnsi="Palatino Linotype"/>
                <w:sz w:val="20"/>
              </w:rPr>
            </w:pPr>
            <w:r w:rsidRPr="00097C4C">
              <w:rPr>
                <w:rFonts w:ascii="Palatino Linotype" w:hAnsi="Palatino Linotype"/>
                <w:sz w:val="20"/>
              </w:rPr>
              <w:t>10 months</w:t>
            </w:r>
          </w:p>
        </w:tc>
      </w:tr>
      <w:tr w:rsidRPr="00097C4C" w:rsidR="00983917" w:rsidTr="00F44283" w14:paraId="18612AF9" w14:textId="77777777">
        <w:tc>
          <w:tcPr>
            <w:tcW w:w="1971" w:type="dxa"/>
          </w:tcPr>
          <w:p w:rsidRPr="00097C4C" w:rsidR="000408F2" w:rsidP="000408F2" w:rsidRDefault="000408F2" w14:paraId="4178F759" w14:textId="77777777">
            <w:pPr>
              <w:rPr>
                <w:rFonts w:ascii="Palatino Linotype" w:hAnsi="Palatino Linotype"/>
                <w:sz w:val="20"/>
              </w:rPr>
            </w:pPr>
            <w:r w:rsidRPr="00097C4C">
              <w:rPr>
                <w:rFonts w:ascii="Palatino Linotype" w:hAnsi="Palatino Linotype"/>
                <w:sz w:val="20"/>
              </w:rPr>
              <w:t>Silver Peak Solar,</w:t>
            </w:r>
          </w:p>
          <w:p w:rsidRPr="00097C4C" w:rsidR="00983917" w:rsidP="000408F2" w:rsidRDefault="000408F2" w14:paraId="2349BD3F" w14:textId="58B5DB96">
            <w:pPr>
              <w:rPr>
                <w:rFonts w:ascii="Palatino Linotype" w:hAnsi="Palatino Linotype"/>
                <w:sz w:val="20"/>
                <w:highlight w:val="cyan"/>
              </w:rPr>
            </w:pPr>
            <w:r w:rsidRPr="00097C4C">
              <w:rPr>
                <w:rFonts w:ascii="Palatino Linotype" w:hAnsi="Palatino Linotype"/>
                <w:sz w:val="20"/>
              </w:rPr>
              <w:t>LLC/Eldorado Valley</w:t>
            </w:r>
          </w:p>
        </w:tc>
        <w:tc>
          <w:tcPr>
            <w:tcW w:w="1350" w:type="dxa"/>
          </w:tcPr>
          <w:p w:rsidRPr="00097C4C" w:rsidR="00983917" w:rsidP="00E55904" w:rsidRDefault="000408F2" w14:paraId="5EEDE317" w14:textId="5E4ABAB7">
            <w:pPr>
              <w:rPr>
                <w:rFonts w:ascii="Palatino Linotype" w:hAnsi="Palatino Linotype"/>
                <w:sz w:val="20"/>
              </w:rPr>
            </w:pPr>
            <w:r w:rsidRPr="00097C4C">
              <w:rPr>
                <w:rFonts w:ascii="Palatino Linotype" w:hAnsi="Palatino Linotype"/>
                <w:sz w:val="20"/>
              </w:rPr>
              <w:t xml:space="preserve">IFOM </w:t>
            </w:r>
            <w:r w:rsidRPr="00097C4C" w:rsidR="00112A22">
              <w:rPr>
                <w:rFonts w:ascii="Palatino Linotype" w:hAnsi="Palatino Linotype"/>
                <w:sz w:val="20"/>
              </w:rPr>
              <w:t>Lithium-Ion Battery</w:t>
            </w:r>
          </w:p>
        </w:tc>
        <w:tc>
          <w:tcPr>
            <w:tcW w:w="1080" w:type="dxa"/>
          </w:tcPr>
          <w:p w:rsidRPr="00097C4C" w:rsidR="00983917" w:rsidP="00E55904" w:rsidRDefault="000408F2" w14:paraId="672DD4F3" w14:textId="33C3DF46">
            <w:pPr>
              <w:spacing w:line="259" w:lineRule="auto"/>
              <w:rPr>
                <w:rFonts w:ascii="Palatino Linotype" w:hAnsi="Palatino Linotype"/>
                <w:sz w:val="20"/>
              </w:rPr>
            </w:pPr>
            <w:r w:rsidRPr="00097C4C">
              <w:rPr>
                <w:rFonts w:ascii="Palatino Linotype" w:hAnsi="Palatino Linotype"/>
                <w:sz w:val="20"/>
              </w:rPr>
              <w:t>60</w:t>
            </w:r>
          </w:p>
        </w:tc>
        <w:tc>
          <w:tcPr>
            <w:tcW w:w="1620" w:type="dxa"/>
          </w:tcPr>
          <w:p w:rsidRPr="00097C4C" w:rsidR="00983917" w:rsidP="00E55904" w:rsidRDefault="00112A22" w14:paraId="644F682F" w14:textId="3D127713">
            <w:pPr>
              <w:spacing w:line="259" w:lineRule="auto"/>
              <w:rPr>
                <w:rFonts w:ascii="Palatino Linotype" w:hAnsi="Palatino Linotype"/>
                <w:sz w:val="20"/>
              </w:rPr>
            </w:pPr>
            <w:r w:rsidRPr="00097C4C">
              <w:rPr>
                <w:rFonts w:ascii="Palatino Linotype" w:hAnsi="Palatino Linotype"/>
                <w:sz w:val="20"/>
              </w:rPr>
              <w:t>Boulder City, NV (DAC adjacent)</w:t>
            </w:r>
          </w:p>
        </w:tc>
        <w:tc>
          <w:tcPr>
            <w:tcW w:w="1080" w:type="dxa"/>
          </w:tcPr>
          <w:p w:rsidRPr="00097C4C" w:rsidR="00983917" w:rsidP="00E55904" w:rsidRDefault="000408F2" w14:paraId="5BA5D7EF" w14:textId="3C2C9941">
            <w:pPr>
              <w:spacing w:line="259" w:lineRule="auto"/>
              <w:rPr>
                <w:rFonts w:ascii="Palatino Linotype" w:hAnsi="Palatino Linotype"/>
                <w:sz w:val="20"/>
              </w:rPr>
            </w:pPr>
            <w:r w:rsidRPr="00097C4C">
              <w:rPr>
                <w:rFonts w:ascii="Palatino Linotype" w:hAnsi="Palatino Linotype"/>
                <w:sz w:val="20"/>
              </w:rPr>
              <w:t>Toll</w:t>
            </w:r>
          </w:p>
        </w:tc>
        <w:tc>
          <w:tcPr>
            <w:tcW w:w="1170" w:type="dxa"/>
          </w:tcPr>
          <w:p w:rsidRPr="00097C4C" w:rsidR="00983917" w:rsidP="00E55904" w:rsidRDefault="00983917" w14:paraId="555CC138" w14:textId="061B2D4F">
            <w:pPr>
              <w:spacing w:line="259" w:lineRule="auto"/>
              <w:rPr>
                <w:rFonts w:ascii="Palatino Linotype" w:hAnsi="Palatino Linotype"/>
                <w:sz w:val="20"/>
              </w:rPr>
            </w:pPr>
            <w:r w:rsidRPr="00097C4C">
              <w:rPr>
                <w:rFonts w:ascii="Palatino Linotype" w:hAnsi="Palatino Linotype"/>
                <w:sz w:val="20"/>
              </w:rPr>
              <w:t>8/1/2022</w:t>
            </w:r>
          </w:p>
        </w:tc>
        <w:tc>
          <w:tcPr>
            <w:tcW w:w="1170" w:type="dxa"/>
          </w:tcPr>
          <w:p w:rsidRPr="00097C4C" w:rsidR="00983917" w:rsidP="00E55904" w:rsidRDefault="00983917" w14:paraId="626D5BA1" w14:textId="31DB6A7A">
            <w:pPr>
              <w:rPr>
                <w:rFonts w:ascii="Palatino Linotype" w:hAnsi="Palatino Linotype"/>
                <w:sz w:val="20"/>
              </w:rPr>
            </w:pPr>
            <w:r w:rsidRPr="00097C4C">
              <w:rPr>
                <w:rFonts w:ascii="Palatino Linotype" w:hAnsi="Palatino Linotype"/>
                <w:sz w:val="20"/>
              </w:rPr>
              <w:t>1</w:t>
            </w:r>
            <w:r w:rsidRPr="00097C4C" w:rsidR="000408F2">
              <w:rPr>
                <w:rFonts w:ascii="Palatino Linotype" w:hAnsi="Palatino Linotype"/>
                <w:sz w:val="20"/>
              </w:rPr>
              <w:t>0 years</w:t>
            </w:r>
          </w:p>
        </w:tc>
      </w:tr>
      <w:tr w:rsidRPr="00097C4C" w:rsidR="00112A22" w:rsidTr="00F44283" w14:paraId="104527C6" w14:textId="77777777">
        <w:tc>
          <w:tcPr>
            <w:tcW w:w="1971" w:type="dxa"/>
          </w:tcPr>
          <w:p w:rsidRPr="00097C4C" w:rsidR="00112A22" w:rsidP="00112A22" w:rsidRDefault="00112A22" w14:paraId="29F3103A" w14:textId="77777777">
            <w:pPr>
              <w:rPr>
                <w:rFonts w:ascii="Palatino Linotype" w:hAnsi="Palatino Linotype"/>
                <w:sz w:val="20"/>
              </w:rPr>
            </w:pPr>
            <w:r w:rsidRPr="00097C4C">
              <w:rPr>
                <w:rFonts w:ascii="Palatino Linotype" w:hAnsi="Palatino Linotype"/>
                <w:sz w:val="20"/>
              </w:rPr>
              <w:t>Desert Peak Energy</w:t>
            </w:r>
          </w:p>
          <w:p w:rsidRPr="00097C4C" w:rsidR="00112A22" w:rsidP="00112A22" w:rsidRDefault="00112A22" w14:paraId="62BA531E" w14:textId="310FBBFB">
            <w:pPr>
              <w:rPr>
                <w:rFonts w:ascii="Palatino Linotype" w:hAnsi="Palatino Linotype"/>
                <w:sz w:val="20"/>
                <w:highlight w:val="cyan"/>
              </w:rPr>
            </w:pPr>
            <w:r w:rsidRPr="00097C4C">
              <w:rPr>
                <w:rFonts w:ascii="Palatino Linotype" w:hAnsi="Palatino Linotype"/>
                <w:sz w:val="20"/>
              </w:rPr>
              <w:t>Storage I, LLC</w:t>
            </w:r>
            <w:r w:rsidRPr="00097C4C" w:rsidR="00B5238F">
              <w:rPr>
                <w:rFonts w:ascii="Palatino Linotype" w:hAnsi="Palatino Linotype"/>
                <w:sz w:val="20"/>
              </w:rPr>
              <w:t>/Desert Peak</w:t>
            </w:r>
          </w:p>
        </w:tc>
        <w:tc>
          <w:tcPr>
            <w:tcW w:w="1350" w:type="dxa"/>
          </w:tcPr>
          <w:p w:rsidRPr="00097C4C" w:rsidR="00112A22" w:rsidP="00112A22" w:rsidRDefault="00112A22" w14:paraId="21139CBD" w14:textId="71F37BB8">
            <w:pPr>
              <w:rPr>
                <w:rFonts w:ascii="Palatino Linotype" w:hAnsi="Palatino Linotype"/>
                <w:sz w:val="20"/>
                <w:highlight w:val="cyan"/>
              </w:rPr>
            </w:pPr>
            <w:r w:rsidRPr="00097C4C">
              <w:rPr>
                <w:rFonts w:ascii="Palatino Linotype" w:hAnsi="Palatino Linotype"/>
                <w:sz w:val="20"/>
              </w:rPr>
              <w:t>IFOM Lithium-Ion Battery</w:t>
            </w:r>
          </w:p>
        </w:tc>
        <w:tc>
          <w:tcPr>
            <w:tcW w:w="1080" w:type="dxa"/>
          </w:tcPr>
          <w:p w:rsidRPr="00097C4C" w:rsidR="00112A22" w:rsidP="00112A22" w:rsidRDefault="00112A22" w14:paraId="0870B549" w14:textId="14F8DCB4">
            <w:pPr>
              <w:spacing w:line="259" w:lineRule="auto"/>
              <w:rPr>
                <w:rFonts w:ascii="Palatino Linotype" w:hAnsi="Palatino Linotype"/>
                <w:sz w:val="20"/>
              </w:rPr>
            </w:pPr>
            <w:r w:rsidRPr="00097C4C">
              <w:rPr>
                <w:rFonts w:ascii="Palatino Linotype" w:hAnsi="Palatino Linotype"/>
                <w:sz w:val="20"/>
              </w:rPr>
              <w:t>325</w:t>
            </w:r>
          </w:p>
        </w:tc>
        <w:tc>
          <w:tcPr>
            <w:tcW w:w="1620" w:type="dxa"/>
          </w:tcPr>
          <w:p w:rsidRPr="00097C4C" w:rsidR="00112A22" w:rsidP="00112A22" w:rsidRDefault="00112A22" w14:paraId="66E774F4" w14:textId="05452F16">
            <w:pPr>
              <w:spacing w:line="259" w:lineRule="auto"/>
              <w:rPr>
                <w:rFonts w:ascii="Palatino Linotype" w:hAnsi="Palatino Linotype"/>
                <w:sz w:val="20"/>
              </w:rPr>
            </w:pPr>
            <w:r w:rsidRPr="00097C4C">
              <w:rPr>
                <w:rFonts w:ascii="Palatino Linotype" w:hAnsi="Palatino Linotype"/>
                <w:sz w:val="20"/>
              </w:rPr>
              <w:t>Palm Springs, CA (not in DAC)</w:t>
            </w:r>
          </w:p>
        </w:tc>
        <w:tc>
          <w:tcPr>
            <w:tcW w:w="1080" w:type="dxa"/>
          </w:tcPr>
          <w:p w:rsidRPr="00097C4C" w:rsidR="00112A22" w:rsidP="00112A22" w:rsidRDefault="00112A22" w14:paraId="061D189C" w14:textId="4F2457E2">
            <w:pPr>
              <w:spacing w:line="259" w:lineRule="auto"/>
              <w:rPr>
                <w:rFonts w:ascii="Palatino Linotype" w:hAnsi="Palatino Linotype"/>
                <w:sz w:val="20"/>
              </w:rPr>
            </w:pPr>
            <w:r w:rsidRPr="00097C4C">
              <w:rPr>
                <w:rFonts w:ascii="Palatino Linotype" w:hAnsi="Palatino Linotype"/>
                <w:sz w:val="20"/>
              </w:rPr>
              <w:t>Toll</w:t>
            </w:r>
          </w:p>
        </w:tc>
        <w:tc>
          <w:tcPr>
            <w:tcW w:w="1170" w:type="dxa"/>
          </w:tcPr>
          <w:p w:rsidRPr="00097C4C" w:rsidR="00112A22" w:rsidP="00112A22" w:rsidRDefault="00112A22" w14:paraId="587EA0C3" w14:textId="4A4202CB">
            <w:pPr>
              <w:spacing w:line="259" w:lineRule="auto"/>
              <w:rPr>
                <w:rFonts w:ascii="Palatino Linotype" w:hAnsi="Palatino Linotype"/>
                <w:sz w:val="20"/>
              </w:rPr>
            </w:pPr>
            <w:r w:rsidRPr="00097C4C">
              <w:rPr>
                <w:rFonts w:ascii="Palatino Linotype" w:hAnsi="Palatino Linotype"/>
                <w:sz w:val="20"/>
              </w:rPr>
              <w:t>8/1/2023</w:t>
            </w:r>
          </w:p>
        </w:tc>
        <w:tc>
          <w:tcPr>
            <w:tcW w:w="1170" w:type="dxa"/>
          </w:tcPr>
          <w:p w:rsidRPr="00097C4C" w:rsidR="00B5238F" w:rsidP="00112A22" w:rsidRDefault="00112A22" w14:paraId="25DE58E3" w14:textId="77777777">
            <w:pPr>
              <w:rPr>
                <w:rFonts w:ascii="Palatino Linotype" w:hAnsi="Palatino Linotype"/>
                <w:sz w:val="20"/>
              </w:rPr>
            </w:pPr>
            <w:r w:rsidRPr="00097C4C">
              <w:rPr>
                <w:rFonts w:ascii="Palatino Linotype" w:hAnsi="Palatino Linotype"/>
                <w:sz w:val="20"/>
              </w:rPr>
              <w:t xml:space="preserve">14 years </w:t>
            </w:r>
          </w:p>
          <w:p w:rsidRPr="00097C4C" w:rsidR="00112A22" w:rsidP="00112A22" w:rsidRDefault="00112A22" w14:paraId="0CEA36CE" w14:textId="7726C848">
            <w:pPr>
              <w:rPr>
                <w:rFonts w:ascii="Palatino Linotype" w:hAnsi="Palatino Linotype"/>
                <w:sz w:val="20"/>
                <w:highlight w:val="cyan"/>
              </w:rPr>
            </w:pPr>
            <w:r w:rsidRPr="00097C4C">
              <w:rPr>
                <w:rFonts w:ascii="Palatino Linotype" w:hAnsi="Palatino Linotype"/>
                <w:sz w:val="20"/>
              </w:rPr>
              <w:t>10 months</w:t>
            </w:r>
          </w:p>
        </w:tc>
      </w:tr>
      <w:tr w:rsidRPr="00097C4C" w:rsidR="00112A22" w:rsidTr="00F44283" w14:paraId="509A9959" w14:textId="77777777">
        <w:tc>
          <w:tcPr>
            <w:tcW w:w="1971" w:type="dxa"/>
          </w:tcPr>
          <w:p w:rsidRPr="00097C4C" w:rsidR="00112A22" w:rsidP="00112A22" w:rsidRDefault="00112A22" w14:paraId="148AD2BD" w14:textId="7DE828ED">
            <w:pPr>
              <w:rPr>
                <w:rFonts w:ascii="Palatino Linotype" w:hAnsi="Palatino Linotype"/>
                <w:sz w:val="20"/>
              </w:rPr>
            </w:pPr>
            <w:r w:rsidRPr="00097C4C">
              <w:rPr>
                <w:rFonts w:ascii="Palatino Linotype" w:hAnsi="Palatino Linotype"/>
                <w:sz w:val="20"/>
              </w:rPr>
              <w:t>Sunrun Inc.</w:t>
            </w:r>
          </w:p>
        </w:tc>
        <w:tc>
          <w:tcPr>
            <w:tcW w:w="1350" w:type="dxa"/>
          </w:tcPr>
          <w:p w:rsidRPr="00097C4C" w:rsidR="00112A22" w:rsidP="00112A22" w:rsidRDefault="00112A22" w14:paraId="2F2EFDD7" w14:textId="77777777">
            <w:pPr>
              <w:rPr>
                <w:rFonts w:ascii="Palatino Linotype" w:hAnsi="Palatino Linotype"/>
                <w:sz w:val="20"/>
              </w:rPr>
            </w:pPr>
            <w:r w:rsidRPr="00097C4C">
              <w:rPr>
                <w:rFonts w:ascii="Palatino Linotype" w:hAnsi="Palatino Linotype"/>
                <w:sz w:val="20"/>
              </w:rPr>
              <w:t>BTM Energy</w:t>
            </w:r>
          </w:p>
          <w:p w:rsidRPr="00097C4C" w:rsidR="00112A22" w:rsidP="00112A22" w:rsidRDefault="00112A22" w14:paraId="38CCDF39" w14:textId="77777777">
            <w:pPr>
              <w:rPr>
                <w:rFonts w:ascii="Palatino Linotype" w:hAnsi="Palatino Linotype"/>
                <w:sz w:val="20"/>
              </w:rPr>
            </w:pPr>
            <w:r w:rsidRPr="00097C4C">
              <w:rPr>
                <w:rFonts w:ascii="Palatino Linotype" w:hAnsi="Palatino Linotype"/>
                <w:sz w:val="20"/>
              </w:rPr>
              <w:t>Storage-</w:t>
            </w:r>
          </w:p>
          <w:p w:rsidRPr="00097C4C" w:rsidR="00112A22" w:rsidP="00112A22" w:rsidRDefault="00112A22" w14:paraId="269C5770" w14:textId="77777777">
            <w:pPr>
              <w:rPr>
                <w:rFonts w:ascii="Palatino Linotype" w:hAnsi="Palatino Linotype"/>
                <w:sz w:val="20"/>
              </w:rPr>
            </w:pPr>
            <w:r w:rsidRPr="00097C4C">
              <w:rPr>
                <w:rFonts w:ascii="Palatino Linotype" w:hAnsi="Palatino Linotype"/>
                <w:sz w:val="20"/>
              </w:rPr>
              <w:t>Demand</w:t>
            </w:r>
          </w:p>
          <w:p w:rsidRPr="00097C4C" w:rsidR="00112A22" w:rsidP="00112A22" w:rsidRDefault="00112A22" w14:paraId="2CC351C9" w14:textId="56D33356">
            <w:pPr>
              <w:rPr>
                <w:rFonts w:ascii="Palatino Linotype" w:hAnsi="Palatino Linotype"/>
                <w:sz w:val="20"/>
              </w:rPr>
            </w:pPr>
            <w:r w:rsidRPr="00097C4C">
              <w:rPr>
                <w:rFonts w:ascii="Palatino Linotype" w:hAnsi="Palatino Linotype"/>
                <w:sz w:val="20"/>
              </w:rPr>
              <w:t>Response</w:t>
            </w:r>
          </w:p>
        </w:tc>
        <w:tc>
          <w:tcPr>
            <w:tcW w:w="1080" w:type="dxa"/>
          </w:tcPr>
          <w:p w:rsidRPr="00097C4C" w:rsidR="00112A22" w:rsidP="00112A22" w:rsidRDefault="00112A22" w14:paraId="5C255D8A" w14:textId="016D8002">
            <w:pPr>
              <w:spacing w:line="259" w:lineRule="auto"/>
              <w:rPr>
                <w:rFonts w:ascii="Palatino Linotype" w:hAnsi="Palatino Linotype"/>
                <w:sz w:val="20"/>
              </w:rPr>
            </w:pPr>
            <w:r w:rsidRPr="00097C4C">
              <w:rPr>
                <w:rFonts w:ascii="Palatino Linotype" w:hAnsi="Palatino Linotype"/>
                <w:sz w:val="20"/>
              </w:rPr>
              <w:t>4.5</w:t>
            </w:r>
          </w:p>
        </w:tc>
        <w:tc>
          <w:tcPr>
            <w:tcW w:w="1620" w:type="dxa"/>
          </w:tcPr>
          <w:p w:rsidRPr="00097C4C" w:rsidR="00112A22" w:rsidP="00112A22" w:rsidRDefault="00112A22" w14:paraId="208268F3" w14:textId="4DC05F33">
            <w:pPr>
              <w:spacing w:line="259" w:lineRule="auto"/>
              <w:rPr>
                <w:rFonts w:ascii="Palatino Linotype" w:hAnsi="Palatino Linotype"/>
                <w:sz w:val="20"/>
              </w:rPr>
            </w:pPr>
            <w:r w:rsidRPr="00097C4C">
              <w:rPr>
                <w:rFonts w:ascii="Palatino Linotype" w:hAnsi="Palatino Linotype"/>
                <w:sz w:val="20"/>
              </w:rPr>
              <w:t>SCE Territory (not in DAC)</w:t>
            </w:r>
          </w:p>
        </w:tc>
        <w:tc>
          <w:tcPr>
            <w:tcW w:w="1080" w:type="dxa"/>
          </w:tcPr>
          <w:p w:rsidRPr="00097C4C" w:rsidR="00112A22" w:rsidP="00112A22" w:rsidRDefault="00112A22" w14:paraId="030BB017" w14:textId="47C55202">
            <w:pPr>
              <w:spacing w:line="259" w:lineRule="auto"/>
              <w:rPr>
                <w:rFonts w:ascii="Palatino Linotype" w:hAnsi="Palatino Linotype"/>
                <w:sz w:val="20"/>
              </w:rPr>
            </w:pPr>
            <w:r w:rsidRPr="00097C4C">
              <w:rPr>
                <w:rFonts w:ascii="Palatino Linotype" w:hAnsi="Palatino Linotype"/>
                <w:sz w:val="20"/>
              </w:rPr>
              <w:t>Demand Response</w:t>
            </w:r>
          </w:p>
        </w:tc>
        <w:tc>
          <w:tcPr>
            <w:tcW w:w="1170" w:type="dxa"/>
          </w:tcPr>
          <w:p w:rsidRPr="00097C4C" w:rsidR="00112A22" w:rsidP="00112A22" w:rsidRDefault="00112A22" w14:paraId="460108BF" w14:textId="2545D511">
            <w:pPr>
              <w:spacing w:line="259" w:lineRule="auto"/>
              <w:rPr>
                <w:rFonts w:ascii="Palatino Linotype" w:hAnsi="Palatino Linotype"/>
                <w:sz w:val="20"/>
              </w:rPr>
            </w:pPr>
            <w:r w:rsidRPr="00097C4C">
              <w:rPr>
                <w:rFonts w:ascii="Palatino Linotype" w:hAnsi="Palatino Linotype"/>
                <w:sz w:val="20"/>
              </w:rPr>
              <w:t>8/1/2023</w:t>
            </w:r>
          </w:p>
        </w:tc>
        <w:tc>
          <w:tcPr>
            <w:tcW w:w="1170" w:type="dxa"/>
          </w:tcPr>
          <w:p w:rsidRPr="00097C4C" w:rsidR="00112A22" w:rsidP="00112A22" w:rsidRDefault="00112A22" w14:paraId="30B95264" w14:textId="56119BFF">
            <w:pPr>
              <w:rPr>
                <w:rFonts w:ascii="Palatino Linotype" w:hAnsi="Palatino Linotype"/>
                <w:sz w:val="20"/>
              </w:rPr>
            </w:pPr>
            <w:r w:rsidRPr="00097C4C">
              <w:rPr>
                <w:rFonts w:ascii="Palatino Linotype" w:hAnsi="Palatino Linotype"/>
                <w:sz w:val="20"/>
              </w:rPr>
              <w:t>10 years</w:t>
            </w:r>
          </w:p>
        </w:tc>
      </w:tr>
      <w:tr w:rsidRPr="00097C4C" w:rsidR="00112A22" w:rsidTr="00F44283" w14:paraId="7B466E21" w14:textId="77777777">
        <w:tc>
          <w:tcPr>
            <w:tcW w:w="1971" w:type="dxa"/>
          </w:tcPr>
          <w:p w:rsidRPr="00097C4C" w:rsidR="00112A22" w:rsidP="00112A22" w:rsidRDefault="00112A22" w14:paraId="55F9CF10" w14:textId="2638209C">
            <w:pPr>
              <w:rPr>
                <w:rFonts w:ascii="Palatino Linotype" w:hAnsi="Palatino Linotype"/>
                <w:sz w:val="20"/>
              </w:rPr>
            </w:pPr>
            <w:r w:rsidRPr="00097C4C">
              <w:rPr>
                <w:rFonts w:ascii="Palatino Linotype" w:hAnsi="Palatino Linotype"/>
                <w:sz w:val="20"/>
              </w:rPr>
              <w:t>Sunrun Inc. DAC Contract</w:t>
            </w:r>
          </w:p>
        </w:tc>
        <w:tc>
          <w:tcPr>
            <w:tcW w:w="1350" w:type="dxa"/>
          </w:tcPr>
          <w:p w:rsidRPr="00097C4C" w:rsidR="00112A22" w:rsidP="00112A22" w:rsidRDefault="00112A22" w14:paraId="62215F84" w14:textId="77777777">
            <w:pPr>
              <w:rPr>
                <w:rFonts w:ascii="Palatino Linotype" w:hAnsi="Palatino Linotype"/>
                <w:sz w:val="20"/>
              </w:rPr>
            </w:pPr>
            <w:r w:rsidRPr="00097C4C">
              <w:rPr>
                <w:rFonts w:ascii="Palatino Linotype" w:hAnsi="Palatino Linotype"/>
                <w:sz w:val="20"/>
              </w:rPr>
              <w:t>BTM Energy</w:t>
            </w:r>
          </w:p>
          <w:p w:rsidRPr="00097C4C" w:rsidR="00112A22" w:rsidP="00112A22" w:rsidRDefault="00112A22" w14:paraId="355A2C96" w14:textId="77777777">
            <w:pPr>
              <w:rPr>
                <w:rFonts w:ascii="Palatino Linotype" w:hAnsi="Palatino Linotype"/>
                <w:sz w:val="20"/>
              </w:rPr>
            </w:pPr>
            <w:r w:rsidRPr="00097C4C">
              <w:rPr>
                <w:rFonts w:ascii="Palatino Linotype" w:hAnsi="Palatino Linotype"/>
                <w:sz w:val="20"/>
              </w:rPr>
              <w:t>Storage-</w:t>
            </w:r>
          </w:p>
          <w:p w:rsidRPr="00097C4C" w:rsidR="00112A22" w:rsidP="00112A22" w:rsidRDefault="00112A22" w14:paraId="5F6D43F7" w14:textId="77777777">
            <w:pPr>
              <w:rPr>
                <w:rFonts w:ascii="Palatino Linotype" w:hAnsi="Palatino Linotype"/>
                <w:sz w:val="20"/>
              </w:rPr>
            </w:pPr>
            <w:r w:rsidRPr="00097C4C">
              <w:rPr>
                <w:rFonts w:ascii="Palatino Linotype" w:hAnsi="Palatino Linotype"/>
                <w:sz w:val="20"/>
              </w:rPr>
              <w:t>Demand</w:t>
            </w:r>
          </w:p>
          <w:p w:rsidRPr="00097C4C" w:rsidR="00112A22" w:rsidP="00112A22" w:rsidRDefault="00112A22" w14:paraId="6B896995" w14:textId="7DD553E3">
            <w:pPr>
              <w:rPr>
                <w:rFonts w:ascii="Palatino Linotype" w:hAnsi="Palatino Linotype"/>
                <w:sz w:val="20"/>
              </w:rPr>
            </w:pPr>
            <w:r w:rsidRPr="00097C4C">
              <w:rPr>
                <w:rFonts w:ascii="Palatino Linotype" w:hAnsi="Palatino Linotype"/>
                <w:sz w:val="20"/>
              </w:rPr>
              <w:t>Response</w:t>
            </w:r>
          </w:p>
        </w:tc>
        <w:tc>
          <w:tcPr>
            <w:tcW w:w="1080" w:type="dxa"/>
          </w:tcPr>
          <w:p w:rsidRPr="00097C4C" w:rsidR="00112A22" w:rsidP="00112A22" w:rsidRDefault="00112A22" w14:paraId="11A471FE" w14:textId="02A3EB44">
            <w:pPr>
              <w:spacing w:line="259" w:lineRule="auto"/>
              <w:rPr>
                <w:rFonts w:ascii="Palatino Linotype" w:hAnsi="Palatino Linotype"/>
                <w:sz w:val="20"/>
              </w:rPr>
            </w:pPr>
            <w:r w:rsidRPr="00097C4C">
              <w:rPr>
                <w:rFonts w:ascii="Palatino Linotype" w:hAnsi="Palatino Linotype"/>
                <w:sz w:val="20"/>
              </w:rPr>
              <w:t>0.5</w:t>
            </w:r>
          </w:p>
        </w:tc>
        <w:tc>
          <w:tcPr>
            <w:tcW w:w="1620" w:type="dxa"/>
          </w:tcPr>
          <w:p w:rsidRPr="00097C4C" w:rsidR="00112A22" w:rsidP="00112A22" w:rsidRDefault="00112A22" w14:paraId="6CB5D04C" w14:textId="5247CDFF">
            <w:pPr>
              <w:spacing w:line="259" w:lineRule="auto"/>
              <w:rPr>
                <w:rFonts w:ascii="Palatino Linotype" w:hAnsi="Palatino Linotype"/>
                <w:sz w:val="20"/>
              </w:rPr>
            </w:pPr>
            <w:r w:rsidRPr="00097C4C">
              <w:rPr>
                <w:rFonts w:ascii="Palatino Linotype" w:hAnsi="Palatino Linotype"/>
                <w:sz w:val="20"/>
              </w:rPr>
              <w:t>SCE Territory (in DACs)</w:t>
            </w:r>
          </w:p>
        </w:tc>
        <w:tc>
          <w:tcPr>
            <w:tcW w:w="1080" w:type="dxa"/>
          </w:tcPr>
          <w:p w:rsidRPr="00097C4C" w:rsidR="00112A22" w:rsidP="00112A22" w:rsidRDefault="00112A22" w14:paraId="2BD3307A" w14:textId="4BB6A7C0">
            <w:pPr>
              <w:spacing w:line="259" w:lineRule="auto"/>
              <w:rPr>
                <w:rFonts w:ascii="Palatino Linotype" w:hAnsi="Palatino Linotype"/>
                <w:sz w:val="20"/>
              </w:rPr>
            </w:pPr>
            <w:r w:rsidRPr="00097C4C">
              <w:rPr>
                <w:rFonts w:ascii="Palatino Linotype" w:hAnsi="Palatino Linotype"/>
                <w:sz w:val="20"/>
              </w:rPr>
              <w:t>Demand Response</w:t>
            </w:r>
          </w:p>
        </w:tc>
        <w:tc>
          <w:tcPr>
            <w:tcW w:w="1170" w:type="dxa"/>
          </w:tcPr>
          <w:p w:rsidRPr="00097C4C" w:rsidR="00112A22" w:rsidP="00112A22" w:rsidRDefault="00112A22" w14:paraId="1604E833" w14:textId="726F1DB2">
            <w:pPr>
              <w:spacing w:line="259" w:lineRule="auto"/>
              <w:rPr>
                <w:rFonts w:ascii="Palatino Linotype" w:hAnsi="Palatino Linotype"/>
                <w:sz w:val="20"/>
              </w:rPr>
            </w:pPr>
            <w:r w:rsidRPr="00097C4C">
              <w:rPr>
                <w:rFonts w:ascii="Palatino Linotype" w:hAnsi="Palatino Linotype"/>
                <w:sz w:val="20"/>
              </w:rPr>
              <w:t>8/1/2023</w:t>
            </w:r>
          </w:p>
        </w:tc>
        <w:tc>
          <w:tcPr>
            <w:tcW w:w="1170" w:type="dxa"/>
          </w:tcPr>
          <w:p w:rsidRPr="00097C4C" w:rsidR="00112A22" w:rsidP="00112A22" w:rsidRDefault="00112A22" w14:paraId="554CB847" w14:textId="4D586E6F">
            <w:pPr>
              <w:rPr>
                <w:rFonts w:ascii="Palatino Linotype" w:hAnsi="Palatino Linotype"/>
                <w:sz w:val="20"/>
              </w:rPr>
            </w:pPr>
            <w:r w:rsidRPr="00097C4C">
              <w:rPr>
                <w:rFonts w:ascii="Palatino Linotype" w:hAnsi="Palatino Linotype"/>
                <w:sz w:val="20"/>
              </w:rPr>
              <w:t>10 years</w:t>
            </w:r>
          </w:p>
        </w:tc>
      </w:tr>
    </w:tbl>
    <w:p w:rsidRPr="00097C4C" w:rsidR="00D377DD" w:rsidP="7BEB169B" w:rsidRDefault="00D377DD" w14:paraId="6D032894" w14:textId="77777777">
      <w:pPr>
        <w:rPr>
          <w:rFonts w:ascii="Palatino Linotype" w:hAnsi="Palatino Linotype"/>
          <w:b/>
          <w:bCs/>
          <w:highlight w:val="cyan"/>
        </w:rPr>
      </w:pPr>
    </w:p>
    <w:p w:rsidRPr="00097C4C" w:rsidR="00533DD6" w:rsidP="7BEB169B" w:rsidRDefault="00533DD6" w14:paraId="28A0A119" w14:textId="04590E99">
      <w:pPr>
        <w:rPr>
          <w:rFonts w:ascii="Palatino Linotype" w:hAnsi="Palatino Linotype"/>
          <w:b/>
          <w:bCs/>
        </w:rPr>
      </w:pPr>
      <w:r w:rsidRPr="00097C4C">
        <w:rPr>
          <w:rFonts w:ascii="Palatino Linotype" w:hAnsi="Palatino Linotype"/>
          <w:b/>
          <w:bCs/>
        </w:rPr>
        <w:t>Cost Recovery</w:t>
      </w:r>
    </w:p>
    <w:p w:rsidRPr="00097C4C" w:rsidR="00533DD6" w:rsidP="7BEB169B" w:rsidRDefault="00533DD6" w14:paraId="73738402" w14:textId="77777777">
      <w:pPr>
        <w:rPr>
          <w:rFonts w:ascii="Palatino Linotype" w:hAnsi="Palatino Linotype"/>
        </w:rPr>
      </w:pPr>
    </w:p>
    <w:p w:rsidRPr="00097C4C" w:rsidR="00120E33" w:rsidP="00120E33" w:rsidRDefault="00C07BB8" w14:paraId="4CA20A72" w14:textId="648AFDE9">
      <w:pPr>
        <w:rPr>
          <w:rFonts w:ascii="Palatino Linotype" w:hAnsi="Palatino Linotype"/>
        </w:rPr>
      </w:pPr>
      <w:r>
        <w:rPr>
          <w:rFonts w:ascii="Palatino Linotype" w:hAnsi="Palatino Linotype"/>
        </w:rPr>
        <w:t>SCE proposes to allocate the costs associated with the Standard Track Contracts to applicable customers</w:t>
      </w:r>
      <w:r w:rsidR="00760B20">
        <w:rPr>
          <w:rStyle w:val="FootnoteReference"/>
          <w:rFonts w:ascii="Palatino Linotype" w:hAnsi="Palatino Linotype"/>
        </w:rPr>
        <w:footnoteReference w:id="11"/>
      </w:r>
      <w:r>
        <w:rPr>
          <w:rFonts w:ascii="Palatino Linotype" w:hAnsi="Palatino Linotype"/>
        </w:rPr>
        <w:t xml:space="preserve"> on a non-</w:t>
      </w:r>
      <w:proofErr w:type="spellStart"/>
      <w:r>
        <w:rPr>
          <w:rFonts w:ascii="Palatino Linotype" w:hAnsi="Palatino Linotype"/>
        </w:rPr>
        <w:t>bypassable</w:t>
      </w:r>
      <w:proofErr w:type="spellEnd"/>
      <w:r>
        <w:rPr>
          <w:rFonts w:ascii="Palatino Linotype" w:hAnsi="Palatino Linotype"/>
        </w:rPr>
        <w:t xml:space="preserve"> basis using a </w:t>
      </w:r>
      <w:r w:rsidRPr="00097C4C">
        <w:rPr>
          <w:rFonts w:ascii="Palatino Linotype" w:hAnsi="Palatino Linotype"/>
        </w:rPr>
        <w:t>Modified Cost Allocation Mechanism (“Modified CAM”)</w:t>
      </w:r>
      <w:r>
        <w:rPr>
          <w:rFonts w:ascii="Palatino Linotype" w:hAnsi="Palatino Linotype"/>
        </w:rPr>
        <w:t>.</w:t>
      </w:r>
      <w:r w:rsidRPr="00120E33" w:rsidR="00120E33">
        <w:rPr>
          <w:rFonts w:ascii="Palatino Linotype" w:hAnsi="Palatino Linotype"/>
        </w:rPr>
        <w:t xml:space="preserve"> </w:t>
      </w:r>
      <w:r w:rsidR="00120E33">
        <w:rPr>
          <w:rFonts w:ascii="Palatino Linotype" w:hAnsi="Palatino Linotype"/>
        </w:rPr>
        <w:t>C</w:t>
      </w:r>
      <w:r w:rsidRPr="00097C4C" w:rsidR="00120E33">
        <w:rPr>
          <w:rFonts w:ascii="Palatino Linotype" w:hAnsi="Palatino Linotype"/>
        </w:rPr>
        <w:t xml:space="preserve">osts incurred on behalf of </w:t>
      </w:r>
      <w:r w:rsidR="00120E33">
        <w:rPr>
          <w:rFonts w:ascii="Palatino Linotype" w:hAnsi="Palatino Linotype"/>
        </w:rPr>
        <w:t>SCE</w:t>
      </w:r>
      <w:r w:rsidRPr="00097C4C" w:rsidR="00120E33">
        <w:rPr>
          <w:rFonts w:ascii="Palatino Linotype" w:hAnsi="Palatino Linotype"/>
        </w:rPr>
        <w:t xml:space="preserve"> bundled customers </w:t>
      </w:r>
      <w:r w:rsidR="00120E33">
        <w:rPr>
          <w:rFonts w:ascii="Palatino Linotype" w:hAnsi="Palatino Linotype"/>
        </w:rPr>
        <w:t xml:space="preserve">would be recovered </w:t>
      </w:r>
      <w:r w:rsidRPr="00097C4C" w:rsidR="00120E33">
        <w:rPr>
          <w:rFonts w:ascii="Palatino Linotype" w:hAnsi="Palatino Linotype"/>
        </w:rPr>
        <w:t xml:space="preserve">through the </w:t>
      </w:r>
      <w:r w:rsidR="00120E33">
        <w:rPr>
          <w:rFonts w:ascii="Palatino Linotype" w:hAnsi="Palatino Linotype"/>
        </w:rPr>
        <w:t>Energy Resource Recovery Account (</w:t>
      </w:r>
      <w:r w:rsidRPr="00097C4C" w:rsidR="00120E33">
        <w:rPr>
          <w:rFonts w:ascii="Palatino Linotype" w:hAnsi="Palatino Linotype"/>
        </w:rPr>
        <w:t>ERRA</w:t>
      </w:r>
      <w:r w:rsidR="00120E33">
        <w:rPr>
          <w:rFonts w:ascii="Palatino Linotype" w:hAnsi="Palatino Linotype"/>
        </w:rPr>
        <w:t>)</w:t>
      </w:r>
      <w:r w:rsidRPr="00097C4C" w:rsidR="00120E33">
        <w:rPr>
          <w:rFonts w:ascii="Palatino Linotype" w:hAnsi="Palatino Linotype"/>
        </w:rPr>
        <w:t xml:space="preserve"> proceeding, subject to SCE’s prudent administration of the Standard Track Contracts.</w:t>
      </w:r>
    </w:p>
    <w:p w:rsidR="00C07BB8" w:rsidP="7BEB169B" w:rsidRDefault="00C07BB8" w14:paraId="30B15132" w14:textId="77777777">
      <w:pPr>
        <w:rPr>
          <w:rFonts w:ascii="Palatino Linotype" w:hAnsi="Palatino Linotype"/>
        </w:rPr>
      </w:pPr>
    </w:p>
    <w:p w:rsidR="00461BE0" w:rsidP="7BEB169B" w:rsidRDefault="006B3EBF" w14:paraId="61282A88" w14:textId="77777777">
      <w:pPr>
        <w:rPr>
          <w:rFonts w:ascii="Palatino Linotype" w:hAnsi="Palatino Linotype"/>
        </w:rPr>
      </w:pPr>
      <w:r w:rsidRPr="00097C4C">
        <w:rPr>
          <w:rFonts w:ascii="Palatino Linotype" w:hAnsi="Palatino Linotype"/>
        </w:rPr>
        <w:t>SC</w:t>
      </w:r>
      <w:r w:rsidRPr="00097C4C" w:rsidR="00D377DD">
        <w:rPr>
          <w:rFonts w:ascii="Palatino Linotype" w:hAnsi="Palatino Linotype"/>
        </w:rPr>
        <w:t xml:space="preserve">E proposes to continue tracking costs </w:t>
      </w:r>
      <w:r w:rsidR="00C07BB8">
        <w:rPr>
          <w:rFonts w:ascii="Palatino Linotype" w:hAnsi="Palatino Linotype"/>
        </w:rPr>
        <w:t xml:space="preserve">and benefits associated with </w:t>
      </w:r>
      <w:r w:rsidR="00760B20">
        <w:rPr>
          <w:rFonts w:ascii="Palatino Linotype" w:hAnsi="Palatino Linotype"/>
        </w:rPr>
        <w:t>p</w:t>
      </w:r>
      <w:r w:rsidR="00C07BB8">
        <w:rPr>
          <w:rFonts w:ascii="Palatino Linotype" w:hAnsi="Palatino Linotype"/>
        </w:rPr>
        <w:t>rocurement undertaken pursuant to D.19-11-</w:t>
      </w:r>
      <w:proofErr w:type="gramStart"/>
      <w:r w:rsidR="00C07BB8">
        <w:rPr>
          <w:rFonts w:ascii="Palatino Linotype" w:hAnsi="Palatino Linotype"/>
        </w:rPr>
        <w:t xml:space="preserve">016 </w:t>
      </w:r>
      <w:r w:rsidRPr="00097C4C" w:rsidR="00D377DD">
        <w:rPr>
          <w:rFonts w:ascii="Palatino Linotype" w:hAnsi="Palatino Linotype"/>
        </w:rPr>
        <w:t xml:space="preserve"> –</w:t>
      </w:r>
      <w:proofErr w:type="gramEnd"/>
      <w:r w:rsidRPr="00097C4C" w:rsidR="00D377DD">
        <w:rPr>
          <w:rFonts w:ascii="Palatino Linotype" w:hAnsi="Palatino Linotype"/>
        </w:rPr>
        <w:t xml:space="preserve"> including procurement costs</w:t>
      </w:r>
      <w:r w:rsidRPr="00097C4C" w:rsidR="00F44283">
        <w:rPr>
          <w:rFonts w:ascii="Palatino Linotype" w:hAnsi="Palatino Linotype"/>
        </w:rPr>
        <w:t>, costs of the IE,</w:t>
      </w:r>
      <w:r w:rsidRPr="00097C4C" w:rsidR="00D377DD">
        <w:rPr>
          <w:rFonts w:ascii="Palatino Linotype" w:hAnsi="Palatino Linotype"/>
        </w:rPr>
        <w:t xml:space="preserve"> and </w:t>
      </w:r>
      <w:r w:rsidR="00C07BB8">
        <w:rPr>
          <w:rFonts w:ascii="Palatino Linotype" w:hAnsi="Palatino Linotype"/>
        </w:rPr>
        <w:t xml:space="preserve">incremental </w:t>
      </w:r>
      <w:r w:rsidRPr="00097C4C" w:rsidR="00D377DD">
        <w:rPr>
          <w:rFonts w:ascii="Palatino Linotype" w:hAnsi="Palatino Linotype"/>
        </w:rPr>
        <w:t xml:space="preserve">administrative costs associated with </w:t>
      </w:r>
      <w:r w:rsidR="00C07BB8">
        <w:rPr>
          <w:rFonts w:ascii="Palatino Linotype" w:hAnsi="Palatino Linotype"/>
        </w:rPr>
        <w:t xml:space="preserve">the SRRFO </w:t>
      </w:r>
      <w:r w:rsidRPr="00097C4C" w:rsidR="00D377DD">
        <w:rPr>
          <w:rFonts w:ascii="Palatino Linotype" w:hAnsi="Palatino Linotype"/>
        </w:rPr>
        <w:t xml:space="preserve">procurement on behalf of CCAs and ESPs that opted out of their </w:t>
      </w:r>
    </w:p>
    <w:p w:rsidR="00D377DD" w:rsidP="7BEB169B" w:rsidRDefault="00D377DD" w14:paraId="3C2C0261" w14:textId="1E41E62E">
      <w:pPr>
        <w:rPr>
          <w:rFonts w:ascii="Palatino Linotype" w:hAnsi="Palatino Linotype"/>
        </w:rPr>
      </w:pPr>
      <w:r w:rsidRPr="00097C4C">
        <w:rPr>
          <w:rFonts w:ascii="Palatino Linotype" w:hAnsi="Palatino Linotype"/>
        </w:rPr>
        <w:t xml:space="preserve">D.19-11-016 requirements – through the </w:t>
      </w:r>
      <w:r w:rsidRPr="00097C4C" w:rsidR="006B3EBF">
        <w:rPr>
          <w:rFonts w:ascii="Palatino Linotype" w:hAnsi="Palatino Linotype"/>
        </w:rPr>
        <w:t>System Reliability</w:t>
      </w:r>
      <w:r w:rsidRPr="00097C4C">
        <w:rPr>
          <w:rFonts w:ascii="Palatino Linotype" w:hAnsi="Palatino Linotype"/>
        </w:rPr>
        <w:t xml:space="preserve"> Procurement Memorandum Account (</w:t>
      </w:r>
      <w:r w:rsidRPr="00097C4C" w:rsidR="006B3EBF">
        <w:rPr>
          <w:rFonts w:ascii="Palatino Linotype" w:hAnsi="Palatino Linotype"/>
        </w:rPr>
        <w:t>SR</w:t>
      </w:r>
      <w:r w:rsidRPr="00097C4C">
        <w:rPr>
          <w:rFonts w:ascii="Palatino Linotype" w:hAnsi="Palatino Linotype"/>
        </w:rPr>
        <w:t>PMA) that the Commission approved in Resolution E-510</w:t>
      </w:r>
      <w:r w:rsidRPr="00097C4C" w:rsidR="006B3EBF">
        <w:rPr>
          <w:rFonts w:ascii="Palatino Linotype" w:hAnsi="Palatino Linotype"/>
        </w:rPr>
        <w:t>1</w:t>
      </w:r>
      <w:r w:rsidRPr="00097C4C">
        <w:rPr>
          <w:rFonts w:ascii="Palatino Linotype" w:hAnsi="Palatino Linotype"/>
        </w:rPr>
        <w:t xml:space="preserve">, until the Commission adopts </w:t>
      </w:r>
      <w:r w:rsidR="00C07BB8">
        <w:rPr>
          <w:rFonts w:ascii="Palatino Linotype" w:hAnsi="Palatino Linotype"/>
        </w:rPr>
        <w:t xml:space="preserve">a </w:t>
      </w:r>
      <w:r w:rsidRPr="00097C4C">
        <w:rPr>
          <w:rFonts w:ascii="Palatino Linotype" w:hAnsi="Palatino Linotype"/>
        </w:rPr>
        <w:t>Modified CAM.</w:t>
      </w:r>
      <w:r w:rsidRPr="00097C4C">
        <w:rPr>
          <w:rStyle w:val="FootnoteReference"/>
          <w:rFonts w:ascii="Palatino Linotype" w:hAnsi="Palatino Linotype"/>
        </w:rPr>
        <w:footnoteReference w:id="12"/>
      </w:r>
      <w:r w:rsidRPr="00097C4C">
        <w:rPr>
          <w:rFonts w:ascii="Palatino Linotype" w:hAnsi="Palatino Linotype"/>
        </w:rPr>
        <w:t xml:space="preserve"> </w:t>
      </w:r>
    </w:p>
    <w:p w:rsidRPr="00097C4C" w:rsidR="00F44283" w:rsidP="7BEB169B" w:rsidRDefault="00F44283" w14:paraId="432EA4CA" w14:textId="77777777">
      <w:pPr>
        <w:rPr>
          <w:rFonts w:ascii="Palatino Linotype" w:hAnsi="Palatino Linotype"/>
          <w:b/>
          <w:bCs/>
        </w:rPr>
      </w:pPr>
    </w:p>
    <w:p w:rsidRPr="00097C4C" w:rsidR="00533DD6" w:rsidP="7BEB169B" w:rsidRDefault="00533DD6" w14:paraId="4F0CC351" w14:textId="03432D54">
      <w:pPr>
        <w:rPr>
          <w:rFonts w:ascii="Palatino Linotype" w:hAnsi="Palatino Linotype"/>
          <w:b/>
          <w:bCs/>
        </w:rPr>
      </w:pPr>
      <w:r w:rsidRPr="00097C4C">
        <w:rPr>
          <w:rFonts w:ascii="Palatino Linotype" w:hAnsi="Palatino Linotype"/>
          <w:b/>
          <w:bCs/>
        </w:rPr>
        <w:t>Safety</w:t>
      </w:r>
    </w:p>
    <w:p w:rsidRPr="00097C4C" w:rsidR="00533DD6" w:rsidP="7BEB169B" w:rsidRDefault="00533DD6" w14:paraId="378A54D7" w14:textId="77777777">
      <w:pPr>
        <w:rPr>
          <w:rFonts w:ascii="Palatino Linotype" w:hAnsi="Palatino Linotype"/>
          <w:highlight w:val="cyan"/>
        </w:rPr>
      </w:pPr>
    </w:p>
    <w:p w:rsidRPr="00097C4C" w:rsidR="008302D8" w:rsidP="006B3EBF" w:rsidRDefault="00F65F16" w14:paraId="710EA4CF" w14:textId="197A750D">
      <w:pPr>
        <w:rPr>
          <w:rFonts w:ascii="Palatino Linotype" w:hAnsi="Palatino Linotype"/>
          <w:highlight w:val="cyan"/>
        </w:rPr>
      </w:pPr>
      <w:r w:rsidRPr="00097C4C">
        <w:rPr>
          <w:rFonts w:ascii="Palatino Linotype" w:hAnsi="Palatino Linotype"/>
        </w:rPr>
        <w:t>The</w:t>
      </w:r>
      <w:r w:rsidRPr="00097C4C" w:rsidR="008A2573">
        <w:rPr>
          <w:rFonts w:ascii="Palatino Linotype" w:hAnsi="Palatino Linotype"/>
        </w:rPr>
        <w:t xml:space="preserve"> </w:t>
      </w:r>
      <w:r w:rsidR="00760B20">
        <w:rPr>
          <w:rFonts w:ascii="Palatino Linotype" w:hAnsi="Palatino Linotype"/>
        </w:rPr>
        <w:t>five Standard Track</w:t>
      </w:r>
      <w:r w:rsidRPr="00097C4C">
        <w:rPr>
          <w:rFonts w:ascii="Palatino Linotype" w:hAnsi="Palatino Linotype"/>
        </w:rPr>
        <w:t xml:space="preserve"> agreements </w:t>
      </w:r>
      <w:r w:rsidRPr="00097C4C" w:rsidR="008A2573">
        <w:rPr>
          <w:rFonts w:ascii="Palatino Linotype" w:hAnsi="Palatino Linotype"/>
        </w:rPr>
        <w:t>for which</w:t>
      </w:r>
      <w:r w:rsidRPr="00097C4C" w:rsidR="006B3EBF">
        <w:rPr>
          <w:rFonts w:ascii="Palatino Linotype" w:hAnsi="Palatino Linotype"/>
        </w:rPr>
        <w:t xml:space="preserve"> SC</w:t>
      </w:r>
      <w:r w:rsidRPr="00097C4C" w:rsidR="008A2573">
        <w:rPr>
          <w:rFonts w:ascii="Palatino Linotype" w:hAnsi="Palatino Linotype"/>
        </w:rPr>
        <w:t xml:space="preserve">E seeks approval </w:t>
      </w:r>
      <w:r w:rsidRPr="00097C4C" w:rsidR="006B3EBF">
        <w:rPr>
          <w:rFonts w:ascii="Palatino Linotype" w:hAnsi="Palatino Linotype"/>
        </w:rPr>
        <w:t xml:space="preserve">require the seller to </w:t>
      </w:r>
      <w:r w:rsidRPr="00097C4C" w:rsidR="00E610B5">
        <w:rPr>
          <w:rFonts w:ascii="Palatino Linotype" w:hAnsi="Palatino Linotype"/>
        </w:rPr>
        <w:t>“</w:t>
      </w:r>
      <w:r w:rsidRPr="00097C4C" w:rsidR="006B3EBF">
        <w:rPr>
          <w:rFonts w:ascii="Palatino Linotype" w:hAnsi="Palatino Linotype"/>
        </w:rPr>
        <w:t>operate the energy storage facility in accordance with “Prudent Electrical Practices</w:t>
      </w:r>
      <w:r w:rsidRPr="00097C4C" w:rsidR="008A2573">
        <w:rPr>
          <w:rFonts w:ascii="Palatino Linotype" w:hAnsi="Palatino Linotype"/>
        </w:rPr>
        <w:t>.”</w:t>
      </w:r>
      <w:r w:rsidRPr="00097C4C" w:rsidR="00E610B5">
        <w:rPr>
          <w:rFonts w:ascii="Palatino Linotype" w:hAnsi="Palatino Linotype"/>
        </w:rPr>
        <w:t>”</w:t>
      </w:r>
      <w:r w:rsidRPr="00097C4C" w:rsidR="008A2573">
        <w:rPr>
          <w:rStyle w:val="FootnoteReference"/>
          <w:rFonts w:ascii="Palatino Linotype" w:hAnsi="Palatino Linotype"/>
        </w:rPr>
        <w:footnoteReference w:id="13"/>
      </w:r>
      <w:r w:rsidRPr="00097C4C" w:rsidR="008A2573">
        <w:rPr>
          <w:rFonts w:ascii="Palatino Linotype" w:hAnsi="Palatino Linotype"/>
        </w:rPr>
        <w:t xml:space="preserve"> </w:t>
      </w:r>
      <w:r w:rsidR="00760B20">
        <w:rPr>
          <w:rFonts w:ascii="Palatino Linotype" w:hAnsi="Palatino Linotype"/>
        </w:rPr>
        <w:t>The</w:t>
      </w:r>
      <w:r w:rsidRPr="00097C4C" w:rsidR="006B3EBF">
        <w:rPr>
          <w:rFonts w:ascii="Palatino Linotype" w:hAnsi="Palatino Linotype"/>
        </w:rPr>
        <w:t xml:space="preserve"> contracts also include a provision providing that, prior to commencement of any construction activities on the project site, the seller must provide to SCE a report from an independent engineer certifying that </w:t>
      </w:r>
      <w:r w:rsidRPr="00097C4C" w:rsidR="006B3EBF">
        <w:rPr>
          <w:rFonts w:ascii="Palatino Linotype" w:hAnsi="Palatino Linotype"/>
        </w:rPr>
        <w:lastRenderedPageBreak/>
        <w:t>the seller has a written plan for the safe construction and operation of the project in accordance with Prudent Electrical Practices.</w:t>
      </w:r>
      <w:r w:rsidRPr="00097C4C" w:rsidR="004C54FD">
        <w:rPr>
          <w:rStyle w:val="FootnoteReference"/>
          <w:rFonts w:ascii="Palatino Linotype" w:hAnsi="Palatino Linotype"/>
        </w:rPr>
        <w:footnoteReference w:id="14"/>
      </w:r>
    </w:p>
    <w:p w:rsidRPr="00097C4C" w:rsidR="00AB4026" w:rsidP="7BEB169B" w:rsidRDefault="00AB4026" w14:paraId="2E97FE76" w14:textId="6FB853BD">
      <w:pPr>
        <w:rPr>
          <w:rFonts w:ascii="Palatino Linotype" w:hAnsi="Palatino Linotype"/>
          <w:highlight w:val="cyan"/>
        </w:rPr>
      </w:pPr>
    </w:p>
    <w:p w:rsidRPr="00097C4C" w:rsidR="00AB4026" w:rsidP="00AB4026" w:rsidRDefault="00AB4026" w14:paraId="523AE90A" w14:textId="6FF6365E">
      <w:pPr>
        <w:rPr>
          <w:rFonts w:ascii="Palatino Linotype" w:hAnsi="Palatino Linotype"/>
          <w:b/>
          <w:bCs/>
        </w:rPr>
      </w:pPr>
      <w:r w:rsidRPr="00097C4C">
        <w:rPr>
          <w:rFonts w:ascii="Palatino Linotype" w:hAnsi="Palatino Linotype"/>
          <w:b/>
          <w:bCs/>
        </w:rPr>
        <w:t>Disadvantaged Community (DAC) Designations</w:t>
      </w:r>
    </w:p>
    <w:p w:rsidRPr="00097C4C" w:rsidR="00AB4026" w:rsidP="00AB4026" w:rsidRDefault="00AB4026" w14:paraId="390AFCE6" w14:textId="77777777">
      <w:pPr>
        <w:rPr>
          <w:rFonts w:ascii="Palatino Linotype" w:hAnsi="Palatino Linotype"/>
        </w:rPr>
      </w:pPr>
    </w:p>
    <w:p w:rsidRPr="00097C4C" w:rsidR="00193E93" w:rsidP="00193E93" w:rsidRDefault="00193E93" w14:paraId="7E77A8CF" w14:textId="7CC226B8">
      <w:pPr>
        <w:spacing w:after="240"/>
        <w:rPr>
          <w:rFonts w:ascii="Palatino Linotype" w:hAnsi="Palatino Linotype"/>
          <w:szCs w:val="26"/>
        </w:rPr>
      </w:pPr>
      <w:r w:rsidRPr="00097C4C">
        <w:rPr>
          <w:rFonts w:ascii="Palatino Linotype" w:hAnsi="Palatino Linotype"/>
          <w:szCs w:val="26"/>
        </w:rPr>
        <w:t>Senate Bill 350 (de León, Chapter 547, Stats. 2015) contains disadvantaged community goals that are cross-cutting and therefore will be integrated into all policy areas.  Thus, in evaluating the</w:t>
      </w:r>
      <w:r w:rsidR="00FB56FD">
        <w:rPr>
          <w:rFonts w:ascii="Palatino Linotype" w:hAnsi="Palatino Linotype"/>
          <w:szCs w:val="26"/>
        </w:rPr>
        <w:t xml:space="preserve"> SCE’s</w:t>
      </w:r>
      <w:r w:rsidRPr="00097C4C">
        <w:rPr>
          <w:rFonts w:ascii="Palatino Linotype" w:hAnsi="Palatino Linotype"/>
          <w:szCs w:val="26"/>
        </w:rPr>
        <w:t xml:space="preserve"> </w:t>
      </w:r>
      <w:proofErr w:type="spellStart"/>
      <w:r w:rsidR="00FB56FD">
        <w:rPr>
          <w:rFonts w:ascii="Palatino Linotype" w:hAnsi="Palatino Linotype"/>
          <w:szCs w:val="26"/>
        </w:rPr>
        <w:t>Standard</w:t>
      </w:r>
      <w:r w:rsidRPr="00097C4C">
        <w:rPr>
          <w:rFonts w:ascii="Palatino Linotype" w:hAnsi="Palatino Linotype"/>
          <w:szCs w:val="26"/>
        </w:rPr>
        <w:t>Track</w:t>
      </w:r>
      <w:proofErr w:type="spellEnd"/>
      <w:r w:rsidRPr="00097C4C">
        <w:rPr>
          <w:rFonts w:ascii="Palatino Linotype" w:hAnsi="Palatino Linotype"/>
          <w:szCs w:val="26"/>
        </w:rPr>
        <w:t xml:space="preserve"> Procurement</w:t>
      </w:r>
      <w:r w:rsidR="00FB56FD">
        <w:rPr>
          <w:rFonts w:ascii="Palatino Linotype" w:hAnsi="Palatino Linotype"/>
          <w:szCs w:val="26"/>
        </w:rPr>
        <w:t xml:space="preserve"> contracts</w:t>
      </w:r>
      <w:r w:rsidRPr="00097C4C">
        <w:rPr>
          <w:rFonts w:ascii="Palatino Linotype" w:hAnsi="Palatino Linotype"/>
          <w:szCs w:val="26"/>
        </w:rPr>
        <w:t>, the Commission will analyze the impacts on such communities.</w:t>
      </w:r>
    </w:p>
    <w:p w:rsidRPr="00097C4C" w:rsidR="00193E93" w:rsidP="00193E93" w:rsidRDefault="00193E93" w14:paraId="4F940648" w14:textId="77777777">
      <w:pPr>
        <w:autoSpaceDE w:val="0"/>
        <w:autoSpaceDN w:val="0"/>
        <w:adjustRightInd w:val="0"/>
        <w:rPr>
          <w:rFonts w:ascii="Palatino Linotype" w:hAnsi="Palatino Linotype"/>
          <w:szCs w:val="26"/>
        </w:rPr>
      </w:pPr>
      <w:r w:rsidRPr="00097C4C">
        <w:rPr>
          <w:rFonts w:ascii="Palatino Linotype" w:hAnsi="Palatino Linotype"/>
          <w:szCs w:val="26"/>
        </w:rPr>
        <w:t>The California Environmental Protection Agency (CalEPA) is responsible for identifying disadvantaged communities for purposes of the Cap-and-Trade program funding. CalEPA has designated disadvantaged communities as the 25% highest scoring census tracts in the state using results of the California Communities Environmental Health Screening Tool, Version 3 (</w:t>
      </w:r>
      <w:proofErr w:type="spellStart"/>
      <w:r w:rsidRPr="00097C4C">
        <w:rPr>
          <w:rFonts w:ascii="Palatino Linotype" w:hAnsi="Palatino Linotype"/>
          <w:szCs w:val="26"/>
        </w:rPr>
        <w:t>CalEnviroScreen</w:t>
      </w:r>
      <w:proofErr w:type="spellEnd"/>
      <w:r w:rsidRPr="00097C4C">
        <w:rPr>
          <w:rFonts w:ascii="Palatino Linotype" w:hAnsi="Palatino Linotype"/>
          <w:szCs w:val="26"/>
        </w:rPr>
        <w:t xml:space="preserve"> 3.0).  The tool combines twenty indicators in “population” and “pollution burden” categories.  SB 350 directs the CPUC to also use CalEPA’s tool to identify disadvantaged communities. </w:t>
      </w:r>
    </w:p>
    <w:p w:rsidRPr="00097C4C" w:rsidR="00193E93" w:rsidP="00193E93" w:rsidRDefault="00193E93" w14:paraId="7CC1E65F" w14:textId="77777777">
      <w:pPr>
        <w:autoSpaceDE w:val="0"/>
        <w:autoSpaceDN w:val="0"/>
        <w:adjustRightInd w:val="0"/>
        <w:rPr>
          <w:rFonts w:ascii="Palatino Linotype" w:hAnsi="Palatino Linotype"/>
          <w:szCs w:val="26"/>
          <w:highlight w:val="cyan"/>
        </w:rPr>
      </w:pPr>
    </w:p>
    <w:p w:rsidRPr="00097C4C" w:rsidR="00193E93" w:rsidP="00193E93" w:rsidRDefault="00193E93" w14:paraId="35AFD222" w14:textId="516874E5">
      <w:pPr>
        <w:autoSpaceDE w:val="0"/>
        <w:autoSpaceDN w:val="0"/>
        <w:adjustRightInd w:val="0"/>
        <w:rPr>
          <w:rFonts w:ascii="Palatino Linotype" w:hAnsi="Palatino Linotype"/>
          <w:szCs w:val="26"/>
        </w:rPr>
      </w:pPr>
      <w:r w:rsidRPr="00097C4C">
        <w:rPr>
          <w:rFonts w:ascii="Palatino Linotype" w:hAnsi="Palatino Linotype"/>
          <w:szCs w:val="26"/>
        </w:rPr>
        <w:t xml:space="preserve">The </w:t>
      </w:r>
      <w:r w:rsidRPr="00097C4C" w:rsidR="004C54FD">
        <w:rPr>
          <w:rFonts w:ascii="Palatino Linotype" w:hAnsi="Palatino Linotype"/>
          <w:szCs w:val="26"/>
        </w:rPr>
        <w:t>Silver Peak</w:t>
      </w:r>
      <w:r w:rsidRPr="00097C4C" w:rsidR="00A54196">
        <w:rPr>
          <w:rFonts w:ascii="Palatino Linotype" w:hAnsi="Palatino Linotype"/>
          <w:szCs w:val="26"/>
        </w:rPr>
        <w:t xml:space="preserve"> project</w:t>
      </w:r>
      <w:r w:rsidRPr="00097C4C" w:rsidR="004C54FD">
        <w:rPr>
          <w:rFonts w:ascii="Palatino Linotype" w:hAnsi="Palatino Linotype"/>
          <w:szCs w:val="26"/>
        </w:rPr>
        <w:t xml:space="preserve"> </w:t>
      </w:r>
      <w:proofErr w:type="gramStart"/>
      <w:r w:rsidRPr="00097C4C" w:rsidR="004C54FD">
        <w:rPr>
          <w:rFonts w:ascii="Palatino Linotype" w:hAnsi="Palatino Linotype"/>
          <w:szCs w:val="26"/>
        </w:rPr>
        <w:t>is located in</w:t>
      </w:r>
      <w:proofErr w:type="gramEnd"/>
      <w:r w:rsidRPr="00097C4C" w:rsidR="004C54FD">
        <w:rPr>
          <w:rFonts w:ascii="Palatino Linotype" w:hAnsi="Palatino Linotype"/>
          <w:szCs w:val="26"/>
        </w:rPr>
        <w:t xml:space="preserve"> Nevada adjacent to a California</w:t>
      </w:r>
      <w:r w:rsidRPr="00097C4C">
        <w:rPr>
          <w:rFonts w:ascii="Palatino Linotype" w:hAnsi="Palatino Linotype"/>
          <w:szCs w:val="26"/>
        </w:rPr>
        <w:t xml:space="preserve"> DAC, as identified according to the </w:t>
      </w:r>
      <w:proofErr w:type="spellStart"/>
      <w:r w:rsidRPr="00097C4C">
        <w:rPr>
          <w:rFonts w:ascii="Palatino Linotype" w:hAnsi="Palatino Linotype"/>
          <w:szCs w:val="26"/>
        </w:rPr>
        <w:t>CalEnviroScreen</w:t>
      </w:r>
      <w:proofErr w:type="spellEnd"/>
      <w:r w:rsidRPr="00097C4C">
        <w:rPr>
          <w:rFonts w:ascii="Palatino Linotype" w:hAnsi="Palatino Linotype"/>
          <w:szCs w:val="26"/>
        </w:rPr>
        <w:t xml:space="preserve"> 3.0. </w:t>
      </w:r>
      <w:r w:rsidRPr="00097C4C" w:rsidR="00A54196">
        <w:rPr>
          <w:rFonts w:ascii="Palatino Linotype" w:hAnsi="Palatino Linotype"/>
          <w:szCs w:val="26"/>
        </w:rPr>
        <w:t xml:space="preserve">In addition, the </w:t>
      </w:r>
      <w:r w:rsidRPr="00097C4C" w:rsidR="004C54FD">
        <w:rPr>
          <w:rFonts w:ascii="Palatino Linotype" w:hAnsi="Palatino Linotype"/>
          <w:szCs w:val="26"/>
        </w:rPr>
        <w:t>Sunrun DAC project will target customers located in DACs within SCE territory</w:t>
      </w:r>
      <w:r w:rsidRPr="00097C4C" w:rsidR="00A54196">
        <w:rPr>
          <w:rFonts w:ascii="Palatino Linotype" w:hAnsi="Palatino Linotype"/>
          <w:szCs w:val="26"/>
        </w:rPr>
        <w:t>.</w:t>
      </w:r>
      <w:r w:rsidRPr="00097C4C" w:rsidR="00300EDC">
        <w:rPr>
          <w:rFonts w:ascii="Palatino Linotype" w:hAnsi="Palatino Linotype"/>
          <w:szCs w:val="26"/>
        </w:rPr>
        <w:t xml:space="preserve"> </w:t>
      </w:r>
      <w:r w:rsidRPr="00097C4C">
        <w:rPr>
          <w:rFonts w:ascii="Palatino Linotype" w:hAnsi="Palatino Linotype"/>
          <w:szCs w:val="26"/>
        </w:rPr>
        <w:t>Siting Energy Storage resources in</w:t>
      </w:r>
      <w:r w:rsidRPr="00097C4C" w:rsidR="004C54FD">
        <w:rPr>
          <w:rFonts w:ascii="Palatino Linotype" w:hAnsi="Palatino Linotype"/>
          <w:szCs w:val="26"/>
        </w:rPr>
        <w:t xml:space="preserve"> or near</w:t>
      </w:r>
      <w:r w:rsidRPr="00097C4C">
        <w:rPr>
          <w:rFonts w:ascii="Palatino Linotype" w:hAnsi="Palatino Linotype"/>
          <w:szCs w:val="26"/>
        </w:rPr>
        <w:t xml:space="preserve"> DACs has the potential to reduce local dependence on energy production that increases air pollution. </w:t>
      </w:r>
    </w:p>
    <w:p w:rsidRPr="003C30EA" w:rsidR="00AB4026" w:rsidP="00AB4026" w:rsidRDefault="00AB4026" w14:paraId="2EAB27B5" w14:textId="77777777">
      <w:pPr>
        <w:rPr>
          <w:highlight w:val="cyan"/>
        </w:rPr>
      </w:pPr>
    </w:p>
    <w:p w:rsidRPr="004C54FD" w:rsidR="00CF17DE" w:rsidRDefault="00394B3A" w14:paraId="66788129" w14:textId="77777777">
      <w:pPr>
        <w:pStyle w:val="Heading1"/>
      </w:pPr>
      <w:r w:rsidRPr="004C54FD">
        <w:t>Notice</w:t>
      </w:r>
    </w:p>
    <w:p w:rsidRPr="00097C4C" w:rsidR="00CF17DE" w:rsidRDefault="00CF17DE" w14:paraId="37FFE207" w14:textId="366667B5">
      <w:pPr>
        <w:rPr>
          <w:rFonts w:ascii="Palatino Linotype" w:hAnsi="Palatino Linotype"/>
        </w:rPr>
      </w:pPr>
      <w:r w:rsidRPr="00097C4C">
        <w:rPr>
          <w:rFonts w:ascii="Palatino Linotype" w:hAnsi="Palatino Linotype"/>
        </w:rPr>
        <w:t xml:space="preserve">Notice of AL </w:t>
      </w:r>
      <w:r w:rsidRPr="00097C4C" w:rsidR="004C54FD">
        <w:rPr>
          <w:rFonts w:ascii="Palatino Linotype" w:hAnsi="Palatino Linotype"/>
        </w:rPr>
        <w:t>4373</w:t>
      </w:r>
      <w:r w:rsidRPr="00097C4C" w:rsidR="00F84A3E">
        <w:rPr>
          <w:rFonts w:ascii="Palatino Linotype" w:hAnsi="Palatino Linotype"/>
        </w:rPr>
        <w:t>-E</w:t>
      </w:r>
      <w:r w:rsidRPr="00097C4C">
        <w:rPr>
          <w:rFonts w:ascii="Palatino Linotype" w:hAnsi="Palatino Linotype"/>
        </w:rPr>
        <w:t xml:space="preserve"> was made by publication in the Commission’s Daily Calendar.  </w:t>
      </w:r>
      <w:r w:rsidRPr="00097C4C" w:rsidR="004C54FD">
        <w:rPr>
          <w:rFonts w:ascii="Palatino Linotype" w:hAnsi="Palatino Linotype"/>
        </w:rPr>
        <w:t>SC</w:t>
      </w:r>
      <w:r w:rsidRPr="00097C4C" w:rsidR="00F84A3E">
        <w:rPr>
          <w:rFonts w:ascii="Palatino Linotype" w:hAnsi="Palatino Linotype"/>
        </w:rPr>
        <w:t>E</w:t>
      </w:r>
      <w:r w:rsidRPr="00097C4C">
        <w:rPr>
          <w:rFonts w:ascii="Palatino Linotype" w:hAnsi="Palatino Linotype"/>
        </w:rPr>
        <w:t xml:space="preserve"> states that a copy of the Advice Letter was mailed and distributed in accordance with Sec</w:t>
      </w:r>
      <w:r w:rsidRPr="00097C4C" w:rsidR="00A1526C">
        <w:rPr>
          <w:rFonts w:ascii="Palatino Linotype" w:hAnsi="Palatino Linotype"/>
        </w:rPr>
        <w:t xml:space="preserve">tion </w:t>
      </w:r>
      <w:r w:rsidRPr="00097C4C" w:rsidR="0069631C">
        <w:rPr>
          <w:rFonts w:ascii="Palatino Linotype" w:hAnsi="Palatino Linotype"/>
        </w:rPr>
        <w:t>4</w:t>
      </w:r>
      <w:r w:rsidRPr="00097C4C" w:rsidR="00E928CF">
        <w:rPr>
          <w:rFonts w:ascii="Palatino Linotype" w:hAnsi="Palatino Linotype"/>
        </w:rPr>
        <w:t xml:space="preserve"> of General Order 96-B</w:t>
      </w:r>
      <w:r w:rsidRPr="00097C4C">
        <w:rPr>
          <w:rFonts w:ascii="Palatino Linotype" w:hAnsi="Palatino Linotype"/>
        </w:rPr>
        <w:t>.</w:t>
      </w:r>
    </w:p>
    <w:p w:rsidRPr="003C30EA" w:rsidR="00CF17DE" w:rsidRDefault="00CF17DE" w14:paraId="6E8F021A" w14:textId="77777777">
      <w:pPr>
        <w:rPr>
          <w:highlight w:val="cyan"/>
        </w:rPr>
      </w:pPr>
    </w:p>
    <w:p w:rsidRPr="008A0D43" w:rsidR="00CF17DE" w:rsidRDefault="00CF17DE" w14:paraId="7F509E4C" w14:textId="77777777">
      <w:pPr>
        <w:pStyle w:val="Heading1"/>
      </w:pPr>
      <w:r w:rsidRPr="008A0D43">
        <w:lastRenderedPageBreak/>
        <w:t>Protests</w:t>
      </w:r>
    </w:p>
    <w:p w:rsidRPr="00097C4C" w:rsidR="002B3A55" w:rsidP="76508F2D" w:rsidRDefault="00295E4A" w14:paraId="7E9E226D" w14:textId="2EF7B1D8">
      <w:pPr>
        <w:rPr>
          <w:rFonts w:ascii="Palatino Linotype" w:hAnsi="Palatino Linotype"/>
        </w:rPr>
      </w:pPr>
      <w:r w:rsidRPr="00097C4C">
        <w:rPr>
          <w:rFonts w:ascii="Palatino Linotype" w:hAnsi="Palatino Linotype"/>
        </w:rPr>
        <w:t xml:space="preserve">Advice Letter </w:t>
      </w:r>
      <w:r w:rsidRPr="00097C4C" w:rsidR="008A0D43">
        <w:rPr>
          <w:rFonts w:ascii="Palatino Linotype" w:hAnsi="Palatino Linotype"/>
        </w:rPr>
        <w:t>4373</w:t>
      </w:r>
      <w:r w:rsidRPr="00097C4C">
        <w:rPr>
          <w:rFonts w:ascii="Palatino Linotype" w:hAnsi="Palatino Linotype"/>
        </w:rPr>
        <w:t xml:space="preserve">-E was timely protested by the Public Advocates Office (“Cal Advocates”) on January </w:t>
      </w:r>
      <w:r w:rsidRPr="00097C4C" w:rsidR="008A0D43">
        <w:rPr>
          <w:rFonts w:ascii="Palatino Linotype" w:hAnsi="Palatino Linotype"/>
        </w:rPr>
        <w:t>7</w:t>
      </w:r>
      <w:r w:rsidRPr="00097C4C">
        <w:rPr>
          <w:rFonts w:ascii="Palatino Linotype" w:hAnsi="Palatino Linotype"/>
        </w:rPr>
        <w:t>, 2021.</w:t>
      </w:r>
      <w:r w:rsidRPr="00097C4C" w:rsidR="003D5975">
        <w:rPr>
          <w:rFonts w:ascii="Palatino Linotype" w:hAnsi="Palatino Linotype"/>
        </w:rPr>
        <w:t xml:space="preserve"> </w:t>
      </w:r>
      <w:r w:rsidRPr="00097C4C" w:rsidR="002B3A55">
        <w:rPr>
          <w:rFonts w:ascii="Palatino Linotype" w:hAnsi="Palatino Linotype"/>
        </w:rPr>
        <w:t xml:space="preserve">In addition, the California Energy Storage Alliance (CESA) timely responded to AL </w:t>
      </w:r>
      <w:r w:rsidRPr="00097C4C" w:rsidR="008A0D43">
        <w:rPr>
          <w:rFonts w:ascii="Palatino Linotype" w:hAnsi="Palatino Linotype"/>
        </w:rPr>
        <w:t>4373</w:t>
      </w:r>
      <w:r w:rsidRPr="00097C4C" w:rsidR="002B3A55">
        <w:rPr>
          <w:rFonts w:ascii="Palatino Linotype" w:hAnsi="Palatino Linotype"/>
        </w:rPr>
        <w:t xml:space="preserve">-E on January </w:t>
      </w:r>
      <w:r w:rsidRPr="00097C4C" w:rsidR="008A0D43">
        <w:rPr>
          <w:rFonts w:ascii="Palatino Linotype" w:hAnsi="Palatino Linotype"/>
        </w:rPr>
        <w:t>7</w:t>
      </w:r>
      <w:r w:rsidRPr="00097C4C" w:rsidR="002B3A55">
        <w:rPr>
          <w:rFonts w:ascii="Palatino Linotype" w:hAnsi="Palatino Linotype"/>
        </w:rPr>
        <w:t>, 2021.</w:t>
      </w:r>
    </w:p>
    <w:p w:rsidRPr="00097C4C" w:rsidR="002B3A55" w:rsidP="76508F2D" w:rsidRDefault="002B3A55" w14:paraId="58AE0675" w14:textId="77777777">
      <w:pPr>
        <w:rPr>
          <w:rFonts w:ascii="Palatino Linotype" w:hAnsi="Palatino Linotype"/>
          <w:highlight w:val="cyan"/>
        </w:rPr>
      </w:pPr>
    </w:p>
    <w:p w:rsidRPr="00097C4C" w:rsidR="00E21608" w:rsidP="00BF6A5E" w:rsidRDefault="003D5975" w14:paraId="4C962C11" w14:textId="4062E70A">
      <w:pPr>
        <w:rPr>
          <w:rFonts w:ascii="Palatino Linotype" w:hAnsi="Palatino Linotype"/>
        </w:rPr>
      </w:pPr>
      <w:r w:rsidRPr="00097C4C">
        <w:rPr>
          <w:rFonts w:ascii="Palatino Linotype" w:hAnsi="Palatino Linotype"/>
        </w:rPr>
        <w:t xml:space="preserve">Cal Advocates recommends that the Commission </w:t>
      </w:r>
      <w:r w:rsidRPr="00097C4C" w:rsidR="00681227">
        <w:rPr>
          <w:rFonts w:ascii="Palatino Linotype" w:hAnsi="Palatino Linotype"/>
        </w:rPr>
        <w:t>require SCE to negotiate a tolling agreement in lieu of the RA plus Put Option</w:t>
      </w:r>
      <w:r w:rsidRPr="00097C4C" w:rsidR="0090225A">
        <w:rPr>
          <w:rFonts w:ascii="Palatino Linotype" w:hAnsi="Palatino Linotype"/>
        </w:rPr>
        <w:t xml:space="preserve"> </w:t>
      </w:r>
      <w:r w:rsidRPr="00097C4C" w:rsidR="008D3E0C">
        <w:rPr>
          <w:rFonts w:ascii="Palatino Linotype" w:hAnsi="Palatino Linotype"/>
        </w:rPr>
        <w:t>contract</w:t>
      </w:r>
      <w:r w:rsidRPr="00097C4C" w:rsidR="00681227">
        <w:rPr>
          <w:rFonts w:ascii="Palatino Linotype" w:hAnsi="Palatino Linotype"/>
        </w:rPr>
        <w:t xml:space="preserve"> selected for the Crimson project</w:t>
      </w:r>
      <w:r w:rsidRPr="00097C4C" w:rsidR="0015507B">
        <w:rPr>
          <w:rFonts w:ascii="Palatino Linotype" w:hAnsi="Palatino Linotype"/>
        </w:rPr>
        <w:t>, arguing that “</w:t>
      </w:r>
      <w:r w:rsidRPr="00097C4C" w:rsidR="00BF6A5E">
        <w:rPr>
          <w:rFonts w:ascii="Palatino Linotype" w:hAnsi="Palatino Linotype"/>
        </w:rPr>
        <w:t>SCE’s proposed methodology for valuing debt equivalence (DE) appears arbitrary and supports favoring shareholder interests at the expense of maximizing ratepayer benefits</w:t>
      </w:r>
      <w:r w:rsidRPr="00097C4C" w:rsidR="0015507B">
        <w:rPr>
          <w:rFonts w:ascii="Palatino Linotype" w:hAnsi="Palatino Linotype"/>
        </w:rPr>
        <w:t>.”</w:t>
      </w:r>
      <w:r w:rsidRPr="00097C4C" w:rsidR="0015507B">
        <w:rPr>
          <w:rStyle w:val="FootnoteReference"/>
          <w:rFonts w:ascii="Palatino Linotype" w:hAnsi="Palatino Linotype"/>
        </w:rPr>
        <w:footnoteReference w:id="15"/>
      </w:r>
      <w:r w:rsidRPr="00097C4C" w:rsidR="00651175">
        <w:rPr>
          <w:rFonts w:ascii="Palatino Linotype" w:hAnsi="Palatino Linotype"/>
        </w:rPr>
        <w:t xml:space="preserve"> Cal Advocates</w:t>
      </w:r>
      <w:r w:rsidRPr="00097C4C" w:rsidR="00930077">
        <w:rPr>
          <w:rFonts w:ascii="Palatino Linotype" w:hAnsi="Palatino Linotype"/>
        </w:rPr>
        <w:t xml:space="preserve"> </w:t>
      </w:r>
      <w:r w:rsidRPr="00097C4C" w:rsidR="004403B8">
        <w:rPr>
          <w:rFonts w:ascii="Palatino Linotype" w:hAnsi="Palatino Linotype"/>
        </w:rPr>
        <w:t xml:space="preserve">makes certain confidential observations regarding </w:t>
      </w:r>
      <w:r w:rsidRPr="00097C4C" w:rsidR="00BF6A5E">
        <w:rPr>
          <w:rFonts w:ascii="Palatino Linotype" w:hAnsi="Palatino Linotype"/>
        </w:rPr>
        <w:t>SCE’s methodology for comparing the benefits of tolling agreements to the RA plus Put Option contract structure and notes that SCE modified three of the contracts approved in Resolution E-5101 to provide more value for ratepayers</w:t>
      </w:r>
      <w:r w:rsidRPr="00097C4C" w:rsidR="00597F16">
        <w:rPr>
          <w:rFonts w:ascii="Palatino Linotype" w:hAnsi="Palatino Linotype"/>
        </w:rPr>
        <w:t>."</w:t>
      </w:r>
      <w:r w:rsidRPr="00097C4C" w:rsidR="00C53841">
        <w:rPr>
          <w:rStyle w:val="FootnoteReference"/>
          <w:rFonts w:ascii="Palatino Linotype" w:hAnsi="Palatino Linotype"/>
        </w:rPr>
        <w:footnoteReference w:id="16"/>
      </w:r>
      <w:r w:rsidRPr="00097C4C" w:rsidR="00C53841">
        <w:rPr>
          <w:rFonts w:ascii="Palatino Linotype" w:hAnsi="Palatino Linotype"/>
        </w:rPr>
        <w:t xml:space="preserve"> </w:t>
      </w:r>
    </w:p>
    <w:p w:rsidRPr="00097C4C" w:rsidR="00E21608" w:rsidP="00BF6A5E" w:rsidRDefault="00E21608" w14:paraId="104A414E" w14:textId="77777777">
      <w:pPr>
        <w:rPr>
          <w:rFonts w:ascii="Palatino Linotype" w:hAnsi="Palatino Linotype"/>
        </w:rPr>
      </w:pPr>
    </w:p>
    <w:p w:rsidRPr="00097C4C" w:rsidR="00D1660E" w:rsidP="00BF6A5E" w:rsidRDefault="00F44283" w14:paraId="336AA5C3" w14:textId="095FC5EC">
      <w:pPr>
        <w:rPr>
          <w:rFonts w:ascii="Palatino Linotype" w:hAnsi="Palatino Linotype"/>
        </w:rPr>
      </w:pPr>
      <w:r w:rsidRPr="00097C4C">
        <w:rPr>
          <w:rFonts w:ascii="Palatino Linotype" w:hAnsi="Palatino Linotype"/>
        </w:rPr>
        <w:t xml:space="preserve">Additionally, </w:t>
      </w:r>
      <w:r w:rsidRPr="00097C4C" w:rsidR="002B3A55">
        <w:rPr>
          <w:rFonts w:ascii="Palatino Linotype" w:hAnsi="Palatino Linotype"/>
        </w:rPr>
        <w:t xml:space="preserve">Cal Advocates argues that </w:t>
      </w:r>
      <w:r w:rsidRPr="00097C4C" w:rsidR="00E21608">
        <w:rPr>
          <w:rFonts w:ascii="Palatino Linotype" w:hAnsi="Palatino Linotype"/>
        </w:rPr>
        <w:t xml:space="preserve">the IOUs should be required to develop consistent valuation methodologies in the IRP proceeding. </w:t>
      </w:r>
      <w:r w:rsidRPr="00097C4C" w:rsidR="002B3A55">
        <w:rPr>
          <w:rFonts w:ascii="Palatino Linotype" w:hAnsi="Palatino Linotype"/>
        </w:rPr>
        <w:t xml:space="preserve">Cal Advocates </w:t>
      </w:r>
      <w:r w:rsidRPr="00097C4C" w:rsidR="00E21608">
        <w:rPr>
          <w:rFonts w:ascii="Palatino Linotype" w:hAnsi="Palatino Linotype"/>
        </w:rPr>
        <w:t>e</w:t>
      </w:r>
      <w:r w:rsidR="00097C4C">
        <w:rPr>
          <w:rFonts w:ascii="Palatino Linotype" w:hAnsi="Palatino Linotype"/>
        </w:rPr>
        <w:t>x</w:t>
      </w:r>
      <w:r w:rsidRPr="00097C4C" w:rsidR="00E21608">
        <w:rPr>
          <w:rFonts w:ascii="Palatino Linotype" w:hAnsi="Palatino Linotype"/>
        </w:rPr>
        <w:t>presses particular concern that SCE’s valuation methodology does not account for Local RA benefits and that ancillary services benefits are overvalued.</w:t>
      </w:r>
      <w:r w:rsidRPr="00097C4C" w:rsidR="00E21608">
        <w:rPr>
          <w:rStyle w:val="FootnoteReference"/>
          <w:rFonts w:ascii="Palatino Linotype" w:hAnsi="Palatino Linotype"/>
        </w:rPr>
        <w:footnoteReference w:id="17"/>
      </w:r>
    </w:p>
    <w:p w:rsidRPr="00097C4C" w:rsidR="00E21608" w:rsidP="76508F2D" w:rsidRDefault="00E21608" w14:paraId="7EBC75F3" w14:textId="38DA8A57">
      <w:pPr>
        <w:rPr>
          <w:rFonts w:ascii="Palatino Linotype" w:hAnsi="Palatino Linotype"/>
          <w:highlight w:val="cyan"/>
        </w:rPr>
      </w:pPr>
    </w:p>
    <w:p w:rsidR="00461BE0" w:rsidP="00A408CC" w:rsidRDefault="00E21608" w14:paraId="12A5A64D" w14:textId="77777777">
      <w:pPr>
        <w:autoSpaceDE w:val="0"/>
        <w:autoSpaceDN w:val="0"/>
        <w:adjustRightInd w:val="0"/>
        <w:rPr>
          <w:rFonts w:ascii="Palatino Linotype" w:hAnsi="Palatino Linotype"/>
        </w:rPr>
      </w:pPr>
      <w:r w:rsidRPr="00097C4C">
        <w:rPr>
          <w:rFonts w:ascii="Palatino Linotype" w:hAnsi="Palatino Linotype"/>
        </w:rPr>
        <w:t xml:space="preserve">Cal Advocates also states that SCE has failed to demonstrate that the capacity contribution of the two Sunrun contracts is fully incremental to the baseline resources assumed </w:t>
      </w:r>
      <w:proofErr w:type="spellStart"/>
      <w:r w:rsidRPr="00097C4C">
        <w:rPr>
          <w:rFonts w:ascii="Palatino Linotype" w:hAnsi="Palatino Linotype"/>
        </w:rPr>
        <w:t>fo</w:t>
      </w:r>
      <w:proofErr w:type="spellEnd"/>
      <w:r w:rsidRPr="00097C4C">
        <w:rPr>
          <w:rFonts w:ascii="Palatino Linotype" w:hAnsi="Palatino Linotype"/>
        </w:rPr>
        <w:t xml:space="preserve"> the Year 2022 in accordance with the requirements of </w:t>
      </w:r>
    </w:p>
    <w:p w:rsidRPr="00097C4C" w:rsidR="00E21608" w:rsidP="00A408CC" w:rsidRDefault="00E21608" w14:paraId="32F9F1AA" w14:textId="2C4FF639">
      <w:pPr>
        <w:autoSpaceDE w:val="0"/>
        <w:autoSpaceDN w:val="0"/>
        <w:adjustRightInd w:val="0"/>
        <w:rPr>
          <w:rFonts w:ascii="Palatino Linotype" w:hAnsi="Palatino Linotype"/>
        </w:rPr>
      </w:pPr>
      <w:r w:rsidRPr="00097C4C">
        <w:rPr>
          <w:rFonts w:ascii="Palatino Linotype" w:hAnsi="Palatino Linotype"/>
        </w:rPr>
        <w:t xml:space="preserve">D.19-11-016. Cal Advocates requests that the Commission direct SCE to revise the capacity of the 2023 Sunrun contracts so that they “correspond only to the </w:t>
      </w:r>
      <w:r w:rsidRPr="00097C4C" w:rsidR="00A408CC">
        <w:rPr>
          <w:rFonts w:ascii="Palatino Linotype" w:hAnsi="Palatino Linotype"/>
        </w:rPr>
        <w:t>c</w:t>
      </w:r>
      <w:r w:rsidRPr="00097C4C">
        <w:rPr>
          <w:rFonts w:ascii="Palatino Linotype" w:hAnsi="Palatino Linotype"/>
        </w:rPr>
        <w:t>apacity that SCE can demonstrate is</w:t>
      </w:r>
      <w:r w:rsidRPr="00097C4C" w:rsidR="00A408CC">
        <w:rPr>
          <w:rFonts w:ascii="Palatino Linotype" w:hAnsi="Palatino Linotype"/>
        </w:rPr>
        <w:t xml:space="preserve"> </w:t>
      </w:r>
      <w:r w:rsidRPr="00097C4C">
        <w:rPr>
          <w:rFonts w:ascii="Palatino Linotype" w:hAnsi="Palatino Linotype"/>
        </w:rPr>
        <w:t>incremental to the capacity already provided by existing or anticipated utility funded</w:t>
      </w:r>
      <w:r w:rsidRPr="00097C4C" w:rsidR="00A408CC">
        <w:rPr>
          <w:rFonts w:ascii="Palatino Linotype" w:hAnsi="Palatino Linotype"/>
        </w:rPr>
        <w:t xml:space="preserve"> </w:t>
      </w:r>
      <w:r w:rsidRPr="00097C4C">
        <w:rPr>
          <w:rFonts w:ascii="Palatino Linotype" w:hAnsi="Palatino Linotype"/>
        </w:rPr>
        <w:t>projects during RA Availability Assessment Hours</w:t>
      </w:r>
      <w:r w:rsidRPr="00097C4C" w:rsidR="00A408CC">
        <w:rPr>
          <w:rFonts w:ascii="Palatino Linotype" w:hAnsi="Palatino Linotype"/>
        </w:rPr>
        <w:t>.”</w:t>
      </w:r>
      <w:r w:rsidRPr="00097C4C" w:rsidR="00A408CC">
        <w:rPr>
          <w:rStyle w:val="FootnoteReference"/>
          <w:rFonts w:ascii="Palatino Linotype" w:hAnsi="Palatino Linotype"/>
        </w:rPr>
        <w:footnoteReference w:id="18"/>
      </w:r>
    </w:p>
    <w:p w:rsidRPr="00097C4C" w:rsidR="00E21608" w:rsidP="76508F2D" w:rsidRDefault="00E21608" w14:paraId="4202159A" w14:textId="77777777">
      <w:pPr>
        <w:rPr>
          <w:rFonts w:ascii="Palatino Linotype" w:hAnsi="Palatino Linotype"/>
          <w:highlight w:val="cyan"/>
        </w:rPr>
      </w:pPr>
    </w:p>
    <w:p w:rsidRPr="00097C4C" w:rsidR="76508F2D" w:rsidP="76508F2D" w:rsidRDefault="00BC1FCF" w14:paraId="29D097C6" w14:textId="74D7B677">
      <w:pPr>
        <w:rPr>
          <w:rFonts w:ascii="Palatino Linotype" w:hAnsi="Palatino Linotype"/>
        </w:rPr>
      </w:pPr>
      <w:r w:rsidRPr="00097C4C">
        <w:rPr>
          <w:rFonts w:ascii="Palatino Linotype" w:hAnsi="Palatino Linotype"/>
        </w:rPr>
        <w:t xml:space="preserve">Cal Advocates also </w:t>
      </w:r>
      <w:r w:rsidRPr="00097C4C" w:rsidR="00A408CC">
        <w:rPr>
          <w:rFonts w:ascii="Palatino Linotype" w:hAnsi="Palatino Linotype"/>
        </w:rPr>
        <w:t xml:space="preserve">recommends that the Commission direct SCE to provide an estimate of the net impacts of GHG emission and criteria </w:t>
      </w:r>
      <w:proofErr w:type="spellStart"/>
      <w:r w:rsidRPr="00097C4C" w:rsidR="00A408CC">
        <w:rPr>
          <w:rFonts w:ascii="Palatino Linotype" w:hAnsi="Palatino Linotype"/>
        </w:rPr>
        <w:t>pollutats</w:t>
      </w:r>
      <w:proofErr w:type="spellEnd"/>
      <w:r w:rsidRPr="00097C4C" w:rsidR="00A408CC">
        <w:rPr>
          <w:rFonts w:ascii="Palatino Linotype" w:hAnsi="Palatino Linotype"/>
        </w:rPr>
        <w:t xml:space="preserve"> resulting from the procurement of the proposed projects stating that this information is needed to determine whether the proposed agreements are consistent with the State’s energy and climate goals and the GHG requirements under SB 350, SB </w:t>
      </w:r>
      <w:proofErr w:type="gramStart"/>
      <w:r w:rsidRPr="00097C4C" w:rsidR="00A408CC">
        <w:rPr>
          <w:rFonts w:ascii="Palatino Linotype" w:hAnsi="Palatino Linotype"/>
        </w:rPr>
        <w:t>100</w:t>
      </w:r>
      <w:proofErr w:type="gramEnd"/>
      <w:r w:rsidRPr="00097C4C" w:rsidR="00A408CC">
        <w:rPr>
          <w:rFonts w:ascii="Palatino Linotype" w:hAnsi="Palatino Linotype"/>
        </w:rPr>
        <w:t xml:space="preserve"> and D.18-02-018.</w:t>
      </w:r>
    </w:p>
    <w:p w:rsidRPr="00097C4C" w:rsidR="000729DA" w:rsidP="76508F2D" w:rsidRDefault="000729DA" w14:paraId="0CE7B3F1" w14:textId="2FEECB4A">
      <w:pPr>
        <w:rPr>
          <w:rFonts w:ascii="Palatino Linotype" w:hAnsi="Palatino Linotype"/>
          <w:highlight w:val="cyan"/>
        </w:rPr>
      </w:pPr>
    </w:p>
    <w:p w:rsidRPr="00097C4C" w:rsidR="000729DA" w:rsidP="76508F2D" w:rsidRDefault="000729DA" w14:paraId="76F9AC32" w14:textId="2D464BAB">
      <w:pPr>
        <w:rPr>
          <w:rFonts w:ascii="Palatino Linotype" w:hAnsi="Palatino Linotype"/>
          <w:highlight w:val="cyan"/>
        </w:rPr>
      </w:pPr>
      <w:r w:rsidRPr="00097C4C">
        <w:rPr>
          <w:rFonts w:ascii="Palatino Linotype" w:hAnsi="Palatino Linotype"/>
        </w:rPr>
        <w:t xml:space="preserve">In its response to AL </w:t>
      </w:r>
      <w:r w:rsidRPr="00097C4C" w:rsidR="008A0D43">
        <w:rPr>
          <w:rFonts w:ascii="Palatino Linotype" w:hAnsi="Palatino Linotype"/>
        </w:rPr>
        <w:t>4373</w:t>
      </w:r>
      <w:r w:rsidRPr="00097C4C">
        <w:rPr>
          <w:rFonts w:ascii="Palatino Linotype" w:hAnsi="Palatino Linotype"/>
        </w:rPr>
        <w:t xml:space="preserve">-E, CESA </w:t>
      </w:r>
      <w:r w:rsidRPr="00097C4C" w:rsidR="001231E3">
        <w:rPr>
          <w:rFonts w:ascii="Palatino Linotype" w:hAnsi="Palatino Linotype"/>
        </w:rPr>
        <w:t>argues that the proposed contracts meet the requirements of D.19-11-016</w:t>
      </w:r>
      <w:r w:rsidRPr="00097C4C" w:rsidR="00B6490E">
        <w:rPr>
          <w:rFonts w:ascii="Palatino Linotype" w:hAnsi="Palatino Linotype"/>
        </w:rPr>
        <w:t xml:space="preserve"> with regard to </w:t>
      </w:r>
      <w:r w:rsidRPr="00097C4C" w:rsidR="001231E3">
        <w:rPr>
          <w:rFonts w:ascii="Palatino Linotype" w:hAnsi="Palatino Linotype"/>
        </w:rPr>
        <w:t>incrementality, contract length,</w:t>
      </w:r>
      <w:r w:rsidRPr="00097C4C" w:rsidR="00C06C08">
        <w:rPr>
          <w:rFonts w:ascii="Palatino Linotype" w:hAnsi="Palatino Linotype"/>
        </w:rPr>
        <w:t xml:space="preserve"> and</w:t>
      </w:r>
      <w:r w:rsidRPr="00097C4C" w:rsidR="001231E3">
        <w:rPr>
          <w:rFonts w:ascii="Palatino Linotype" w:hAnsi="Palatino Linotype"/>
        </w:rPr>
        <w:t xml:space="preserve"> sufficient detail regarding the bid evaluation methodology.</w:t>
      </w:r>
      <w:r w:rsidRPr="00097C4C" w:rsidR="001231E3">
        <w:rPr>
          <w:rStyle w:val="FootnoteReference"/>
          <w:rFonts w:ascii="Palatino Linotype" w:hAnsi="Palatino Linotype"/>
        </w:rPr>
        <w:footnoteReference w:id="19"/>
      </w:r>
      <w:r w:rsidRPr="00097C4C" w:rsidR="001231E3">
        <w:rPr>
          <w:rFonts w:ascii="Palatino Linotype" w:hAnsi="Palatino Linotype"/>
        </w:rPr>
        <w:t xml:space="preserve"> CESA also argues that the Commission should follow the precedent </w:t>
      </w:r>
      <w:r w:rsidRPr="00097C4C" w:rsidR="00C90E54">
        <w:rPr>
          <w:rFonts w:ascii="Palatino Linotype" w:hAnsi="Palatino Linotype"/>
        </w:rPr>
        <w:t>set in Resolutions E-5100 and E-51</w:t>
      </w:r>
      <w:r w:rsidRPr="00097C4C" w:rsidR="00A518A7">
        <w:rPr>
          <w:rFonts w:ascii="Palatino Linotype" w:hAnsi="Palatino Linotype"/>
        </w:rPr>
        <w:t>0</w:t>
      </w:r>
      <w:r w:rsidRPr="00097C4C" w:rsidR="008A0D43">
        <w:rPr>
          <w:rFonts w:ascii="Palatino Linotype" w:hAnsi="Palatino Linotype"/>
        </w:rPr>
        <w:t>1</w:t>
      </w:r>
      <w:r w:rsidRPr="00097C4C" w:rsidR="00C90E54">
        <w:rPr>
          <w:rFonts w:ascii="Palatino Linotype" w:hAnsi="Palatino Linotype"/>
        </w:rPr>
        <w:t xml:space="preserve">, namely by finding that GHG analysis is not required to approve the contracts and </w:t>
      </w:r>
      <w:r w:rsidRPr="00097C4C" w:rsidR="008A0D43">
        <w:rPr>
          <w:rFonts w:ascii="Palatino Linotype" w:hAnsi="Palatino Linotype"/>
        </w:rPr>
        <w:t>that treatment of debt equivalence is outside of the scope of approving Resolution</w:t>
      </w:r>
      <w:r w:rsidRPr="00097C4C" w:rsidR="00C90E54">
        <w:rPr>
          <w:rFonts w:ascii="Palatino Linotype" w:hAnsi="Palatino Linotype"/>
        </w:rPr>
        <w:t>.</w:t>
      </w:r>
      <w:r w:rsidRPr="00097C4C" w:rsidR="00C90E54">
        <w:rPr>
          <w:rStyle w:val="FootnoteReference"/>
          <w:rFonts w:ascii="Palatino Linotype" w:hAnsi="Palatino Linotype"/>
        </w:rPr>
        <w:footnoteReference w:id="20"/>
      </w:r>
      <w:r w:rsidRPr="00097C4C" w:rsidR="00C90E54">
        <w:rPr>
          <w:rFonts w:ascii="Palatino Linotype" w:hAnsi="Palatino Linotype"/>
        </w:rPr>
        <w:t xml:space="preserve"> </w:t>
      </w:r>
      <w:r w:rsidRPr="00097C4C" w:rsidR="00C06C08">
        <w:rPr>
          <w:rFonts w:ascii="Palatino Linotype" w:hAnsi="Palatino Linotype"/>
        </w:rPr>
        <w:t xml:space="preserve">CESA notes that the IE </w:t>
      </w:r>
      <w:r w:rsidRPr="00097C4C" w:rsidR="008A0D43">
        <w:rPr>
          <w:rFonts w:ascii="Palatino Linotype" w:hAnsi="Palatino Linotype"/>
        </w:rPr>
        <w:t>report suggests</w:t>
      </w:r>
      <w:r w:rsidRPr="00097C4C" w:rsidR="00C06C08">
        <w:rPr>
          <w:rFonts w:ascii="Palatino Linotype" w:hAnsi="Palatino Linotype"/>
        </w:rPr>
        <w:t xml:space="preserve"> </w:t>
      </w:r>
      <w:r w:rsidRPr="00097C4C" w:rsidR="008A0D43">
        <w:rPr>
          <w:rFonts w:ascii="Palatino Linotype" w:hAnsi="Palatino Linotype"/>
        </w:rPr>
        <w:t>“a robust and fair outreach process and rigorous evaluation using the least cost, best-fit methodology</w:t>
      </w:r>
      <w:r w:rsidRPr="00097C4C" w:rsidR="00C06C08">
        <w:rPr>
          <w:rFonts w:ascii="Palatino Linotype" w:hAnsi="Palatino Linotype"/>
        </w:rPr>
        <w:t>”</w:t>
      </w:r>
      <w:r w:rsidRPr="00097C4C" w:rsidR="008A0D43">
        <w:rPr>
          <w:rFonts w:ascii="Palatino Linotype" w:hAnsi="Palatino Linotype"/>
        </w:rPr>
        <w:t xml:space="preserve"> and notes that SCE was responsive to </w:t>
      </w:r>
      <w:r w:rsidRPr="00097C4C" w:rsidR="00884963">
        <w:rPr>
          <w:rFonts w:ascii="Palatino Linotype" w:hAnsi="Palatino Linotype"/>
        </w:rPr>
        <w:t>recommendations made by the IE during the solicitation and bid evaluation process.</w:t>
      </w:r>
      <w:r w:rsidRPr="00097C4C" w:rsidR="00C06C08">
        <w:rPr>
          <w:rStyle w:val="FootnoteReference"/>
          <w:rFonts w:ascii="Palatino Linotype" w:hAnsi="Palatino Linotype"/>
        </w:rPr>
        <w:footnoteReference w:id="21"/>
      </w:r>
      <w:r w:rsidRPr="00097C4C" w:rsidR="00D836D1">
        <w:rPr>
          <w:rFonts w:ascii="Palatino Linotype" w:hAnsi="Palatino Linotype"/>
        </w:rPr>
        <w:t xml:space="preserve"> Finally, CESA urges the Commission to follow an expedited approval process, with a Draft Resolution in February 2021 and a Final Resolution in March 2021.</w:t>
      </w:r>
      <w:r w:rsidRPr="00097C4C" w:rsidR="00D836D1">
        <w:rPr>
          <w:rStyle w:val="FootnoteReference"/>
          <w:rFonts w:ascii="Palatino Linotype" w:hAnsi="Palatino Linotype"/>
        </w:rPr>
        <w:footnoteReference w:id="22"/>
      </w:r>
      <w:r w:rsidRPr="00097C4C" w:rsidR="00D836D1">
        <w:rPr>
          <w:rFonts w:ascii="Palatino Linotype" w:hAnsi="Palatino Linotype"/>
        </w:rPr>
        <w:t xml:space="preserve"> CESA notes that “the Commission should not repeat the experience for the regulatory review and approval of 2021 contracts, which left only 11 months for developers to bring projects online – an untenable situation with immense risks.”</w:t>
      </w:r>
      <w:r w:rsidRPr="00097C4C" w:rsidR="00D836D1">
        <w:rPr>
          <w:rStyle w:val="FootnoteReference"/>
          <w:rFonts w:ascii="Palatino Linotype" w:hAnsi="Palatino Linotype"/>
        </w:rPr>
        <w:footnoteReference w:id="23"/>
      </w:r>
    </w:p>
    <w:p w:rsidRPr="00097C4C" w:rsidR="00C2451C" w:rsidP="76508F2D" w:rsidRDefault="00C2451C" w14:paraId="3E1910F7" w14:textId="62ACA660">
      <w:pPr>
        <w:rPr>
          <w:rFonts w:ascii="Palatino Linotype" w:hAnsi="Palatino Linotype"/>
          <w:highlight w:val="cyan"/>
        </w:rPr>
      </w:pPr>
    </w:p>
    <w:p w:rsidRPr="00097C4C" w:rsidR="00980B0B" w:rsidP="00D545F2" w:rsidRDefault="0030765D" w14:paraId="79EFE518" w14:textId="79B0191E">
      <w:pPr>
        <w:rPr>
          <w:rFonts w:ascii="Palatino Linotype" w:hAnsi="Palatino Linotype"/>
        </w:rPr>
      </w:pPr>
      <w:r w:rsidRPr="00097C4C">
        <w:rPr>
          <w:rFonts w:ascii="Palatino Linotype" w:hAnsi="Palatino Linotype"/>
        </w:rPr>
        <w:t>SC</w:t>
      </w:r>
      <w:r w:rsidRPr="00097C4C" w:rsidR="00B43298">
        <w:rPr>
          <w:rFonts w:ascii="Palatino Linotype" w:hAnsi="Palatino Linotype"/>
        </w:rPr>
        <w:t xml:space="preserve">E timely </w:t>
      </w:r>
      <w:r w:rsidRPr="00097C4C" w:rsidR="00440F37">
        <w:rPr>
          <w:rFonts w:ascii="Palatino Linotype" w:hAnsi="Palatino Linotype"/>
        </w:rPr>
        <w:t>replied</w:t>
      </w:r>
      <w:r w:rsidRPr="00097C4C" w:rsidR="00B43298">
        <w:rPr>
          <w:rFonts w:ascii="Palatino Linotype" w:hAnsi="Palatino Linotype"/>
        </w:rPr>
        <w:t xml:space="preserve"> to the protest of Cal Advocates on January 1</w:t>
      </w:r>
      <w:r w:rsidRPr="00097C4C">
        <w:rPr>
          <w:rFonts w:ascii="Palatino Linotype" w:hAnsi="Palatino Linotype"/>
        </w:rPr>
        <w:t>4</w:t>
      </w:r>
      <w:r w:rsidRPr="00097C4C" w:rsidR="00B43298">
        <w:rPr>
          <w:rFonts w:ascii="Palatino Linotype" w:hAnsi="Palatino Linotype"/>
        </w:rPr>
        <w:t xml:space="preserve">, 2021. </w:t>
      </w:r>
      <w:r w:rsidRPr="00097C4C" w:rsidR="00D545F2">
        <w:rPr>
          <w:rFonts w:ascii="Palatino Linotype" w:hAnsi="Palatino Linotype"/>
        </w:rPr>
        <w:t>SC</w:t>
      </w:r>
      <w:r w:rsidRPr="00097C4C" w:rsidR="00440F37">
        <w:rPr>
          <w:rFonts w:ascii="Palatino Linotype" w:hAnsi="Palatino Linotype"/>
        </w:rPr>
        <w:t xml:space="preserve">E asserts </w:t>
      </w:r>
      <w:r w:rsidRPr="00097C4C" w:rsidR="00D545F2">
        <w:rPr>
          <w:rFonts w:ascii="Palatino Linotype" w:hAnsi="Palatino Linotype"/>
        </w:rPr>
        <w:t>its consideration of de</w:t>
      </w:r>
      <w:r w:rsidRPr="00097C4C" w:rsidR="00DD5E03">
        <w:rPr>
          <w:rFonts w:ascii="Palatino Linotype" w:hAnsi="Palatino Linotype"/>
        </w:rPr>
        <w:t>b</w:t>
      </w:r>
      <w:r w:rsidRPr="00097C4C" w:rsidR="00D545F2">
        <w:rPr>
          <w:rFonts w:ascii="Palatino Linotype" w:hAnsi="Palatino Linotype"/>
        </w:rPr>
        <w:t xml:space="preserve">t equivalence was appropriate and consistent with treatment of debt equivalence for contracts previously approved by the </w:t>
      </w:r>
      <w:r w:rsidRPr="00097C4C" w:rsidR="00D545F2">
        <w:rPr>
          <w:rFonts w:ascii="Palatino Linotype" w:hAnsi="Palatino Linotype"/>
        </w:rPr>
        <w:lastRenderedPageBreak/>
        <w:t xml:space="preserve">Commission in SCE’s SRRFO Fast Track and the Commission should therefore reject Cal Advocate’s recommendation that it require SCE to negotiate a tolling agreement in lieu of an RA with Put Option contract for the Crimson project. </w:t>
      </w:r>
    </w:p>
    <w:p w:rsidRPr="00097C4C" w:rsidR="00980B0B" w:rsidP="00D545F2" w:rsidRDefault="00980B0B" w14:paraId="1975A874" w14:textId="77777777">
      <w:pPr>
        <w:rPr>
          <w:rFonts w:ascii="Palatino Linotype" w:hAnsi="Palatino Linotype"/>
        </w:rPr>
      </w:pPr>
    </w:p>
    <w:p w:rsidRPr="00097C4C" w:rsidR="00C2451C" w:rsidP="00D545F2" w:rsidRDefault="00D545F2" w14:paraId="14779821" w14:textId="77712C1C">
      <w:pPr>
        <w:rPr>
          <w:rFonts w:ascii="Palatino Linotype" w:hAnsi="Palatino Linotype"/>
          <w:highlight w:val="cyan"/>
        </w:rPr>
      </w:pPr>
      <w:r w:rsidRPr="00097C4C">
        <w:rPr>
          <w:rFonts w:ascii="Palatino Linotype" w:hAnsi="Palatino Linotype"/>
        </w:rPr>
        <w:t>SC</w:t>
      </w:r>
      <w:r w:rsidRPr="00097C4C" w:rsidR="0018464F">
        <w:rPr>
          <w:rFonts w:ascii="Palatino Linotype" w:hAnsi="Palatino Linotype"/>
        </w:rPr>
        <w:t xml:space="preserve">E </w:t>
      </w:r>
      <w:r w:rsidRPr="00097C4C">
        <w:rPr>
          <w:rFonts w:ascii="Palatino Linotype" w:hAnsi="Palatino Linotype"/>
        </w:rPr>
        <w:t xml:space="preserve">also asserts that it properly accounted for local RA value and ancillary services benefits and appropriately determined that the capacity of the Sunrun contracts is incremental. </w:t>
      </w:r>
      <w:r w:rsidRPr="00097C4C" w:rsidR="00980B0B">
        <w:rPr>
          <w:rFonts w:ascii="Palatino Linotype" w:hAnsi="Palatino Linotype"/>
        </w:rPr>
        <w:t>Lastly, SCE states it expressed a preference for procuring preferred and energy storage resources, and specifically for resources located in DACs</w:t>
      </w:r>
      <w:r w:rsidRPr="00097C4C" w:rsidR="00304A9C">
        <w:rPr>
          <w:rFonts w:ascii="Palatino Linotype" w:hAnsi="Palatino Linotype"/>
        </w:rPr>
        <w:t>. All resources procured are non-emitting IFOM energy storage or BTM energy-storage backed DR. As such, SCE states that it has satisfied all requirements of D.19-11-016 and has no obligation to demonstrate that the proposed projects will decrease GHG emissions and criteria pollutants.</w:t>
      </w:r>
    </w:p>
    <w:p w:rsidRPr="003C30EA" w:rsidR="00CF17DE" w:rsidRDefault="00CF17DE" w14:paraId="30C5808A" w14:textId="6FF9A2FA">
      <w:pPr>
        <w:rPr>
          <w:highlight w:val="cyan"/>
        </w:rPr>
      </w:pPr>
    </w:p>
    <w:p w:rsidRPr="00C44B4C" w:rsidR="00CF17DE" w:rsidRDefault="00CF17DE" w14:paraId="23E10AE5" w14:textId="77777777">
      <w:pPr>
        <w:pStyle w:val="Heading1"/>
      </w:pPr>
      <w:r w:rsidRPr="00C44B4C">
        <w:t>Discussion</w:t>
      </w:r>
    </w:p>
    <w:p w:rsidR="00DE65AA" w:rsidP="00745F2E" w:rsidRDefault="00A32525" w14:paraId="7C3287C6" w14:textId="77777777">
      <w:pPr>
        <w:rPr>
          <w:rFonts w:ascii="Palatino Linotype" w:hAnsi="Palatino Linotype"/>
          <w:b/>
          <w:bCs/>
        </w:rPr>
      </w:pPr>
      <w:r w:rsidRPr="00097C4C">
        <w:rPr>
          <w:rFonts w:ascii="Palatino Linotype" w:hAnsi="Palatino Linotype"/>
        </w:rPr>
        <w:t>The Commission</w:t>
      </w:r>
      <w:r w:rsidRPr="00097C4C" w:rsidR="00CF17DE">
        <w:rPr>
          <w:rFonts w:ascii="Palatino Linotype" w:hAnsi="Palatino Linotype"/>
        </w:rPr>
        <w:t xml:space="preserve"> has </w:t>
      </w:r>
      <w:bookmarkStart w:name="_Hlk65847594" w:id="2"/>
      <w:r w:rsidRPr="00097C4C" w:rsidR="00CF17DE">
        <w:rPr>
          <w:rFonts w:ascii="Palatino Linotype" w:hAnsi="Palatino Linotype"/>
        </w:rPr>
        <w:t>reviewed</w:t>
      </w:r>
      <w:r w:rsidRPr="00097C4C">
        <w:rPr>
          <w:rFonts w:ascii="Palatino Linotype" w:hAnsi="Palatino Linotype"/>
        </w:rPr>
        <w:t xml:space="preserve"> the Advice Letter, the</w:t>
      </w:r>
      <w:r w:rsidRPr="00097C4C" w:rsidR="00CA31E4">
        <w:rPr>
          <w:rFonts w:ascii="Palatino Linotype" w:hAnsi="Palatino Linotype"/>
        </w:rPr>
        <w:t xml:space="preserve"> response, the</w:t>
      </w:r>
      <w:r w:rsidRPr="00097C4C">
        <w:rPr>
          <w:rFonts w:ascii="Palatino Linotype" w:hAnsi="Palatino Linotype"/>
        </w:rPr>
        <w:t xml:space="preserve"> protest</w:t>
      </w:r>
      <w:r w:rsidRPr="00097C4C" w:rsidR="00CA31E4">
        <w:rPr>
          <w:rFonts w:ascii="Palatino Linotype" w:hAnsi="Palatino Linotype"/>
        </w:rPr>
        <w:t xml:space="preserve">, </w:t>
      </w:r>
      <w:r w:rsidRPr="00097C4C" w:rsidR="63E9B853">
        <w:rPr>
          <w:rFonts w:ascii="Palatino Linotype" w:hAnsi="Palatino Linotype"/>
        </w:rPr>
        <w:t xml:space="preserve">and </w:t>
      </w:r>
      <w:r w:rsidRPr="00097C4C" w:rsidR="00CA31E4">
        <w:rPr>
          <w:rFonts w:ascii="Palatino Linotype" w:hAnsi="Palatino Linotype"/>
        </w:rPr>
        <w:t xml:space="preserve">the reply of </w:t>
      </w:r>
      <w:bookmarkEnd w:id="2"/>
      <w:r w:rsidRPr="00097C4C" w:rsidR="0030765D">
        <w:rPr>
          <w:rFonts w:ascii="Palatino Linotype" w:hAnsi="Palatino Linotype"/>
        </w:rPr>
        <w:t>SC</w:t>
      </w:r>
      <w:r w:rsidRPr="00097C4C" w:rsidR="00CA31E4">
        <w:rPr>
          <w:rFonts w:ascii="Palatino Linotype" w:hAnsi="Palatino Linotype"/>
        </w:rPr>
        <w:t>E.</w:t>
      </w:r>
      <w:r w:rsidRPr="00097C4C" w:rsidR="2E0E3209">
        <w:rPr>
          <w:rFonts w:ascii="Palatino Linotype" w:hAnsi="Palatino Linotype"/>
        </w:rPr>
        <w:t xml:space="preserve"> We find that </w:t>
      </w:r>
      <w:r w:rsidRPr="00097C4C" w:rsidR="0030765D">
        <w:rPr>
          <w:rFonts w:ascii="Palatino Linotype" w:hAnsi="Palatino Linotype"/>
        </w:rPr>
        <w:t>SC</w:t>
      </w:r>
      <w:r w:rsidRPr="00097C4C" w:rsidR="2E0E3209">
        <w:rPr>
          <w:rFonts w:ascii="Palatino Linotype" w:hAnsi="Palatino Linotype"/>
        </w:rPr>
        <w:t xml:space="preserve">E’s </w:t>
      </w:r>
      <w:r w:rsidRPr="00097C4C" w:rsidR="6A991D7B">
        <w:rPr>
          <w:rFonts w:ascii="Palatino Linotype" w:hAnsi="Palatino Linotype"/>
        </w:rPr>
        <w:t xml:space="preserve">request in AL </w:t>
      </w:r>
      <w:r w:rsidRPr="00097C4C" w:rsidR="0030765D">
        <w:rPr>
          <w:rFonts w:ascii="Palatino Linotype" w:hAnsi="Palatino Linotype"/>
        </w:rPr>
        <w:t>4373</w:t>
      </w:r>
      <w:r w:rsidRPr="00097C4C" w:rsidR="6A991D7B">
        <w:rPr>
          <w:rFonts w:ascii="Palatino Linotype" w:hAnsi="Palatino Linotype"/>
        </w:rPr>
        <w:t xml:space="preserve">-E </w:t>
      </w:r>
      <w:r w:rsidRPr="00097C4C" w:rsidR="1FB73F3B">
        <w:rPr>
          <w:rFonts w:ascii="Palatino Linotype" w:hAnsi="Palatino Linotype"/>
        </w:rPr>
        <w:t>is</w:t>
      </w:r>
      <w:r w:rsidRPr="00097C4C" w:rsidR="003B7910">
        <w:rPr>
          <w:rFonts w:ascii="Palatino Linotype" w:hAnsi="Palatino Linotype"/>
        </w:rPr>
        <w:t xml:space="preserve"> reasonabl</w:t>
      </w:r>
      <w:r w:rsidRPr="00097C4C" w:rsidR="00741138">
        <w:rPr>
          <w:rFonts w:ascii="Palatino Linotype" w:hAnsi="Palatino Linotype"/>
        </w:rPr>
        <w:t>e</w:t>
      </w:r>
      <w:r w:rsidRPr="00097C4C" w:rsidR="00A1073E">
        <w:rPr>
          <w:rFonts w:ascii="Palatino Linotype" w:hAnsi="Palatino Linotype"/>
        </w:rPr>
        <w:t xml:space="preserve"> and deny the protest of Cal Advocates</w:t>
      </w:r>
      <w:r w:rsidRPr="00097C4C" w:rsidR="5F85241C">
        <w:rPr>
          <w:rFonts w:ascii="Palatino Linotype" w:hAnsi="Palatino Linotype"/>
        </w:rPr>
        <w:t>.</w:t>
      </w:r>
    </w:p>
    <w:p w:rsidR="00DE65AA" w:rsidP="00745F2E" w:rsidRDefault="00DE65AA" w14:paraId="5943672B" w14:textId="77777777">
      <w:pPr>
        <w:rPr>
          <w:rFonts w:ascii="Palatino Linotype" w:hAnsi="Palatino Linotype"/>
          <w:b/>
          <w:bCs/>
        </w:rPr>
      </w:pPr>
    </w:p>
    <w:p w:rsidRPr="00097C4C" w:rsidR="00745F2E" w:rsidP="00745F2E" w:rsidRDefault="00745F2E" w14:paraId="4DAE3EC1" w14:textId="398FB5EF">
      <w:pPr>
        <w:rPr>
          <w:rFonts w:ascii="Palatino Linotype" w:hAnsi="Palatino Linotype"/>
          <w:b/>
          <w:bCs/>
        </w:rPr>
      </w:pPr>
      <w:r w:rsidRPr="00097C4C">
        <w:rPr>
          <w:rFonts w:ascii="Palatino Linotype" w:hAnsi="Palatino Linotype"/>
          <w:b/>
          <w:bCs/>
        </w:rPr>
        <w:t>Data on Bid Evaluation Methodology</w:t>
      </w:r>
    </w:p>
    <w:p w:rsidRPr="00097C4C" w:rsidR="00745F2E" w:rsidP="00745F2E" w:rsidRDefault="00745F2E" w14:paraId="30AA5120" w14:textId="77777777">
      <w:pPr>
        <w:rPr>
          <w:rFonts w:ascii="Palatino Linotype" w:hAnsi="Palatino Linotype"/>
          <w:highlight w:val="cyan"/>
        </w:rPr>
      </w:pPr>
    </w:p>
    <w:p w:rsidRPr="00097C4C" w:rsidR="00F7238B" w:rsidP="00F7238B" w:rsidRDefault="00C44B4C" w14:paraId="57988880" w14:textId="5347258A">
      <w:pPr>
        <w:rPr>
          <w:rFonts w:ascii="Palatino Linotype" w:hAnsi="Palatino Linotype"/>
        </w:rPr>
      </w:pPr>
      <w:bookmarkStart w:name="_Hlk45546653" w:id="3"/>
      <w:r w:rsidRPr="00097C4C">
        <w:rPr>
          <w:rFonts w:ascii="Palatino Linotype" w:hAnsi="Palatino Linotype"/>
        </w:rPr>
        <w:t>SC</w:t>
      </w:r>
      <w:r w:rsidRPr="00097C4C" w:rsidR="00745F2E">
        <w:rPr>
          <w:rFonts w:ascii="Palatino Linotype" w:hAnsi="Palatino Linotype"/>
        </w:rPr>
        <w:t>E provided the IE report (</w:t>
      </w:r>
      <w:r w:rsidRPr="00097C4C" w:rsidR="00F7238B">
        <w:rPr>
          <w:rFonts w:ascii="Palatino Linotype" w:hAnsi="Palatino Linotype"/>
        </w:rPr>
        <w:t>Attachment D</w:t>
      </w:r>
      <w:r w:rsidRPr="00097C4C" w:rsidR="00745F2E">
        <w:rPr>
          <w:rFonts w:ascii="Palatino Linotype" w:hAnsi="Palatino Linotype"/>
        </w:rPr>
        <w:t>) and the quantitative evaluation results of its bid evaluation (</w:t>
      </w:r>
      <w:r w:rsidRPr="00097C4C" w:rsidR="00F7238B">
        <w:rPr>
          <w:rFonts w:ascii="Palatino Linotype" w:hAnsi="Palatino Linotype"/>
        </w:rPr>
        <w:t>Attachment C</w:t>
      </w:r>
      <w:r w:rsidRPr="00097C4C" w:rsidR="00745F2E">
        <w:rPr>
          <w:rFonts w:ascii="Palatino Linotype" w:hAnsi="Palatino Linotype"/>
        </w:rPr>
        <w:t xml:space="preserve">) along with AL </w:t>
      </w:r>
      <w:r w:rsidRPr="00097C4C" w:rsidR="00F7238B">
        <w:rPr>
          <w:rFonts w:ascii="Palatino Linotype" w:hAnsi="Palatino Linotype"/>
        </w:rPr>
        <w:t>4373</w:t>
      </w:r>
      <w:r w:rsidRPr="00097C4C" w:rsidR="00745F2E">
        <w:rPr>
          <w:rFonts w:ascii="Palatino Linotype" w:hAnsi="Palatino Linotype"/>
        </w:rPr>
        <w:t>-E.</w:t>
      </w:r>
      <w:r w:rsidRPr="00097C4C" w:rsidR="005D7BD3">
        <w:rPr>
          <w:rFonts w:ascii="Palatino Linotype" w:hAnsi="Palatino Linotype"/>
        </w:rPr>
        <w:t xml:space="preserve"> We note that the IE determined that </w:t>
      </w:r>
      <w:r w:rsidRPr="00097C4C" w:rsidR="00F7238B">
        <w:rPr>
          <w:rFonts w:ascii="Palatino Linotype" w:hAnsi="Palatino Linotype"/>
        </w:rPr>
        <w:t>SC</w:t>
      </w:r>
      <w:r w:rsidRPr="00097C4C" w:rsidR="005D7BD3">
        <w:rPr>
          <w:rFonts w:ascii="Palatino Linotype" w:hAnsi="Palatino Linotype"/>
        </w:rPr>
        <w:t xml:space="preserve">E’s procurement process was </w:t>
      </w:r>
      <w:r w:rsidRPr="00097C4C" w:rsidR="00F7238B">
        <w:rPr>
          <w:rFonts w:ascii="Palatino Linotype" w:hAnsi="Palatino Linotype"/>
        </w:rPr>
        <w:t>rigorous and fair</w:t>
      </w:r>
      <w:r w:rsidRPr="00097C4C" w:rsidR="005D7BD3">
        <w:rPr>
          <w:rFonts w:ascii="Palatino Linotype" w:hAnsi="Palatino Linotype"/>
        </w:rPr>
        <w:t xml:space="preserve"> overall</w:t>
      </w:r>
      <w:r w:rsidRPr="00097C4C" w:rsidR="00F7238B">
        <w:rPr>
          <w:rFonts w:ascii="Palatino Linotype" w:hAnsi="Palatino Linotype"/>
        </w:rPr>
        <w:t xml:space="preserve"> and “that no product, bidder, or technology was inappropriately favored, all</w:t>
      </w:r>
    </w:p>
    <w:p w:rsidRPr="00097C4C" w:rsidR="00745F2E" w:rsidP="00F7238B" w:rsidRDefault="00F7238B" w14:paraId="10F6F864" w14:textId="7D5D047B">
      <w:pPr>
        <w:rPr>
          <w:rFonts w:ascii="Palatino Linotype" w:hAnsi="Palatino Linotype"/>
        </w:rPr>
      </w:pPr>
      <w:r w:rsidRPr="00097C4C">
        <w:rPr>
          <w:rFonts w:ascii="Palatino Linotype" w:hAnsi="Palatino Linotype"/>
        </w:rPr>
        <w:t>bidders were provided consistent information, and evaluation techniques were applied consistently.”</w:t>
      </w:r>
      <w:r w:rsidRPr="00097C4C" w:rsidR="005D7BD3">
        <w:rPr>
          <w:rStyle w:val="FootnoteReference"/>
          <w:rFonts w:ascii="Palatino Linotype" w:hAnsi="Palatino Linotype"/>
        </w:rPr>
        <w:footnoteReference w:id="24"/>
      </w:r>
      <w:r w:rsidRPr="00097C4C" w:rsidR="00745F2E">
        <w:rPr>
          <w:rFonts w:ascii="Palatino Linotype" w:hAnsi="Palatino Linotype"/>
        </w:rPr>
        <w:t xml:space="preserve"> </w:t>
      </w:r>
      <w:bookmarkEnd w:id="3"/>
      <w:r w:rsidR="00E046A9">
        <w:rPr>
          <w:rFonts w:ascii="Palatino Linotype" w:hAnsi="Palatino Linotype"/>
        </w:rPr>
        <w:t>We find no evidence that SCE’s valuation of local RA and ancillary services benefits was inappropriate or affected the final selection of projects.</w:t>
      </w:r>
    </w:p>
    <w:p w:rsidRPr="00097C4C" w:rsidR="00745F2E" w:rsidP="00745F2E" w:rsidRDefault="00745F2E" w14:paraId="7B2F3793" w14:textId="77777777">
      <w:pPr>
        <w:rPr>
          <w:rFonts w:ascii="Palatino Linotype" w:hAnsi="Palatino Linotype"/>
          <w:b/>
          <w:bCs/>
          <w:highlight w:val="cyan"/>
        </w:rPr>
      </w:pPr>
    </w:p>
    <w:p w:rsidRPr="00097C4C" w:rsidR="00745F2E" w:rsidP="00745F2E" w:rsidRDefault="005A4C31" w14:paraId="7C237E6E" w14:textId="09AF9E93">
      <w:pPr>
        <w:rPr>
          <w:rFonts w:ascii="Palatino Linotype" w:hAnsi="Palatino Linotype"/>
          <w:b/>
          <w:bCs/>
        </w:rPr>
      </w:pPr>
      <w:r w:rsidRPr="00097C4C">
        <w:rPr>
          <w:rFonts w:ascii="Palatino Linotype" w:hAnsi="Palatino Linotype"/>
          <w:b/>
          <w:bCs/>
        </w:rPr>
        <w:t>Debt Equivalence Treatment in Bid Evaluations</w:t>
      </w:r>
    </w:p>
    <w:p w:rsidRPr="00097C4C" w:rsidR="00745F2E" w:rsidP="00CA31E4" w:rsidRDefault="00745F2E" w14:paraId="64E4B2D4" w14:textId="3B8717B2">
      <w:pPr>
        <w:rPr>
          <w:rFonts w:ascii="Palatino Linotype" w:hAnsi="Palatino Linotype"/>
          <w:highlight w:val="cyan"/>
        </w:rPr>
      </w:pPr>
    </w:p>
    <w:p w:rsidR="00097C4C" w:rsidRDefault="005A4C31" w14:paraId="1CC47163" w14:textId="35096975">
      <w:pPr>
        <w:rPr>
          <w:rFonts w:ascii="Palatino Linotype" w:hAnsi="Palatino Linotype" w:cs="TimesNewRoman"/>
          <w:szCs w:val="24"/>
        </w:rPr>
      </w:pPr>
      <w:r w:rsidRPr="00097C4C">
        <w:rPr>
          <w:rFonts w:ascii="Palatino Linotype" w:hAnsi="Palatino Linotype" w:cs="TimesNewRoman"/>
          <w:szCs w:val="24"/>
        </w:rPr>
        <w:lastRenderedPageBreak/>
        <w:t>Cal Advocates protested the Advice Letter on the grounds that SCE’s ranking of resources for the s</w:t>
      </w:r>
      <w:r w:rsidRPr="00097C4C" w:rsidR="00DD5E03">
        <w:rPr>
          <w:rFonts w:ascii="Palatino Linotype" w:hAnsi="Palatino Linotype" w:cs="TimesNewRoman"/>
          <w:szCs w:val="24"/>
        </w:rPr>
        <w:t>h</w:t>
      </w:r>
      <w:r w:rsidRPr="00097C4C">
        <w:rPr>
          <w:rFonts w:ascii="Palatino Linotype" w:hAnsi="Palatino Linotype" w:cs="TimesNewRoman"/>
          <w:szCs w:val="24"/>
        </w:rPr>
        <w:t xml:space="preserve">ort list relied on assigning a 100% DE factor to tolling agreements. As we stated in Resolution E-5101, </w:t>
      </w:r>
      <w:proofErr w:type="gramStart"/>
      <w:r w:rsidRPr="00097C4C">
        <w:rPr>
          <w:rFonts w:ascii="Palatino Linotype" w:hAnsi="Palatino Linotype" w:cs="TimesNewRoman"/>
          <w:szCs w:val="24"/>
        </w:rPr>
        <w:t>we ”recognize</w:t>
      </w:r>
      <w:proofErr w:type="gramEnd"/>
      <w:r w:rsidRPr="00097C4C">
        <w:rPr>
          <w:rFonts w:ascii="Palatino Linotype" w:hAnsi="Palatino Linotype" w:cs="TimesNewRoman"/>
          <w:szCs w:val="24"/>
        </w:rPr>
        <w:t xml:space="preserve"> SCE’s responsibility to evaluate realistic costs of contracts that it proposes to enter into. SCE argues that traditional tolling agreements will cause changes to their overall balance sheets that will impact capital costs. It is appropriate for SCE to try to minimize costs, and to consider all real costs when doing so.”</w:t>
      </w:r>
      <w:r w:rsidRPr="00097C4C">
        <w:rPr>
          <w:rStyle w:val="FootnoteReference"/>
          <w:rFonts w:ascii="Palatino Linotype" w:hAnsi="Palatino Linotype" w:cs="TimesNewRoman"/>
          <w:szCs w:val="24"/>
        </w:rPr>
        <w:footnoteReference w:id="25"/>
      </w:r>
      <w:r w:rsidRPr="00097C4C">
        <w:rPr>
          <w:rFonts w:ascii="Palatino Linotype" w:hAnsi="Palatino Linotype" w:cs="TimesNewRoman"/>
          <w:szCs w:val="24"/>
        </w:rPr>
        <w:t xml:space="preserve"> Additionally, we stated that, “because of the unique and new nature of tolling agreements with energy storage resources and the individual contracts in question, future treatment and valuation of such procurement options may not always be able to use this modified tolling agreement.”</w:t>
      </w:r>
      <w:r w:rsidRPr="00097C4C">
        <w:rPr>
          <w:rStyle w:val="FootnoteReference"/>
          <w:rFonts w:ascii="Palatino Linotype" w:hAnsi="Palatino Linotype" w:cs="TimesNewRoman"/>
          <w:szCs w:val="24"/>
        </w:rPr>
        <w:footnoteReference w:id="26"/>
      </w:r>
      <w:r w:rsidRPr="00097C4C">
        <w:rPr>
          <w:rFonts w:ascii="Palatino Linotype" w:hAnsi="Palatino Linotype" w:cs="TimesNewRoman"/>
          <w:szCs w:val="24"/>
        </w:rPr>
        <w:t xml:space="preserve"> </w:t>
      </w:r>
      <w:r w:rsidRPr="00097C4C" w:rsidR="00744087">
        <w:rPr>
          <w:rFonts w:ascii="Palatino Linotype" w:hAnsi="Palatino Linotype" w:cs="TimesNewRoman"/>
          <w:szCs w:val="24"/>
        </w:rPr>
        <w:t xml:space="preserve">SCE has evaluated the Standard Track contracts </w:t>
      </w:r>
      <w:r w:rsidR="00AB7BC9">
        <w:rPr>
          <w:rFonts w:ascii="Palatino Linotype" w:hAnsi="Palatino Linotype" w:cs="TimesNewRoman"/>
          <w:szCs w:val="24"/>
        </w:rPr>
        <w:t>consistent with the</w:t>
      </w:r>
      <w:r w:rsidRPr="00097C4C" w:rsidR="00744087">
        <w:rPr>
          <w:rFonts w:ascii="Palatino Linotype" w:hAnsi="Palatino Linotype" w:cs="TimesNewRoman"/>
          <w:szCs w:val="24"/>
        </w:rPr>
        <w:t xml:space="preserve"> </w:t>
      </w:r>
      <w:r w:rsidRPr="00097C4C" w:rsidR="00AB7BC9">
        <w:rPr>
          <w:rFonts w:ascii="Palatino Linotype" w:hAnsi="Palatino Linotype" w:cs="TimesNewRoman"/>
          <w:szCs w:val="24"/>
        </w:rPr>
        <w:t>evaluat</w:t>
      </w:r>
      <w:r w:rsidR="00AB7BC9">
        <w:rPr>
          <w:rFonts w:ascii="Palatino Linotype" w:hAnsi="Palatino Linotype" w:cs="TimesNewRoman"/>
          <w:szCs w:val="24"/>
        </w:rPr>
        <w:t>ion of</w:t>
      </w:r>
      <w:r w:rsidRPr="00097C4C" w:rsidR="00AB7BC9">
        <w:rPr>
          <w:rFonts w:ascii="Palatino Linotype" w:hAnsi="Palatino Linotype" w:cs="TimesNewRoman"/>
          <w:szCs w:val="24"/>
        </w:rPr>
        <w:t xml:space="preserve"> </w:t>
      </w:r>
      <w:r w:rsidRPr="00097C4C" w:rsidR="00744087">
        <w:rPr>
          <w:rFonts w:ascii="Palatino Linotype" w:hAnsi="Palatino Linotype" w:cs="TimesNewRoman"/>
          <w:szCs w:val="24"/>
        </w:rPr>
        <w:t xml:space="preserve">the Fast Track contracts approved in Resolution E-5101 and we find that our logic for approving the Fast Track agreements has not changed. </w:t>
      </w:r>
      <w:r w:rsidRPr="00097C4C">
        <w:rPr>
          <w:rFonts w:ascii="Palatino Linotype" w:hAnsi="Palatino Linotype" w:cs="TimesNewRoman"/>
          <w:szCs w:val="24"/>
        </w:rPr>
        <w:t xml:space="preserve">We appreciate SCE’s efforts to consider all </w:t>
      </w:r>
      <w:r w:rsidRPr="00097C4C" w:rsidR="00744087">
        <w:rPr>
          <w:rFonts w:ascii="Palatino Linotype" w:hAnsi="Palatino Linotype" w:cs="TimesNewRoman"/>
          <w:szCs w:val="24"/>
        </w:rPr>
        <w:t xml:space="preserve">potential contract structures and find it reasonable that SCE has selected an RA with Put Option for the Crimson project and tolling agreements for the other two IFOM Energy Storage projects. </w:t>
      </w:r>
    </w:p>
    <w:p w:rsidRPr="00E046A9" w:rsidR="00DE65AA" w:rsidRDefault="00DE65AA" w14:paraId="7F95C5E8" w14:textId="77777777">
      <w:pPr>
        <w:rPr>
          <w:rFonts w:ascii="Palatino Linotype" w:hAnsi="Palatino Linotype" w:cs="TimesNewRoman"/>
          <w:szCs w:val="24"/>
        </w:rPr>
      </w:pPr>
    </w:p>
    <w:p w:rsidRPr="00097C4C" w:rsidR="00B91C31" w:rsidP="76508F2D" w:rsidRDefault="00B91C31" w14:paraId="2D7420F6" w14:textId="3D31061E">
      <w:pPr>
        <w:rPr>
          <w:rFonts w:ascii="Palatino Linotype" w:hAnsi="Palatino Linotype" w:cs="TimesNewRoman"/>
          <w:b/>
          <w:bCs/>
          <w:szCs w:val="24"/>
        </w:rPr>
      </w:pPr>
      <w:r w:rsidRPr="00097C4C">
        <w:rPr>
          <w:rFonts w:ascii="Palatino Linotype" w:hAnsi="Palatino Linotype" w:cs="TimesNewRoman"/>
          <w:b/>
          <w:bCs/>
          <w:szCs w:val="24"/>
        </w:rPr>
        <w:t>Incrementality of Demand Response Contracts</w:t>
      </w:r>
    </w:p>
    <w:p w:rsidRPr="00097C4C" w:rsidR="00B91C31" w:rsidP="76508F2D" w:rsidRDefault="00B91C31" w14:paraId="42015D2B" w14:textId="49601B6E">
      <w:pPr>
        <w:rPr>
          <w:rFonts w:ascii="Palatino Linotype" w:hAnsi="Palatino Linotype" w:cs="TimesNewRoman"/>
          <w:b/>
          <w:bCs/>
          <w:szCs w:val="24"/>
        </w:rPr>
      </w:pPr>
    </w:p>
    <w:p w:rsidRPr="00097C4C" w:rsidR="00DD5E03" w:rsidP="00F15FF6" w:rsidRDefault="00B91C31" w14:paraId="27BCCB1A" w14:textId="6834286D">
      <w:pPr>
        <w:rPr>
          <w:rFonts w:ascii="Palatino Linotype" w:hAnsi="Palatino Linotype" w:cs="TimesNewRoman"/>
          <w:szCs w:val="24"/>
        </w:rPr>
      </w:pPr>
      <w:r w:rsidRPr="00097C4C">
        <w:rPr>
          <w:rFonts w:ascii="Palatino Linotype" w:hAnsi="Palatino Linotype" w:cs="TimesNewRoman"/>
          <w:szCs w:val="24"/>
        </w:rPr>
        <w:t xml:space="preserve">In D.19-11-016, the Commission provided that incrementality of demand-side resources shall be demonstrated by using the principles adopted by the Commission in D.16-12-036 as a starting point. </w:t>
      </w:r>
      <w:r w:rsidRPr="00097C4C" w:rsidR="00D66362">
        <w:rPr>
          <w:rFonts w:ascii="Palatino Linotype" w:hAnsi="Palatino Linotype" w:cs="TimesNewRoman"/>
          <w:szCs w:val="24"/>
        </w:rPr>
        <w:t xml:space="preserve">Cal Advocates </w:t>
      </w:r>
      <w:r w:rsidRPr="00097C4C" w:rsidR="00946049">
        <w:rPr>
          <w:rFonts w:ascii="Palatino Linotype" w:hAnsi="Palatino Linotype" w:cs="TimesNewRoman"/>
          <w:szCs w:val="24"/>
        </w:rPr>
        <w:t>makes confidential arguments</w:t>
      </w:r>
      <w:r w:rsidRPr="00097C4C" w:rsidR="00D66362">
        <w:rPr>
          <w:rFonts w:ascii="Palatino Linotype" w:hAnsi="Palatino Linotype" w:cs="TimesNewRoman"/>
          <w:szCs w:val="24"/>
        </w:rPr>
        <w:t xml:space="preserve"> that SCE has failed to demonstrate that the Sunrun capacity is fully incremental</w:t>
      </w:r>
      <w:r w:rsidRPr="00097C4C" w:rsidR="00946049">
        <w:rPr>
          <w:rFonts w:ascii="Palatino Linotype" w:hAnsi="Palatino Linotype" w:cs="TimesNewRoman"/>
          <w:szCs w:val="24"/>
        </w:rPr>
        <w:t xml:space="preserve"> stating that the capacity value should be reduced to the incremental value. SCE responds that it has </w:t>
      </w:r>
      <w:r w:rsidRPr="00097C4C" w:rsidR="0098440B">
        <w:rPr>
          <w:rFonts w:ascii="Palatino Linotype" w:hAnsi="Palatino Linotype" w:cs="TimesNewRoman"/>
          <w:szCs w:val="24"/>
        </w:rPr>
        <w:t xml:space="preserve">assessed the incrementality of the demand-side projects consistent with the principles and determined the Sunrun projects to be fully incremental. We find that SCE’s assessment process was reasonable in determining that </w:t>
      </w:r>
      <w:r w:rsidRPr="00097C4C" w:rsidR="00CC735D">
        <w:rPr>
          <w:rFonts w:ascii="Palatino Linotype" w:hAnsi="Palatino Linotype" w:cs="TimesNewRoman"/>
          <w:szCs w:val="24"/>
        </w:rPr>
        <w:t xml:space="preserve">the Sunrun capacity was incremental </w:t>
      </w:r>
      <w:r w:rsidR="005775B1">
        <w:rPr>
          <w:rFonts w:ascii="Palatino Linotype" w:hAnsi="Palatino Linotype" w:cs="TimesNewRoman"/>
          <w:szCs w:val="24"/>
        </w:rPr>
        <w:t>since these are new storage installations that will be providing guaranteed load reduction during the availability assessment hours</w:t>
      </w:r>
      <w:r w:rsidR="00F15FF6">
        <w:rPr>
          <w:rFonts w:ascii="Palatino Linotype" w:hAnsi="Palatino Linotype" w:cs="TimesNewRoman"/>
          <w:szCs w:val="24"/>
        </w:rPr>
        <w:t xml:space="preserve"> consistent with Commission direction regarding </w:t>
      </w:r>
      <w:r w:rsidR="00F15FF6">
        <w:rPr>
          <w:rFonts w:ascii="Palatino Linotype" w:hAnsi="Palatino Linotype" w:cs="TimesNewRoman"/>
          <w:szCs w:val="24"/>
        </w:rPr>
        <w:lastRenderedPageBreak/>
        <w:t>the Distribution Investment Deferral Framework</w:t>
      </w:r>
      <w:r w:rsidRPr="00F15FF6" w:rsidR="00F15FF6">
        <w:t xml:space="preserve"> </w:t>
      </w:r>
      <w:r w:rsidRPr="00F15FF6" w:rsidR="00F15FF6">
        <w:rPr>
          <w:rFonts w:ascii="Palatino Linotype" w:hAnsi="Palatino Linotype" w:cs="TimesNewRoman"/>
          <w:szCs w:val="24"/>
        </w:rPr>
        <w:t>which requires the IOUs to treat an SGIP BTM resource as wholly</w:t>
      </w:r>
      <w:r w:rsidRPr="00F15FF6" w:rsidR="00F15FF6">
        <w:t xml:space="preserve"> </w:t>
      </w:r>
      <w:r w:rsidRPr="00F15FF6" w:rsidR="00F15FF6">
        <w:rPr>
          <w:rFonts w:ascii="Palatino Linotype" w:hAnsi="Palatino Linotype" w:cs="TimesNewRoman"/>
          <w:szCs w:val="24"/>
        </w:rPr>
        <w:t>incremental if the existing resource adds on dispatchable energy storage or simply</w:t>
      </w:r>
      <w:r w:rsidR="00F15FF6">
        <w:rPr>
          <w:rFonts w:ascii="Palatino Linotype" w:hAnsi="Palatino Linotype" w:cs="TimesNewRoman"/>
          <w:szCs w:val="24"/>
        </w:rPr>
        <w:t xml:space="preserve"> </w:t>
      </w:r>
      <w:r w:rsidRPr="00F15FF6" w:rsidR="00F15FF6">
        <w:rPr>
          <w:rFonts w:ascii="Palatino Linotype" w:hAnsi="Palatino Linotype" w:cs="TimesNewRoman"/>
          <w:szCs w:val="24"/>
        </w:rPr>
        <w:t>provides a new dispatchable service otherwise not provided under the resource's</w:t>
      </w:r>
      <w:r w:rsidR="00F15FF6">
        <w:rPr>
          <w:rFonts w:ascii="Palatino Linotype" w:hAnsi="Palatino Linotype" w:cs="TimesNewRoman"/>
          <w:szCs w:val="24"/>
        </w:rPr>
        <w:t xml:space="preserve"> </w:t>
      </w:r>
      <w:r w:rsidRPr="00F15FF6" w:rsidR="00F15FF6">
        <w:rPr>
          <w:rFonts w:ascii="Palatino Linotype" w:hAnsi="Palatino Linotype" w:cs="TimesNewRoman"/>
          <w:szCs w:val="24"/>
        </w:rPr>
        <w:t>current tariff</w:t>
      </w:r>
      <w:r w:rsidRPr="00097C4C" w:rsidR="005775B1">
        <w:rPr>
          <w:rFonts w:ascii="Palatino Linotype" w:hAnsi="Palatino Linotype" w:cs="TimesNewRoman"/>
          <w:szCs w:val="24"/>
        </w:rPr>
        <w:t>.</w:t>
      </w:r>
      <w:r w:rsidR="005775B1">
        <w:rPr>
          <w:rFonts w:ascii="Palatino Linotype" w:hAnsi="Palatino Linotype" w:cs="TimesNewRoman"/>
          <w:szCs w:val="24"/>
        </w:rPr>
        <w:t xml:space="preserve"> Additionally, since SCE is the scheduling coordinator, the capacity will be bid economically into the CAISO market</w:t>
      </w:r>
      <w:r w:rsidR="00F15FF6">
        <w:rPr>
          <w:rFonts w:ascii="Palatino Linotype" w:hAnsi="Palatino Linotype" w:cs="TimesNewRoman"/>
          <w:szCs w:val="24"/>
        </w:rPr>
        <w:t xml:space="preserve"> allowing CAISO to dispatch the resource when it is needed for reliability</w:t>
      </w:r>
      <w:r w:rsidR="005775B1">
        <w:rPr>
          <w:rFonts w:ascii="Palatino Linotype" w:hAnsi="Palatino Linotype" w:cs="TimesNewRoman"/>
          <w:szCs w:val="24"/>
        </w:rPr>
        <w:t>. We also</w:t>
      </w:r>
      <w:r w:rsidRPr="00097C4C" w:rsidR="00CC735D">
        <w:rPr>
          <w:rFonts w:ascii="Palatino Linotype" w:hAnsi="Palatino Linotype" w:cs="TimesNewRoman"/>
          <w:szCs w:val="24"/>
        </w:rPr>
        <w:t xml:space="preserve"> note that the IE concurred with this assessment.</w:t>
      </w:r>
      <w:r w:rsidRPr="00097C4C" w:rsidR="00DD5E03">
        <w:rPr>
          <w:rFonts w:ascii="Palatino Linotype" w:hAnsi="Palatino Linotype" w:cs="TimesNewRoman"/>
          <w:szCs w:val="24"/>
        </w:rPr>
        <w:t xml:space="preserve"> We direct SCE to monitor these contracts to ensure that the customers targeted are in fact providing new load reduction incremental to any expected load reduction associated with utility programs</w:t>
      </w:r>
      <w:r w:rsidR="00F15FF6">
        <w:rPr>
          <w:rFonts w:ascii="Palatino Linotype" w:hAnsi="Palatino Linotype" w:cs="TimesNewRoman"/>
          <w:szCs w:val="24"/>
        </w:rPr>
        <w:t xml:space="preserve"> and to file a Tier 1 Advice Letter </w:t>
      </w:r>
      <w:r w:rsidR="00740A77">
        <w:rPr>
          <w:rFonts w:ascii="Palatino Linotype" w:hAnsi="Palatino Linotype" w:cs="TimesNewRoman"/>
          <w:szCs w:val="24"/>
        </w:rPr>
        <w:t>demonstrating that the underlying customers are providing incremental capacity</w:t>
      </w:r>
      <w:r w:rsidR="00F15FF6">
        <w:rPr>
          <w:rFonts w:ascii="Palatino Linotype" w:hAnsi="Palatino Linotype" w:cs="TimesNewRoman"/>
          <w:szCs w:val="24"/>
        </w:rPr>
        <w:t xml:space="preserve"> </w:t>
      </w:r>
      <w:r w:rsidR="003A3F5E">
        <w:rPr>
          <w:rFonts w:ascii="Palatino Linotype" w:hAnsi="Palatino Linotype" w:cs="TimesNewRoman"/>
          <w:szCs w:val="24"/>
        </w:rPr>
        <w:t>by August 1, 2023 when the resource comes online</w:t>
      </w:r>
      <w:r w:rsidRPr="00097C4C" w:rsidR="00DD5E03">
        <w:rPr>
          <w:rFonts w:ascii="Palatino Linotype" w:hAnsi="Palatino Linotype" w:cs="TimesNewRoman"/>
          <w:szCs w:val="24"/>
        </w:rPr>
        <w:t>.</w:t>
      </w:r>
    </w:p>
    <w:p w:rsidRPr="00097C4C" w:rsidR="00DD5E03" w:rsidP="76508F2D" w:rsidRDefault="00DD5E03" w14:paraId="73E147E0" w14:textId="77777777">
      <w:pPr>
        <w:rPr>
          <w:rFonts w:ascii="Palatino Linotype" w:hAnsi="Palatino Linotype" w:cs="TimesNewRoman"/>
          <w:b/>
          <w:bCs/>
          <w:szCs w:val="24"/>
        </w:rPr>
      </w:pPr>
    </w:p>
    <w:p w:rsidRPr="00097C4C" w:rsidR="00A11D56" w:rsidP="76508F2D" w:rsidRDefault="00A11D56" w14:paraId="461F38AB" w14:textId="10C86BEE">
      <w:pPr>
        <w:rPr>
          <w:rFonts w:ascii="Palatino Linotype" w:hAnsi="Palatino Linotype" w:cs="TimesNewRoman"/>
          <w:b/>
          <w:bCs/>
          <w:szCs w:val="24"/>
        </w:rPr>
      </w:pPr>
      <w:r w:rsidRPr="00097C4C">
        <w:rPr>
          <w:rFonts w:ascii="Palatino Linotype" w:hAnsi="Palatino Linotype" w:cs="TimesNewRoman"/>
          <w:b/>
          <w:bCs/>
          <w:szCs w:val="24"/>
        </w:rPr>
        <w:t>GHG Reduction Requirements</w:t>
      </w:r>
    </w:p>
    <w:p w:rsidRPr="00097C4C" w:rsidR="00A11D56" w:rsidP="76508F2D" w:rsidRDefault="00A11D56" w14:paraId="28EBFD48" w14:textId="00607745">
      <w:pPr>
        <w:rPr>
          <w:rFonts w:ascii="Palatino Linotype" w:hAnsi="Palatino Linotype" w:cs="TimesNewRoman"/>
          <w:b/>
          <w:bCs/>
          <w:szCs w:val="24"/>
        </w:rPr>
      </w:pPr>
    </w:p>
    <w:p w:rsidRPr="00097C4C" w:rsidR="00A11D56" w:rsidP="00A11D56" w:rsidRDefault="00A11D56" w14:paraId="22C3FDB6" w14:textId="73B7369C">
      <w:pPr>
        <w:autoSpaceDE w:val="0"/>
        <w:autoSpaceDN w:val="0"/>
        <w:adjustRightInd w:val="0"/>
        <w:rPr>
          <w:rFonts w:ascii="Palatino Linotype" w:hAnsi="Palatino Linotype" w:cs="Arial"/>
          <w:sz w:val="24"/>
          <w:szCs w:val="24"/>
        </w:rPr>
      </w:pPr>
      <w:r w:rsidRPr="00097C4C">
        <w:rPr>
          <w:rFonts w:ascii="Palatino Linotype" w:hAnsi="Palatino Linotype"/>
        </w:rPr>
        <w:t xml:space="preserve">Cal Advocates </w:t>
      </w:r>
      <w:r w:rsidRPr="00097C4C">
        <w:rPr>
          <w:rFonts w:ascii="Palatino Linotype" w:hAnsi="Palatino Linotype" w:cs="TimesNewRoman"/>
          <w:szCs w:val="24"/>
        </w:rPr>
        <w:t>requests that SCE be compelled to demonstrate that its procured resources will lead to a reduction in GHG</w:t>
      </w:r>
      <w:r w:rsidRPr="00097C4C" w:rsidR="00DD5E03">
        <w:rPr>
          <w:rFonts w:ascii="Palatino Linotype" w:hAnsi="Palatino Linotype" w:cs="TimesNewRoman"/>
          <w:szCs w:val="24"/>
        </w:rPr>
        <w:t xml:space="preserve"> and local air pollutant</w:t>
      </w:r>
      <w:r w:rsidRPr="00097C4C">
        <w:rPr>
          <w:rFonts w:ascii="Palatino Linotype" w:hAnsi="Palatino Linotype" w:cs="TimesNewRoman"/>
          <w:szCs w:val="24"/>
        </w:rPr>
        <w:t xml:space="preserve"> emissions. SCE responds that D.19-11-016 does not require this, but only that SCE demonstrate compliance with section </w:t>
      </w:r>
      <w:r w:rsidRPr="00097C4C">
        <w:rPr>
          <w:rFonts w:ascii="Palatino Linotype" w:hAnsi="Palatino Linotype" w:cs="Arial"/>
          <w:szCs w:val="26"/>
        </w:rPr>
        <w:t>454.52(a)(1)(I), which requires that SCE minimize local pollutants and GHG emissions</w:t>
      </w:r>
      <w:r w:rsidRPr="00097C4C">
        <w:rPr>
          <w:rFonts w:ascii="Palatino Linotype" w:hAnsi="Palatino Linotype" w:cs="Arial"/>
          <w:sz w:val="24"/>
          <w:szCs w:val="24"/>
        </w:rPr>
        <w:t xml:space="preserve">. </w:t>
      </w:r>
      <w:r w:rsidRPr="00097C4C">
        <w:rPr>
          <w:rFonts w:ascii="Palatino Linotype" w:hAnsi="Palatino Linotype" w:cs="Arial"/>
          <w:szCs w:val="26"/>
        </w:rPr>
        <w:t>SCE further contends that they have met this criterion by procuring non-emitting resources and expressing a preference for energy storage over gas fired generation.</w:t>
      </w:r>
      <w:r w:rsidRPr="00097C4C">
        <w:rPr>
          <w:rFonts w:ascii="Palatino Linotype" w:hAnsi="Palatino Linotype" w:cs="Arial"/>
          <w:sz w:val="24"/>
          <w:szCs w:val="24"/>
        </w:rPr>
        <w:t xml:space="preserve"> </w:t>
      </w:r>
    </w:p>
    <w:p w:rsidRPr="00097C4C" w:rsidR="00A11D56" w:rsidP="00A11D56" w:rsidRDefault="00A11D56" w14:paraId="53E8F0AE" w14:textId="77777777">
      <w:pPr>
        <w:autoSpaceDE w:val="0"/>
        <w:autoSpaceDN w:val="0"/>
        <w:adjustRightInd w:val="0"/>
        <w:rPr>
          <w:rFonts w:ascii="Palatino Linotype" w:hAnsi="Palatino Linotype" w:cs="Arial"/>
          <w:sz w:val="24"/>
          <w:szCs w:val="24"/>
        </w:rPr>
      </w:pPr>
    </w:p>
    <w:p w:rsidRPr="00097C4C" w:rsidR="00A11D56" w:rsidP="00A11D56" w:rsidRDefault="00A11D56" w14:paraId="0FCC49D1" w14:textId="0BF0E9A4">
      <w:pPr>
        <w:autoSpaceDE w:val="0"/>
        <w:autoSpaceDN w:val="0"/>
        <w:adjustRightInd w:val="0"/>
        <w:rPr>
          <w:rFonts w:ascii="Palatino Linotype" w:hAnsi="Palatino Linotype" w:cs="TimesNewRoman"/>
          <w:szCs w:val="24"/>
        </w:rPr>
      </w:pPr>
      <w:r w:rsidRPr="00097C4C">
        <w:rPr>
          <w:rFonts w:ascii="Palatino Linotype" w:hAnsi="Palatino Linotype" w:cs="TimesNewRoman"/>
          <w:szCs w:val="24"/>
        </w:rPr>
        <w:t xml:space="preserve">Energy Storage resources do not contribute directly to GHG, criteria pollutants, or local air pollution. The actual change in emissions due to energy storage charging is a complex issue that will not be controllable by or visible to the individual energy storage resource. Energy storage resources can store inexpensive power, often generated by zero marginal cost renewable generation, and release it at later times when prices are higher. Those higher prices are often set by gas fired generation. The State and the Commission have implemented many policies to increase the functionality and development of the storage fleet </w:t>
      </w:r>
      <w:proofErr w:type="gramStart"/>
      <w:r w:rsidRPr="00097C4C">
        <w:rPr>
          <w:rFonts w:ascii="Palatino Linotype" w:hAnsi="Palatino Linotype" w:cs="TimesNewRoman"/>
          <w:szCs w:val="24"/>
        </w:rPr>
        <w:t>in order to</w:t>
      </w:r>
      <w:proofErr w:type="gramEnd"/>
      <w:r w:rsidRPr="00097C4C">
        <w:rPr>
          <w:rFonts w:ascii="Palatino Linotype" w:hAnsi="Palatino Linotype" w:cs="TimesNewRoman"/>
          <w:szCs w:val="24"/>
        </w:rPr>
        <w:t xml:space="preserve"> facilitate this movement of clean energy to displace polluting generating resources. SCE’s decision to choose contracts that follow this path is prudent and we do not grant Cal Advocates’ request on this subject.</w:t>
      </w:r>
    </w:p>
    <w:p w:rsidR="00461BE0" w:rsidRDefault="00461BE0" w14:paraId="4043185D" w14:textId="77E99749">
      <w:pPr>
        <w:rPr>
          <w:rFonts w:ascii="Palatino Linotype" w:hAnsi="Palatino Linotype"/>
          <w:b/>
          <w:bCs/>
        </w:rPr>
      </w:pPr>
      <w:r>
        <w:rPr>
          <w:rFonts w:ascii="Palatino Linotype" w:hAnsi="Palatino Linotype"/>
          <w:b/>
          <w:bCs/>
        </w:rPr>
        <w:br w:type="page"/>
      </w:r>
    </w:p>
    <w:p w:rsidRPr="00097C4C" w:rsidR="002A1AE2" w:rsidP="002A1AE2" w:rsidRDefault="002A1AE2" w14:paraId="333FE8D1" w14:textId="5D87DD56">
      <w:pPr>
        <w:rPr>
          <w:rFonts w:ascii="Palatino Linotype" w:hAnsi="Palatino Linotype"/>
          <w:b/>
          <w:bCs/>
        </w:rPr>
      </w:pPr>
      <w:r w:rsidRPr="00097C4C">
        <w:rPr>
          <w:rFonts w:ascii="Palatino Linotype" w:hAnsi="Palatino Linotype"/>
          <w:b/>
          <w:bCs/>
        </w:rPr>
        <w:lastRenderedPageBreak/>
        <w:t>Cost Recovery</w:t>
      </w:r>
    </w:p>
    <w:p w:rsidRPr="00097C4C" w:rsidR="002A1AE2" w:rsidP="00CA31E4" w:rsidRDefault="002A1AE2" w14:paraId="6230EF6F" w14:textId="77777777">
      <w:pPr>
        <w:rPr>
          <w:rFonts w:ascii="Palatino Linotype" w:hAnsi="Palatino Linotype"/>
          <w:b/>
          <w:bCs/>
          <w:highlight w:val="cyan"/>
        </w:rPr>
      </w:pPr>
    </w:p>
    <w:p w:rsidR="00461BE0" w:rsidP="00CA31E4" w:rsidRDefault="002A1AE2" w14:paraId="7F914CE1" w14:textId="77777777">
      <w:pPr>
        <w:rPr>
          <w:rFonts w:ascii="Palatino Linotype" w:hAnsi="Palatino Linotype"/>
        </w:rPr>
      </w:pPr>
      <w:r w:rsidRPr="00097C4C">
        <w:rPr>
          <w:rFonts w:ascii="Palatino Linotype" w:hAnsi="Palatino Linotype"/>
        </w:rPr>
        <w:t xml:space="preserve">We find that it is appropriate for </w:t>
      </w:r>
      <w:r w:rsidRPr="00097C4C" w:rsidR="00744087">
        <w:rPr>
          <w:rFonts w:ascii="Palatino Linotype" w:hAnsi="Palatino Linotype"/>
        </w:rPr>
        <w:t>SC</w:t>
      </w:r>
      <w:r w:rsidRPr="00097C4C">
        <w:rPr>
          <w:rFonts w:ascii="Palatino Linotype" w:hAnsi="Palatino Linotype"/>
        </w:rPr>
        <w:t xml:space="preserve">E to continue tracking costs </w:t>
      </w:r>
      <w:r w:rsidR="00120E33">
        <w:rPr>
          <w:rFonts w:ascii="Palatino Linotype" w:hAnsi="Palatino Linotype"/>
        </w:rPr>
        <w:t>and benefits associated with procurement undertaken pursuant to D.19-11-016</w:t>
      </w:r>
      <w:r w:rsidRPr="00097C4C" w:rsidR="00120E33">
        <w:rPr>
          <w:rFonts w:ascii="Palatino Linotype" w:hAnsi="Palatino Linotype"/>
        </w:rPr>
        <w:t xml:space="preserve"> </w:t>
      </w:r>
      <w:r w:rsidRPr="00097C4C">
        <w:rPr>
          <w:rFonts w:ascii="Palatino Linotype" w:hAnsi="Palatino Linotype"/>
        </w:rPr>
        <w:t xml:space="preserve">– including costs associated with the retail customers of LSEs that opted out of </w:t>
      </w:r>
      <w:proofErr w:type="gramStart"/>
      <w:r w:rsidRPr="00097C4C">
        <w:rPr>
          <w:rFonts w:ascii="Palatino Linotype" w:hAnsi="Palatino Linotype"/>
        </w:rPr>
        <w:t>their</w:t>
      </w:r>
      <w:proofErr w:type="gramEnd"/>
      <w:r w:rsidRPr="00097C4C">
        <w:rPr>
          <w:rFonts w:ascii="Palatino Linotype" w:hAnsi="Palatino Linotype"/>
        </w:rPr>
        <w:t xml:space="preserve"> </w:t>
      </w:r>
    </w:p>
    <w:p w:rsidRPr="00097C4C" w:rsidR="002A1AE2" w:rsidP="00CA31E4" w:rsidRDefault="002A1AE2" w14:paraId="3F10B024" w14:textId="41694BE4">
      <w:pPr>
        <w:rPr>
          <w:rFonts w:ascii="Palatino Linotype" w:hAnsi="Palatino Linotype"/>
        </w:rPr>
      </w:pPr>
      <w:r w:rsidRPr="00097C4C">
        <w:rPr>
          <w:rFonts w:ascii="Palatino Linotype" w:hAnsi="Palatino Linotype"/>
        </w:rPr>
        <w:t xml:space="preserve">D.19-11-016 requirements – through the </w:t>
      </w:r>
      <w:r w:rsidRPr="00097C4C" w:rsidR="00744087">
        <w:rPr>
          <w:rFonts w:ascii="Palatino Linotype" w:hAnsi="Palatino Linotype"/>
        </w:rPr>
        <w:t>SRPMA</w:t>
      </w:r>
      <w:r w:rsidRPr="00097C4C">
        <w:rPr>
          <w:rFonts w:ascii="Palatino Linotype" w:hAnsi="Palatino Linotype"/>
        </w:rPr>
        <w:t xml:space="preserve"> on an interim basis</w:t>
      </w:r>
      <w:r w:rsidRPr="00097C4C" w:rsidR="0031776D">
        <w:rPr>
          <w:rFonts w:ascii="Palatino Linotype" w:hAnsi="Palatino Linotype"/>
        </w:rPr>
        <w:t xml:space="preserve">, </w:t>
      </w:r>
      <w:r w:rsidRPr="00097C4C">
        <w:rPr>
          <w:rFonts w:ascii="Palatino Linotype" w:hAnsi="Palatino Linotype"/>
        </w:rPr>
        <w:t xml:space="preserve">until we approve a Modified CAM mechanism or other cost recovery mechanism(s). We also find that </w:t>
      </w:r>
      <w:r w:rsidRPr="00097C4C" w:rsidR="004042F6">
        <w:rPr>
          <w:rFonts w:ascii="Palatino Linotype" w:hAnsi="Palatino Linotype"/>
        </w:rPr>
        <w:t xml:space="preserve">it is appropriate for </w:t>
      </w:r>
      <w:r w:rsidRPr="00097C4C" w:rsidR="00744087">
        <w:rPr>
          <w:rFonts w:ascii="Palatino Linotype" w:hAnsi="Palatino Linotype"/>
        </w:rPr>
        <w:t>SC</w:t>
      </w:r>
      <w:r w:rsidRPr="00097C4C" w:rsidR="004042F6">
        <w:rPr>
          <w:rFonts w:ascii="Palatino Linotype" w:hAnsi="Palatino Linotype"/>
        </w:rPr>
        <w:t xml:space="preserve">E to </w:t>
      </w:r>
      <w:r w:rsidRPr="00097C4C" w:rsidR="0044479C">
        <w:rPr>
          <w:rFonts w:ascii="Palatino Linotype" w:hAnsi="Palatino Linotype"/>
        </w:rPr>
        <w:t xml:space="preserve">continue </w:t>
      </w:r>
      <w:r w:rsidRPr="00097C4C" w:rsidR="004042F6">
        <w:rPr>
          <w:rFonts w:ascii="Palatino Linotype" w:hAnsi="Palatino Linotype"/>
        </w:rPr>
        <w:t>recover</w:t>
      </w:r>
      <w:r w:rsidRPr="00097C4C" w:rsidR="0044479C">
        <w:rPr>
          <w:rFonts w:ascii="Palatino Linotype" w:hAnsi="Palatino Linotype"/>
        </w:rPr>
        <w:t>ing</w:t>
      </w:r>
      <w:r w:rsidRPr="00097C4C" w:rsidR="004042F6">
        <w:rPr>
          <w:rFonts w:ascii="Palatino Linotype" w:hAnsi="Palatino Linotype"/>
        </w:rPr>
        <w:t xml:space="preserve"> costs incurred on behalf of its bundled customers through the </w:t>
      </w:r>
      <w:r w:rsidR="00E046A9">
        <w:rPr>
          <w:rFonts w:ascii="Palatino Linotype" w:hAnsi="Palatino Linotype"/>
        </w:rPr>
        <w:t>Energy Resource Recovery Account (</w:t>
      </w:r>
      <w:r w:rsidRPr="00097C4C" w:rsidR="00744087">
        <w:rPr>
          <w:rFonts w:ascii="Palatino Linotype" w:hAnsi="Palatino Linotype"/>
        </w:rPr>
        <w:t>ERRA</w:t>
      </w:r>
      <w:r w:rsidR="00E046A9">
        <w:rPr>
          <w:rFonts w:ascii="Palatino Linotype" w:hAnsi="Palatino Linotype"/>
        </w:rPr>
        <w:t>)</w:t>
      </w:r>
      <w:r w:rsidRPr="00097C4C" w:rsidR="00744087">
        <w:rPr>
          <w:rFonts w:ascii="Palatino Linotype" w:hAnsi="Palatino Linotype"/>
        </w:rPr>
        <w:t xml:space="preserve"> proceeding, subject to SCE’s prudent administration of the Standard Track Contracts</w:t>
      </w:r>
      <w:r w:rsidRPr="00097C4C" w:rsidR="004042F6">
        <w:rPr>
          <w:rFonts w:ascii="Palatino Linotype" w:hAnsi="Palatino Linotype"/>
        </w:rPr>
        <w:t>. These processes are consistent with what we approved in Resolution E-510</w:t>
      </w:r>
      <w:r w:rsidRPr="00097C4C" w:rsidR="000F3F97">
        <w:rPr>
          <w:rFonts w:ascii="Palatino Linotype" w:hAnsi="Palatino Linotype"/>
        </w:rPr>
        <w:t>1</w:t>
      </w:r>
      <w:r w:rsidRPr="00097C4C" w:rsidR="004042F6">
        <w:rPr>
          <w:rFonts w:ascii="Palatino Linotype" w:hAnsi="Palatino Linotype"/>
        </w:rPr>
        <w:t>.</w:t>
      </w:r>
    </w:p>
    <w:p w:rsidRPr="00097C4C" w:rsidR="002A1AE2" w:rsidP="00CA31E4" w:rsidRDefault="002A1AE2" w14:paraId="143A7251" w14:textId="3949B009">
      <w:pPr>
        <w:rPr>
          <w:rFonts w:ascii="Palatino Linotype" w:hAnsi="Palatino Linotype"/>
          <w:b/>
          <w:bCs/>
          <w:highlight w:val="cyan"/>
        </w:rPr>
      </w:pPr>
    </w:p>
    <w:p w:rsidRPr="00097C4C" w:rsidR="00572A8D" w:rsidP="00CA31E4" w:rsidRDefault="00572A8D" w14:paraId="52AA1497" w14:textId="0A5E651F">
      <w:pPr>
        <w:rPr>
          <w:rFonts w:ascii="Palatino Linotype" w:hAnsi="Palatino Linotype"/>
          <w:b/>
          <w:bCs/>
        </w:rPr>
      </w:pPr>
      <w:r w:rsidRPr="00097C4C">
        <w:rPr>
          <w:rFonts w:ascii="Palatino Linotype" w:hAnsi="Palatino Linotype"/>
          <w:b/>
          <w:bCs/>
        </w:rPr>
        <w:t>General Compliance with D.19-11-016</w:t>
      </w:r>
    </w:p>
    <w:p w:rsidRPr="00097C4C" w:rsidR="00572A8D" w:rsidP="00CA31E4" w:rsidRDefault="00572A8D" w14:paraId="301C6A10" w14:textId="4D1DA853">
      <w:pPr>
        <w:rPr>
          <w:rFonts w:ascii="Palatino Linotype" w:hAnsi="Palatino Linotype"/>
        </w:rPr>
      </w:pPr>
    </w:p>
    <w:p w:rsidR="00461BE0" w:rsidP="3BA1B222" w:rsidRDefault="0096553B" w14:paraId="0D41CDC4" w14:textId="77777777">
      <w:pPr>
        <w:rPr>
          <w:rFonts w:ascii="Palatino Linotype" w:hAnsi="Palatino Linotype"/>
        </w:rPr>
      </w:pPr>
      <w:r w:rsidRPr="00097C4C">
        <w:rPr>
          <w:rFonts w:ascii="Palatino Linotype" w:hAnsi="Palatino Linotype"/>
        </w:rPr>
        <w:t xml:space="preserve">D.19-11-016 does not specify </w:t>
      </w:r>
      <w:proofErr w:type="gramStart"/>
      <w:r w:rsidRPr="00097C4C">
        <w:rPr>
          <w:rFonts w:ascii="Palatino Linotype" w:hAnsi="Palatino Linotype"/>
        </w:rPr>
        <w:t>particular safety</w:t>
      </w:r>
      <w:proofErr w:type="gramEnd"/>
      <w:r w:rsidRPr="00097C4C">
        <w:rPr>
          <w:rFonts w:ascii="Palatino Linotype" w:hAnsi="Palatino Linotype"/>
        </w:rPr>
        <w:t xml:space="preserve"> requirements. </w:t>
      </w:r>
      <w:r w:rsidRPr="00097C4C" w:rsidR="00F03BFE">
        <w:rPr>
          <w:rFonts w:ascii="Palatino Linotype" w:hAnsi="Palatino Linotype"/>
        </w:rPr>
        <w:t xml:space="preserve">As in Resolution </w:t>
      </w:r>
    </w:p>
    <w:p w:rsidR="00B86B31" w:rsidP="3BA1B222" w:rsidRDefault="00F03BFE" w14:paraId="30048EA7" w14:textId="043F58E4">
      <w:pPr>
        <w:rPr>
          <w:rFonts w:ascii="Palatino Linotype" w:hAnsi="Palatino Linotype"/>
        </w:rPr>
      </w:pPr>
      <w:r w:rsidRPr="00097C4C">
        <w:rPr>
          <w:rFonts w:ascii="Palatino Linotype" w:hAnsi="Palatino Linotype"/>
        </w:rPr>
        <w:t>E-510</w:t>
      </w:r>
      <w:r w:rsidRPr="00097C4C" w:rsidR="00166B34">
        <w:rPr>
          <w:rFonts w:ascii="Palatino Linotype" w:hAnsi="Palatino Linotype"/>
        </w:rPr>
        <w:t>1</w:t>
      </w:r>
      <w:r w:rsidRPr="00097C4C">
        <w:rPr>
          <w:rFonts w:ascii="Palatino Linotype" w:hAnsi="Palatino Linotype"/>
        </w:rPr>
        <w:t>, h</w:t>
      </w:r>
      <w:r w:rsidRPr="00097C4C" w:rsidR="0096553B">
        <w:rPr>
          <w:rFonts w:ascii="Palatino Linotype" w:hAnsi="Palatino Linotype"/>
        </w:rPr>
        <w:t xml:space="preserve">owever, we acknowledge the safety provisions that </w:t>
      </w:r>
      <w:r w:rsidRPr="00097C4C" w:rsidR="00166B34">
        <w:rPr>
          <w:rFonts w:ascii="Palatino Linotype" w:hAnsi="Palatino Linotype"/>
        </w:rPr>
        <w:t>SC</w:t>
      </w:r>
      <w:r w:rsidRPr="00097C4C" w:rsidR="0096553B">
        <w:rPr>
          <w:rFonts w:ascii="Palatino Linotype" w:hAnsi="Palatino Linotype"/>
        </w:rPr>
        <w:t xml:space="preserve">E has included in its solicitation processes and in the proposed agreements. </w:t>
      </w:r>
      <w:r w:rsidRPr="00097C4C" w:rsidR="00C67039">
        <w:rPr>
          <w:rFonts w:ascii="Palatino Linotype" w:hAnsi="Palatino Linotype"/>
        </w:rPr>
        <w:t xml:space="preserve">We </w:t>
      </w:r>
      <w:r w:rsidRPr="00097C4C">
        <w:rPr>
          <w:rFonts w:ascii="Palatino Linotype" w:hAnsi="Palatino Linotype"/>
        </w:rPr>
        <w:t xml:space="preserve">continue to </w:t>
      </w:r>
      <w:r w:rsidRPr="00097C4C" w:rsidR="00C67039">
        <w:rPr>
          <w:rFonts w:ascii="Palatino Linotype" w:hAnsi="Palatino Linotype"/>
        </w:rPr>
        <w:t xml:space="preserve">expect that in implementing these provisions, </w:t>
      </w:r>
      <w:r w:rsidRPr="00097C4C" w:rsidR="00166B34">
        <w:rPr>
          <w:rFonts w:ascii="Palatino Linotype" w:hAnsi="Palatino Linotype"/>
        </w:rPr>
        <w:t>SC</w:t>
      </w:r>
      <w:r w:rsidRPr="00097C4C" w:rsidR="00C67039">
        <w:rPr>
          <w:rFonts w:ascii="Palatino Linotype" w:hAnsi="Palatino Linotype"/>
        </w:rPr>
        <w:t>E and counterparties will include all appropriate measures necessary to prevent the spread of COVID-19</w:t>
      </w:r>
      <w:r w:rsidRPr="00097C4C" w:rsidR="0006379B">
        <w:rPr>
          <w:rFonts w:ascii="Palatino Linotype" w:hAnsi="Palatino Linotype"/>
        </w:rPr>
        <w:t>, especially those required by the California Department of Industrial Relations’ Division of Occupational Safety and Health (Cal/OSHA)</w:t>
      </w:r>
      <w:r w:rsidRPr="00097C4C" w:rsidR="00C67039">
        <w:rPr>
          <w:rFonts w:ascii="Palatino Linotype" w:hAnsi="Palatino Linotype"/>
        </w:rPr>
        <w:t xml:space="preserve">. </w:t>
      </w:r>
      <w:r w:rsidRPr="00097C4C" w:rsidR="0096553B">
        <w:rPr>
          <w:rFonts w:ascii="Palatino Linotype" w:hAnsi="Palatino Linotype"/>
        </w:rPr>
        <w:t xml:space="preserve">We </w:t>
      </w:r>
      <w:r w:rsidR="00B86B31">
        <w:rPr>
          <w:rFonts w:ascii="Palatino Linotype" w:hAnsi="Palatino Linotype"/>
        </w:rPr>
        <w:t xml:space="preserve">also </w:t>
      </w:r>
      <w:r w:rsidRPr="00097C4C" w:rsidR="0096553B">
        <w:rPr>
          <w:rFonts w:ascii="Palatino Linotype" w:hAnsi="Palatino Linotype"/>
        </w:rPr>
        <w:t xml:space="preserve">note that the energy storage projects are (or will be) permitted by local </w:t>
      </w:r>
      <w:r w:rsidRPr="00097C4C" w:rsidR="00E8291A">
        <w:rPr>
          <w:rFonts w:ascii="Palatino Linotype" w:hAnsi="Palatino Linotype"/>
        </w:rPr>
        <w:t>A</w:t>
      </w:r>
      <w:r w:rsidRPr="00097C4C" w:rsidR="0096553B">
        <w:rPr>
          <w:rFonts w:ascii="Palatino Linotype" w:hAnsi="Palatino Linotype"/>
        </w:rPr>
        <w:t>uthority-</w:t>
      </w:r>
      <w:r w:rsidRPr="00097C4C" w:rsidR="00E8291A">
        <w:rPr>
          <w:rFonts w:ascii="Palatino Linotype" w:hAnsi="Palatino Linotype"/>
        </w:rPr>
        <w:t>H</w:t>
      </w:r>
      <w:r w:rsidRPr="00097C4C" w:rsidR="0096553B">
        <w:rPr>
          <w:rFonts w:ascii="Palatino Linotype" w:hAnsi="Palatino Linotype"/>
        </w:rPr>
        <w:t xml:space="preserve">aving </w:t>
      </w:r>
      <w:r w:rsidRPr="00097C4C" w:rsidR="00E8291A">
        <w:rPr>
          <w:rFonts w:ascii="Palatino Linotype" w:hAnsi="Palatino Linotype"/>
        </w:rPr>
        <w:t>J</w:t>
      </w:r>
      <w:r w:rsidRPr="00097C4C" w:rsidR="0096553B">
        <w:rPr>
          <w:rFonts w:ascii="Palatino Linotype" w:hAnsi="Palatino Linotype"/>
        </w:rPr>
        <w:t xml:space="preserve">urisdictions </w:t>
      </w:r>
      <w:r w:rsidRPr="00097C4C" w:rsidR="006C543E">
        <w:rPr>
          <w:rFonts w:ascii="Palatino Linotype" w:hAnsi="Palatino Linotype"/>
        </w:rPr>
        <w:t>(AHJ)</w:t>
      </w:r>
      <w:r w:rsidRPr="00097C4C" w:rsidR="00EF59AB">
        <w:rPr>
          <w:rStyle w:val="FootnoteReference"/>
          <w:rFonts w:ascii="Palatino Linotype" w:hAnsi="Palatino Linotype"/>
        </w:rPr>
        <w:footnoteReference w:id="27"/>
      </w:r>
      <w:r w:rsidRPr="00097C4C" w:rsidR="006C543E">
        <w:rPr>
          <w:rFonts w:ascii="Palatino Linotype" w:hAnsi="Palatino Linotype"/>
        </w:rPr>
        <w:t xml:space="preserve"> </w:t>
      </w:r>
      <w:r w:rsidRPr="00097C4C" w:rsidR="0096553B">
        <w:rPr>
          <w:rFonts w:ascii="Palatino Linotype" w:hAnsi="Palatino Linotype"/>
        </w:rPr>
        <w:t xml:space="preserve">and will be compliant with </w:t>
      </w:r>
      <w:r w:rsidRPr="00097C4C" w:rsidR="006C543E">
        <w:rPr>
          <w:rFonts w:ascii="Palatino Linotype" w:hAnsi="Palatino Linotype"/>
        </w:rPr>
        <w:t>AHJ</w:t>
      </w:r>
      <w:r w:rsidRPr="00097C4C" w:rsidR="0096553B">
        <w:rPr>
          <w:rFonts w:ascii="Palatino Linotype" w:hAnsi="Palatino Linotype"/>
        </w:rPr>
        <w:t xml:space="preserve"> codes that address </w:t>
      </w:r>
      <w:r w:rsidRPr="00097C4C" w:rsidR="006C543E">
        <w:rPr>
          <w:rFonts w:ascii="Palatino Linotype" w:hAnsi="Palatino Linotype"/>
        </w:rPr>
        <w:t>safety requirements.</w:t>
      </w:r>
      <w:r w:rsidRPr="00097C4C" w:rsidR="044264D7">
        <w:rPr>
          <w:rFonts w:ascii="Palatino Linotype" w:hAnsi="Palatino Linotype"/>
        </w:rPr>
        <w:t xml:space="preserve"> </w:t>
      </w:r>
    </w:p>
    <w:p w:rsidR="00B86B31" w:rsidP="3BA1B222" w:rsidRDefault="00B86B31" w14:paraId="1A38A324" w14:textId="77777777">
      <w:pPr>
        <w:rPr>
          <w:rFonts w:ascii="Palatino Linotype" w:hAnsi="Palatino Linotype"/>
        </w:rPr>
      </w:pPr>
    </w:p>
    <w:p w:rsidRPr="00097C4C" w:rsidR="0096553B" w:rsidP="3BA1B222" w:rsidRDefault="044264D7" w14:paraId="712DFB06" w14:textId="4062DE25">
      <w:pPr>
        <w:rPr>
          <w:rFonts w:ascii="Palatino Linotype" w:hAnsi="Palatino Linotype"/>
        </w:rPr>
      </w:pPr>
      <w:r w:rsidRPr="00097C4C">
        <w:rPr>
          <w:rFonts w:ascii="Palatino Linotype" w:hAnsi="Palatino Linotype"/>
        </w:rPr>
        <w:t xml:space="preserve">Again, we note that the IE determined that </w:t>
      </w:r>
      <w:r w:rsidRPr="00097C4C" w:rsidR="00166B34">
        <w:rPr>
          <w:rFonts w:ascii="Palatino Linotype" w:hAnsi="Palatino Linotype"/>
        </w:rPr>
        <w:t>SC</w:t>
      </w:r>
      <w:r w:rsidRPr="00097C4C">
        <w:rPr>
          <w:rFonts w:ascii="Palatino Linotype" w:hAnsi="Palatino Linotype"/>
        </w:rPr>
        <w:t xml:space="preserve">E’s procurement process was reasonable and </w:t>
      </w:r>
      <w:proofErr w:type="gramStart"/>
      <w:r w:rsidRPr="00097C4C">
        <w:rPr>
          <w:rFonts w:ascii="Palatino Linotype" w:hAnsi="Palatino Linotype"/>
        </w:rPr>
        <w:t>appropriate</w:t>
      </w:r>
      <w:proofErr w:type="gramEnd"/>
      <w:r w:rsidRPr="00097C4C">
        <w:rPr>
          <w:rFonts w:ascii="Palatino Linotype" w:hAnsi="Palatino Linotype"/>
        </w:rPr>
        <w:t xml:space="preserve"> and that the IE </w:t>
      </w:r>
      <w:r w:rsidRPr="00097C4C" w:rsidR="7655AFB2">
        <w:rPr>
          <w:rFonts w:ascii="Palatino Linotype" w:hAnsi="Palatino Linotype"/>
        </w:rPr>
        <w:t xml:space="preserve">found each of the contracts for which </w:t>
      </w:r>
      <w:r w:rsidRPr="00097C4C" w:rsidR="00166B34">
        <w:rPr>
          <w:rFonts w:ascii="Palatino Linotype" w:hAnsi="Palatino Linotype"/>
        </w:rPr>
        <w:t>SC</w:t>
      </w:r>
      <w:r w:rsidRPr="00097C4C" w:rsidR="7655AFB2">
        <w:rPr>
          <w:rFonts w:ascii="Palatino Linotype" w:hAnsi="Palatino Linotype"/>
        </w:rPr>
        <w:t>E seeks approval to be reasonable</w:t>
      </w:r>
      <w:r w:rsidRPr="00097C4C">
        <w:rPr>
          <w:rFonts w:ascii="Palatino Linotype" w:hAnsi="Palatino Linotype"/>
        </w:rPr>
        <w:t>.</w:t>
      </w:r>
      <w:r w:rsidRPr="00097C4C" w:rsidR="3A5D1EAB">
        <w:rPr>
          <w:rFonts w:ascii="Palatino Linotype" w:hAnsi="Palatino Linotype"/>
        </w:rPr>
        <w:t xml:space="preserve"> </w:t>
      </w:r>
      <w:r w:rsidRPr="00097C4C" w:rsidR="3AC3C7E5">
        <w:rPr>
          <w:rFonts w:ascii="Palatino Linotype" w:hAnsi="Palatino Linotype"/>
        </w:rPr>
        <w:t>Based on our review, w</w:t>
      </w:r>
      <w:r w:rsidRPr="00097C4C" w:rsidR="3A5D1EAB">
        <w:rPr>
          <w:rFonts w:ascii="Palatino Linotype" w:hAnsi="Palatino Linotype"/>
        </w:rPr>
        <w:t xml:space="preserve">e find that the solicitation process and agreements described in Advice Letter </w:t>
      </w:r>
      <w:r w:rsidRPr="00097C4C" w:rsidR="00166B34">
        <w:rPr>
          <w:rFonts w:ascii="Palatino Linotype" w:hAnsi="Palatino Linotype"/>
        </w:rPr>
        <w:t>4373</w:t>
      </w:r>
      <w:r w:rsidRPr="00097C4C" w:rsidR="3A5D1EAB">
        <w:rPr>
          <w:rFonts w:ascii="Palatino Linotype" w:hAnsi="Palatino Linotype"/>
        </w:rPr>
        <w:t xml:space="preserve">-E comply </w:t>
      </w:r>
      <w:r w:rsidRPr="00097C4C" w:rsidR="00F03BFE">
        <w:rPr>
          <w:rFonts w:ascii="Palatino Linotype" w:hAnsi="Palatino Linotype"/>
        </w:rPr>
        <w:t xml:space="preserve">overall </w:t>
      </w:r>
      <w:r w:rsidRPr="00097C4C" w:rsidR="3A5D1EAB">
        <w:rPr>
          <w:rFonts w:ascii="Palatino Linotype" w:hAnsi="Palatino Linotype"/>
        </w:rPr>
        <w:t>with the requirements of D.19-11-016</w:t>
      </w:r>
      <w:r w:rsidRPr="00097C4C" w:rsidR="00F03BFE">
        <w:rPr>
          <w:rFonts w:ascii="Palatino Linotype" w:hAnsi="Palatino Linotype"/>
        </w:rPr>
        <w:t xml:space="preserve"> </w:t>
      </w:r>
      <w:r w:rsidRPr="00097C4C" w:rsidR="00166B34">
        <w:rPr>
          <w:rFonts w:ascii="Palatino Linotype" w:hAnsi="Palatino Linotype"/>
        </w:rPr>
        <w:t>overall.</w:t>
      </w:r>
    </w:p>
    <w:p w:rsidRPr="003C30EA" w:rsidR="00CF17DE" w:rsidRDefault="00CF17DE" w14:paraId="40E7C61D" w14:textId="77777777">
      <w:pPr>
        <w:rPr>
          <w:highlight w:val="cyan"/>
        </w:rPr>
      </w:pPr>
    </w:p>
    <w:p w:rsidRPr="0030765D" w:rsidR="0024459D" w:rsidP="00C1126C" w:rsidRDefault="00CF17DE" w14:paraId="39BFF509" w14:textId="2A7723CD">
      <w:pPr>
        <w:pStyle w:val="Heading1"/>
      </w:pPr>
      <w:r w:rsidRPr="0030765D">
        <w:lastRenderedPageBreak/>
        <w:t>Comments</w:t>
      </w:r>
    </w:p>
    <w:p w:rsidRPr="00097C4C" w:rsidR="0024459D" w:rsidP="0024459D" w:rsidRDefault="0024459D" w14:paraId="61C6517C" w14:textId="33FFDC3A">
      <w:pPr>
        <w:rPr>
          <w:rFonts w:ascii="Palatino Linotype" w:hAnsi="Palatino Linotype"/>
        </w:rPr>
      </w:pPr>
      <w:r w:rsidRPr="00097C4C">
        <w:rPr>
          <w:rFonts w:ascii="Palatino Linotype" w:hAnsi="Palatino Linotype"/>
        </w:rPr>
        <w:t xml:space="preserve">Public Utilities Code section 311(g)(1) provides that this resolution must be served on all parties and subject to at least 30 days public review.  Section 311(g)(2) provides that this 30-day review period and 20-day comment period may be reduced or waived upon the stipulation of all parties in the proceeding. </w:t>
      </w:r>
    </w:p>
    <w:p w:rsidRPr="00097C4C" w:rsidR="0024459D" w:rsidP="0024459D" w:rsidRDefault="0024459D" w14:paraId="1030F211" w14:textId="77777777">
      <w:pPr>
        <w:rPr>
          <w:rFonts w:ascii="Palatino Linotype" w:hAnsi="Palatino Linotype"/>
        </w:rPr>
      </w:pPr>
    </w:p>
    <w:p w:rsidR="0024459D" w:rsidP="0024459D" w:rsidRDefault="0024459D" w14:paraId="40C33EDB" w14:textId="01A65C22">
      <w:pPr>
        <w:rPr>
          <w:rFonts w:ascii="Palatino Linotype" w:hAnsi="Palatino Linotype"/>
        </w:rPr>
      </w:pPr>
      <w:r w:rsidRPr="00097C4C">
        <w:rPr>
          <w:rFonts w:ascii="Palatino Linotype" w:hAnsi="Palatino Linotype"/>
        </w:rPr>
        <w:t>The 30-day review and 20-day comment period for the draft of this resolution was neither waived nor reduced.  Accordingly, this draft resolution was mailed to parties for comments</w:t>
      </w:r>
      <w:r w:rsidR="00E15716">
        <w:rPr>
          <w:rFonts w:ascii="Palatino Linotype" w:hAnsi="Palatino Linotype"/>
        </w:rPr>
        <w:t xml:space="preserve"> on April 1, 2021.  SCE, Cal Advocates, and CESA submitted comments on the draft resolution on April 21, 2021.  CESA support</w:t>
      </w:r>
      <w:r w:rsidR="00954554">
        <w:rPr>
          <w:rFonts w:ascii="Palatino Linotype" w:hAnsi="Palatino Linotype"/>
        </w:rPr>
        <w:t>ed</w:t>
      </w:r>
      <w:r w:rsidR="00E15716">
        <w:rPr>
          <w:rFonts w:ascii="Palatino Linotype" w:hAnsi="Palatino Linotype"/>
        </w:rPr>
        <w:t xml:space="preserve"> adoption of the draft resolution without delay</w:t>
      </w:r>
      <w:r w:rsidR="00954554">
        <w:rPr>
          <w:rFonts w:ascii="Palatino Linotype" w:hAnsi="Palatino Linotype"/>
        </w:rPr>
        <w:t>.</w:t>
      </w:r>
      <w:r w:rsidR="00E24112">
        <w:rPr>
          <w:rFonts w:ascii="Palatino Linotype" w:hAnsi="Palatino Linotype"/>
        </w:rPr>
        <w:t xml:space="preserve"> </w:t>
      </w:r>
      <w:r w:rsidR="00954554">
        <w:rPr>
          <w:rFonts w:ascii="Palatino Linotype" w:hAnsi="Palatino Linotype"/>
        </w:rPr>
        <w:t xml:space="preserve">SCE expressed agreement with the Draft Resolution’s </w:t>
      </w:r>
      <w:proofErr w:type="spellStart"/>
      <w:r w:rsidR="00954554">
        <w:rPr>
          <w:rFonts w:ascii="Palatino Linotype" w:hAnsi="Palatino Linotype"/>
        </w:rPr>
        <w:t>finings</w:t>
      </w:r>
      <w:proofErr w:type="spellEnd"/>
      <w:r w:rsidR="00954554">
        <w:rPr>
          <w:rFonts w:ascii="Palatino Linotype" w:hAnsi="Palatino Linotype"/>
        </w:rPr>
        <w:t xml:space="preserve"> and </w:t>
      </w:r>
      <w:proofErr w:type="gramStart"/>
      <w:r w:rsidR="00954554">
        <w:rPr>
          <w:rFonts w:ascii="Palatino Linotype" w:hAnsi="Palatino Linotype"/>
        </w:rPr>
        <w:t>conclusions, but</w:t>
      </w:r>
      <w:proofErr w:type="gramEnd"/>
      <w:r w:rsidR="00954554">
        <w:rPr>
          <w:rFonts w:ascii="Palatino Linotype" w:hAnsi="Palatino Linotype"/>
        </w:rPr>
        <w:t xml:space="preserve"> requested correction of Finding 3 and Paragraph 4 to reflect cost recovery from both bundled customers and customers of opt-out LSEs and the total MW of procurement required by August 1, 2022. </w:t>
      </w:r>
      <w:r w:rsidR="00E24112">
        <w:rPr>
          <w:rFonts w:ascii="Palatino Linotype" w:hAnsi="Palatino Linotype"/>
        </w:rPr>
        <w:t xml:space="preserve"> </w:t>
      </w:r>
      <w:r w:rsidR="00954554">
        <w:rPr>
          <w:rFonts w:ascii="Palatino Linotype" w:hAnsi="Palatino Linotype"/>
        </w:rPr>
        <w:t>These edits have been incorporated into the text.</w:t>
      </w:r>
    </w:p>
    <w:p w:rsidR="00E24112" w:rsidP="0024459D" w:rsidRDefault="00E24112" w14:paraId="12162FD0" w14:textId="783506B7">
      <w:pPr>
        <w:rPr>
          <w:rFonts w:ascii="Palatino Linotype" w:hAnsi="Palatino Linotype"/>
        </w:rPr>
      </w:pPr>
    </w:p>
    <w:p w:rsidR="00E24112" w:rsidP="0024459D" w:rsidRDefault="00F34E6E" w14:paraId="254F979D" w14:textId="124F28F2">
      <w:pPr>
        <w:rPr>
          <w:rFonts w:ascii="Palatino Linotype" w:hAnsi="Palatino Linotype"/>
        </w:rPr>
      </w:pPr>
      <w:r>
        <w:rPr>
          <w:rFonts w:ascii="Palatino Linotype" w:hAnsi="Palatino Linotype"/>
        </w:rPr>
        <w:t xml:space="preserve">Cal Advocates raises several issues.  First, </w:t>
      </w:r>
      <w:r w:rsidR="00652991">
        <w:rPr>
          <w:rFonts w:ascii="Palatino Linotype" w:hAnsi="Palatino Linotype"/>
        </w:rPr>
        <w:t xml:space="preserve">they state that the Draft Resolution errs in stating that SCE used the same methodology in evaluating the Fast Track and Standard Track contracts </w:t>
      </w:r>
      <w:proofErr w:type="gramStart"/>
      <w:r w:rsidR="00652991">
        <w:rPr>
          <w:rFonts w:ascii="Palatino Linotype" w:hAnsi="Palatino Linotype"/>
        </w:rPr>
        <w:t>with regard to</w:t>
      </w:r>
      <w:proofErr w:type="gramEnd"/>
      <w:r w:rsidR="00652991">
        <w:rPr>
          <w:rFonts w:ascii="Palatino Linotype" w:hAnsi="Palatino Linotype"/>
        </w:rPr>
        <w:t xml:space="preserve"> treatment of Debt Equivalence</w:t>
      </w:r>
      <w:r w:rsidR="00AB7BC9">
        <w:rPr>
          <w:rFonts w:ascii="Palatino Linotype" w:hAnsi="Palatino Linotype"/>
        </w:rPr>
        <w:t xml:space="preserve"> and that the Debt Equivalence Factor should not have been allowed</w:t>
      </w:r>
      <w:r w:rsidR="00652991">
        <w:rPr>
          <w:rFonts w:ascii="Palatino Linotype" w:hAnsi="Palatino Linotype"/>
        </w:rPr>
        <w:t xml:space="preserve">.  </w:t>
      </w:r>
      <w:r w:rsidR="00AB7BC9">
        <w:rPr>
          <w:rFonts w:ascii="Palatino Linotype" w:hAnsi="Palatino Linotype"/>
        </w:rPr>
        <w:t>While the methodology may not have been identical, the valuation of debt equivalence, including the Factor used was similar and the outcome of our decision</w:t>
      </w:r>
      <w:r w:rsidR="00AC0437">
        <w:rPr>
          <w:rFonts w:ascii="Palatino Linotype" w:hAnsi="Palatino Linotype"/>
        </w:rPr>
        <w:t xml:space="preserve"> to approve the Recurrent Crimson contract</w:t>
      </w:r>
      <w:r w:rsidR="00AB7BC9">
        <w:rPr>
          <w:rFonts w:ascii="Palatino Linotype" w:hAnsi="Palatino Linotype"/>
        </w:rPr>
        <w:t xml:space="preserve"> remains the same.</w:t>
      </w:r>
    </w:p>
    <w:p w:rsidR="00AB7BC9" w:rsidP="0024459D" w:rsidRDefault="00AB7BC9" w14:paraId="11EAE867" w14:textId="7BE26EDD">
      <w:pPr>
        <w:rPr>
          <w:rFonts w:ascii="Palatino Linotype" w:hAnsi="Palatino Linotype"/>
        </w:rPr>
      </w:pPr>
    </w:p>
    <w:p w:rsidRPr="00097C4C" w:rsidR="00AB7BC9" w:rsidP="0024459D" w:rsidRDefault="00AC0437" w14:paraId="3926A626" w14:textId="3758F6D3">
      <w:pPr>
        <w:rPr>
          <w:rFonts w:ascii="Palatino Linotype" w:hAnsi="Palatino Linotype"/>
        </w:rPr>
      </w:pPr>
      <w:r>
        <w:rPr>
          <w:rFonts w:ascii="Palatino Linotype" w:hAnsi="Palatino Linotype"/>
        </w:rPr>
        <w:t>Second, Cal Advocates argues that Draft Resolution errs in its decision to consider the Sunrun contract fully incremental and by failing to include a finding on the material issue of incrementality.  The justification for incrementality has been expanded and a finding has been added to the Draft Resolution in response.</w:t>
      </w:r>
    </w:p>
    <w:p w:rsidRPr="003C30EA" w:rsidR="004559EE" w:rsidP="0024459D" w:rsidRDefault="004559EE" w14:paraId="1A9B7CB2" w14:textId="77777777">
      <w:pPr>
        <w:rPr>
          <w:highlight w:val="cyan"/>
        </w:rPr>
      </w:pPr>
    </w:p>
    <w:p w:rsidRPr="00A11D56" w:rsidR="00CF17DE" w:rsidRDefault="00CF17DE" w14:paraId="07618DBE" w14:textId="77777777">
      <w:pPr>
        <w:pStyle w:val="Heading1"/>
      </w:pPr>
      <w:r w:rsidRPr="00A11D56">
        <w:t>Findings</w:t>
      </w:r>
    </w:p>
    <w:p w:rsidRPr="00097C4C" w:rsidR="76508F2D" w:rsidP="76508F2D" w:rsidRDefault="76508F2D" w14:paraId="129D6147" w14:textId="61E0BD5B">
      <w:pPr>
        <w:spacing w:line="259" w:lineRule="auto"/>
        <w:ind w:hanging="420"/>
        <w:rPr>
          <w:rFonts w:ascii="Palatino Linotype" w:hAnsi="Palatino Linotype" w:eastAsia="Palatino" w:cs="Palatino"/>
          <w:szCs w:val="26"/>
        </w:rPr>
      </w:pPr>
    </w:p>
    <w:p w:rsidRPr="00097C4C" w:rsidR="05A69D60" w:rsidP="3BA1B222" w:rsidRDefault="00A11D56" w14:paraId="0E2945CC" w14:textId="6B113320">
      <w:pPr>
        <w:numPr>
          <w:ilvl w:val="0"/>
          <w:numId w:val="2"/>
        </w:numPr>
        <w:spacing w:line="259" w:lineRule="auto"/>
        <w:ind w:left="420" w:hanging="420"/>
        <w:rPr>
          <w:rFonts w:ascii="Palatino Linotype" w:hAnsi="Palatino Linotype" w:eastAsia="Palatino" w:cs="Palatino"/>
          <w:szCs w:val="26"/>
        </w:rPr>
      </w:pPr>
      <w:r w:rsidRPr="00097C4C">
        <w:rPr>
          <w:rFonts w:ascii="Palatino Linotype" w:hAnsi="Palatino Linotype"/>
        </w:rPr>
        <w:t>Southern California Edison</w:t>
      </w:r>
      <w:r w:rsidRPr="00097C4C" w:rsidR="00FE27E5">
        <w:rPr>
          <w:rFonts w:ascii="Palatino Linotype" w:hAnsi="Palatino Linotype"/>
        </w:rPr>
        <w:t xml:space="preserve"> Company</w:t>
      </w:r>
      <w:r w:rsidRPr="00097C4C" w:rsidR="003E5720">
        <w:rPr>
          <w:rFonts w:ascii="Palatino Linotype" w:hAnsi="Palatino Linotype"/>
        </w:rPr>
        <w:t xml:space="preserve"> provided its independent evaluator report</w:t>
      </w:r>
      <w:r w:rsidRPr="00097C4C" w:rsidR="00E85CB4">
        <w:rPr>
          <w:rFonts w:ascii="Palatino Linotype" w:hAnsi="Palatino Linotype"/>
        </w:rPr>
        <w:t xml:space="preserve"> </w:t>
      </w:r>
      <w:r w:rsidRPr="00097C4C" w:rsidR="003E5720">
        <w:rPr>
          <w:rFonts w:ascii="Palatino Linotype" w:hAnsi="Palatino Linotype"/>
        </w:rPr>
        <w:t>and the quantitative evaluation results of its bid evaluation along with A</w:t>
      </w:r>
      <w:r w:rsidRPr="00097C4C" w:rsidR="00FE27E5">
        <w:rPr>
          <w:rFonts w:ascii="Palatino Linotype" w:hAnsi="Palatino Linotype"/>
        </w:rPr>
        <w:t xml:space="preserve">dvice </w:t>
      </w:r>
      <w:r w:rsidRPr="00097C4C" w:rsidR="003E5720">
        <w:rPr>
          <w:rFonts w:ascii="Palatino Linotype" w:hAnsi="Palatino Linotype"/>
        </w:rPr>
        <w:t>L</w:t>
      </w:r>
      <w:r w:rsidRPr="00097C4C" w:rsidR="00FE27E5">
        <w:rPr>
          <w:rFonts w:ascii="Palatino Linotype" w:hAnsi="Palatino Linotype"/>
        </w:rPr>
        <w:t>etter</w:t>
      </w:r>
      <w:r w:rsidRPr="00097C4C" w:rsidR="003E5720">
        <w:rPr>
          <w:rFonts w:ascii="Palatino Linotype" w:hAnsi="Palatino Linotype"/>
        </w:rPr>
        <w:t xml:space="preserve"> </w:t>
      </w:r>
      <w:r w:rsidRPr="00097C4C">
        <w:rPr>
          <w:rFonts w:ascii="Palatino Linotype" w:hAnsi="Palatino Linotype"/>
        </w:rPr>
        <w:t>4373</w:t>
      </w:r>
      <w:r w:rsidRPr="00097C4C" w:rsidR="003E5720">
        <w:rPr>
          <w:rFonts w:ascii="Palatino Linotype" w:hAnsi="Palatino Linotype"/>
        </w:rPr>
        <w:t xml:space="preserve">-E. </w:t>
      </w:r>
      <w:r w:rsidRPr="00097C4C" w:rsidR="05A69D60">
        <w:rPr>
          <w:rFonts w:ascii="Palatino Linotype" w:hAnsi="Palatino Linotype"/>
        </w:rPr>
        <w:t xml:space="preserve">The information </w:t>
      </w:r>
      <w:r w:rsidRPr="00097C4C">
        <w:rPr>
          <w:rFonts w:ascii="Palatino Linotype" w:hAnsi="Palatino Linotype"/>
        </w:rPr>
        <w:t>Southern California Edison Company</w:t>
      </w:r>
      <w:r w:rsidRPr="00097C4C" w:rsidR="05A69D60">
        <w:rPr>
          <w:rFonts w:ascii="Palatino Linotype" w:hAnsi="Palatino Linotype"/>
        </w:rPr>
        <w:t xml:space="preserve"> </w:t>
      </w:r>
      <w:r w:rsidRPr="00097C4C" w:rsidR="05A69D60">
        <w:rPr>
          <w:rFonts w:ascii="Palatino Linotype" w:hAnsi="Palatino Linotype"/>
        </w:rPr>
        <w:lastRenderedPageBreak/>
        <w:t xml:space="preserve">provided in Advice Letter </w:t>
      </w:r>
      <w:r w:rsidRPr="00097C4C">
        <w:rPr>
          <w:rFonts w:ascii="Palatino Linotype" w:hAnsi="Palatino Linotype"/>
        </w:rPr>
        <w:t>4373</w:t>
      </w:r>
      <w:r w:rsidRPr="00097C4C" w:rsidR="05A69D60">
        <w:rPr>
          <w:rFonts w:ascii="Palatino Linotype" w:hAnsi="Palatino Linotype"/>
        </w:rPr>
        <w:t xml:space="preserve">-E </w:t>
      </w:r>
      <w:r w:rsidRPr="00097C4C" w:rsidR="569CEA5C">
        <w:rPr>
          <w:rFonts w:ascii="Palatino Linotype" w:hAnsi="Palatino Linotype"/>
        </w:rPr>
        <w:t xml:space="preserve">meets the requirement </w:t>
      </w:r>
      <w:r w:rsidRPr="00097C4C" w:rsidR="39A68744">
        <w:rPr>
          <w:rFonts w:ascii="Palatino Linotype" w:hAnsi="Palatino Linotype"/>
        </w:rPr>
        <w:t>of</w:t>
      </w:r>
      <w:r w:rsidRPr="00097C4C" w:rsidR="569CEA5C">
        <w:rPr>
          <w:rFonts w:ascii="Palatino Linotype" w:hAnsi="Palatino Linotype"/>
        </w:rPr>
        <w:t xml:space="preserve"> D.19-11-016 that the investor</w:t>
      </w:r>
      <w:r w:rsidRPr="00097C4C" w:rsidR="2F32BA7D">
        <w:rPr>
          <w:rFonts w:ascii="Palatino Linotype" w:hAnsi="Palatino Linotype"/>
        </w:rPr>
        <w:t>-</w:t>
      </w:r>
      <w:r w:rsidRPr="00097C4C" w:rsidR="569CEA5C">
        <w:rPr>
          <w:rFonts w:ascii="Palatino Linotype" w:hAnsi="Palatino Linotype"/>
        </w:rPr>
        <w:t>owned utilities describe metrics used to compare bids in their solicitations.</w:t>
      </w:r>
      <w:r w:rsidRPr="00097C4C" w:rsidR="005D7BD3">
        <w:rPr>
          <w:rFonts w:ascii="Palatino Linotype" w:hAnsi="Palatino Linotype"/>
        </w:rPr>
        <w:t xml:space="preserve"> Furthermore, this information is sufficiently detailed to enable an assessment of the reasonableness of </w:t>
      </w:r>
      <w:r w:rsidRPr="00097C4C">
        <w:rPr>
          <w:rFonts w:ascii="Palatino Linotype" w:hAnsi="Palatino Linotype"/>
        </w:rPr>
        <w:t>Southern California Edison</w:t>
      </w:r>
      <w:r w:rsidRPr="00097C4C" w:rsidR="005D7BD3">
        <w:rPr>
          <w:rFonts w:ascii="Palatino Linotype" w:hAnsi="Palatino Linotype"/>
        </w:rPr>
        <w:t xml:space="preserve"> Company’s evaluation methodology.</w:t>
      </w:r>
    </w:p>
    <w:p w:rsidRPr="00097C4C" w:rsidR="00DB4687" w:rsidP="00A11D56" w:rsidRDefault="00DB4687" w14:paraId="17E8DFC1" w14:textId="77777777">
      <w:pPr>
        <w:rPr>
          <w:rFonts w:ascii="Palatino Linotype" w:hAnsi="Palatino Linotype" w:eastAsia="Palatino" w:cs="Palatino"/>
          <w:szCs w:val="26"/>
          <w:highlight w:val="cyan"/>
        </w:rPr>
      </w:pPr>
    </w:p>
    <w:p w:rsidRPr="00097C4C" w:rsidR="00DB4687" w:rsidP="00AB7E91" w:rsidRDefault="00DB4687" w14:paraId="39A4148C" w14:textId="356D6EF5">
      <w:pPr>
        <w:numPr>
          <w:ilvl w:val="0"/>
          <w:numId w:val="2"/>
        </w:numPr>
        <w:spacing w:line="259" w:lineRule="auto"/>
        <w:ind w:left="420" w:hanging="420"/>
        <w:rPr>
          <w:rFonts w:ascii="Palatino Linotype" w:hAnsi="Palatino Linotype" w:eastAsia="Palatino" w:cs="Palatino"/>
          <w:szCs w:val="26"/>
        </w:rPr>
      </w:pPr>
      <w:r w:rsidRPr="00097C4C">
        <w:rPr>
          <w:rFonts w:ascii="Palatino Linotype" w:hAnsi="Palatino Linotype" w:eastAsia="Palatino" w:cs="Palatino"/>
          <w:szCs w:val="26"/>
        </w:rPr>
        <w:t xml:space="preserve">The Standard Track Contracts, totaling 590 MW of expected incremental resource adequacy capacity, will count towards satisfying the procurement requirements of Southern California Edison Company and the load serving entities in SCE’s </w:t>
      </w:r>
      <w:r w:rsidR="00E046A9">
        <w:rPr>
          <w:rFonts w:ascii="Palatino Linotype" w:hAnsi="Palatino Linotype" w:eastAsia="Palatino" w:cs="Palatino"/>
          <w:szCs w:val="26"/>
        </w:rPr>
        <w:t>service territory</w:t>
      </w:r>
      <w:r w:rsidRPr="00097C4C">
        <w:rPr>
          <w:rFonts w:ascii="Palatino Linotype" w:hAnsi="Palatino Linotype" w:eastAsia="Palatino" w:cs="Palatino"/>
          <w:szCs w:val="26"/>
        </w:rPr>
        <w:t xml:space="preserve"> that opted out of self-providing their procurement pursuant to Ordering Paragraph 3 of D.19-11-016.</w:t>
      </w:r>
    </w:p>
    <w:p w:rsidRPr="00097C4C" w:rsidR="00DB4687" w:rsidP="00DB4687" w:rsidRDefault="00DB4687" w14:paraId="66B50B36" w14:textId="77777777">
      <w:pPr>
        <w:pStyle w:val="ListParagraph"/>
        <w:rPr>
          <w:rFonts w:ascii="Palatino Linotype" w:hAnsi="Palatino Linotype"/>
        </w:rPr>
      </w:pPr>
    </w:p>
    <w:p w:rsidRPr="00097C4C" w:rsidR="00365FFD" w:rsidP="00AB7E91" w:rsidRDefault="00A1073E" w14:paraId="2A6E650F" w14:textId="66292458">
      <w:pPr>
        <w:numPr>
          <w:ilvl w:val="0"/>
          <w:numId w:val="2"/>
        </w:numPr>
        <w:spacing w:line="259" w:lineRule="auto"/>
        <w:ind w:left="420" w:hanging="420"/>
        <w:rPr>
          <w:rFonts w:ascii="Palatino Linotype" w:hAnsi="Palatino Linotype" w:eastAsia="Palatino" w:cs="Palatino"/>
          <w:szCs w:val="26"/>
        </w:rPr>
      </w:pPr>
      <w:r w:rsidRPr="00097C4C">
        <w:rPr>
          <w:rFonts w:ascii="Palatino Linotype" w:hAnsi="Palatino Linotype"/>
        </w:rPr>
        <w:t xml:space="preserve">It is appropriate for </w:t>
      </w:r>
      <w:r w:rsidRPr="00097C4C" w:rsidR="00A11D56">
        <w:rPr>
          <w:rFonts w:ascii="Palatino Linotype" w:hAnsi="Palatino Linotype"/>
        </w:rPr>
        <w:t>Southern California Edison</w:t>
      </w:r>
      <w:r w:rsidRPr="00097C4C" w:rsidR="000B16A1">
        <w:rPr>
          <w:rFonts w:ascii="Palatino Linotype" w:hAnsi="Palatino Linotype"/>
        </w:rPr>
        <w:t xml:space="preserve"> Company</w:t>
      </w:r>
      <w:r w:rsidRPr="00097C4C">
        <w:rPr>
          <w:rFonts w:ascii="Palatino Linotype" w:hAnsi="Palatino Linotype"/>
        </w:rPr>
        <w:t xml:space="preserve"> to </w:t>
      </w:r>
      <w:r w:rsidRPr="00097C4C" w:rsidR="007D147B">
        <w:rPr>
          <w:rFonts w:ascii="Palatino Linotype" w:hAnsi="Palatino Linotype"/>
        </w:rPr>
        <w:t xml:space="preserve">continue tracking costs </w:t>
      </w:r>
      <w:r w:rsidR="007D147B">
        <w:rPr>
          <w:rFonts w:ascii="Palatino Linotype" w:hAnsi="Palatino Linotype"/>
        </w:rPr>
        <w:t>and benefits associated with procurement undertaken pursuant to D.19-11-</w:t>
      </w:r>
      <w:proofErr w:type="gramStart"/>
      <w:r w:rsidR="007D147B">
        <w:rPr>
          <w:rFonts w:ascii="Palatino Linotype" w:hAnsi="Palatino Linotype"/>
        </w:rPr>
        <w:t>016</w:t>
      </w:r>
      <w:r w:rsidRPr="00097C4C" w:rsidR="007D147B">
        <w:rPr>
          <w:rFonts w:ascii="Palatino Linotype" w:hAnsi="Palatino Linotype"/>
        </w:rPr>
        <w:t xml:space="preserve"> </w:t>
      </w:r>
      <w:r w:rsidRPr="00097C4C">
        <w:rPr>
          <w:rFonts w:ascii="Palatino Linotype" w:hAnsi="Palatino Linotype"/>
        </w:rPr>
        <w:t xml:space="preserve"> –</w:t>
      </w:r>
      <w:proofErr w:type="gramEnd"/>
      <w:r w:rsidRPr="00097C4C">
        <w:rPr>
          <w:rFonts w:ascii="Palatino Linotype" w:hAnsi="Palatino Linotype"/>
        </w:rPr>
        <w:t xml:space="preserve"> including costs associated with the retail customers of </w:t>
      </w:r>
      <w:r w:rsidRPr="00097C4C" w:rsidR="000B16A1">
        <w:rPr>
          <w:rFonts w:ascii="Palatino Linotype" w:hAnsi="Palatino Linotype"/>
        </w:rPr>
        <w:t>load serving entities</w:t>
      </w:r>
      <w:r w:rsidRPr="00097C4C">
        <w:rPr>
          <w:rFonts w:ascii="Palatino Linotype" w:hAnsi="Palatino Linotype"/>
        </w:rPr>
        <w:t xml:space="preserve"> that opted out of their D.19-11-016 requirements – through the </w:t>
      </w:r>
      <w:r w:rsidRPr="00097C4C" w:rsidR="00AB7E91">
        <w:rPr>
          <w:rFonts w:ascii="Palatino Linotype" w:hAnsi="Palatino Linotype"/>
        </w:rPr>
        <w:t xml:space="preserve">System Reliability </w:t>
      </w:r>
      <w:r w:rsidRPr="00097C4C" w:rsidR="00DB4687">
        <w:rPr>
          <w:rFonts w:ascii="Palatino Linotype" w:hAnsi="Palatino Linotype"/>
        </w:rPr>
        <w:t>Procurement</w:t>
      </w:r>
      <w:r w:rsidRPr="00097C4C" w:rsidR="000B16A1">
        <w:rPr>
          <w:rFonts w:ascii="Palatino Linotype" w:hAnsi="Palatino Linotype"/>
        </w:rPr>
        <w:t xml:space="preserve"> Memorandum Account</w:t>
      </w:r>
      <w:r w:rsidRPr="00097C4C">
        <w:rPr>
          <w:rFonts w:ascii="Palatino Linotype" w:hAnsi="Palatino Linotype"/>
        </w:rPr>
        <w:t xml:space="preserve"> on an interim basis</w:t>
      </w:r>
      <w:r w:rsidRPr="00097C4C" w:rsidR="0031776D">
        <w:rPr>
          <w:rFonts w:ascii="Palatino Linotype" w:hAnsi="Palatino Linotype"/>
        </w:rPr>
        <w:t>,</w:t>
      </w:r>
      <w:r w:rsidRPr="00097C4C">
        <w:rPr>
          <w:rFonts w:ascii="Palatino Linotype" w:hAnsi="Palatino Linotype"/>
        </w:rPr>
        <w:t xml:space="preserve"> until we approve a Modified CAM mechanism or other cost recovery mechanism(s). It is also appropriate for </w:t>
      </w:r>
      <w:r w:rsidRPr="00097C4C" w:rsidR="00AB7E91">
        <w:rPr>
          <w:rFonts w:ascii="Palatino Linotype" w:hAnsi="Palatino Linotype"/>
        </w:rPr>
        <w:t>Southern California Edison</w:t>
      </w:r>
      <w:r w:rsidRPr="00097C4C" w:rsidR="000B16A1">
        <w:rPr>
          <w:rFonts w:ascii="Palatino Linotype" w:hAnsi="Palatino Linotype"/>
        </w:rPr>
        <w:t xml:space="preserve"> Company</w:t>
      </w:r>
      <w:r w:rsidRPr="00097C4C">
        <w:rPr>
          <w:rFonts w:ascii="Palatino Linotype" w:hAnsi="Palatino Linotype"/>
        </w:rPr>
        <w:t xml:space="preserve"> to </w:t>
      </w:r>
      <w:r w:rsidRPr="00097C4C" w:rsidR="0044479C">
        <w:rPr>
          <w:rFonts w:ascii="Palatino Linotype" w:hAnsi="Palatino Linotype"/>
        </w:rPr>
        <w:t xml:space="preserve">continue </w:t>
      </w:r>
      <w:r w:rsidRPr="00097C4C">
        <w:rPr>
          <w:rFonts w:ascii="Palatino Linotype" w:hAnsi="Palatino Linotype"/>
        </w:rPr>
        <w:t>recover</w:t>
      </w:r>
      <w:r w:rsidRPr="00097C4C" w:rsidR="0044479C">
        <w:rPr>
          <w:rFonts w:ascii="Palatino Linotype" w:hAnsi="Palatino Linotype"/>
        </w:rPr>
        <w:t>ing</w:t>
      </w:r>
      <w:r w:rsidRPr="00097C4C">
        <w:rPr>
          <w:rFonts w:ascii="Palatino Linotype" w:hAnsi="Palatino Linotype"/>
        </w:rPr>
        <w:t xml:space="preserve"> costs through the </w:t>
      </w:r>
      <w:r w:rsidRPr="00097C4C" w:rsidR="00AB7E91">
        <w:rPr>
          <w:rFonts w:ascii="Palatino Linotype" w:hAnsi="Palatino Linotype"/>
        </w:rPr>
        <w:t xml:space="preserve">through the </w:t>
      </w:r>
      <w:r w:rsidR="00E046A9">
        <w:rPr>
          <w:rFonts w:ascii="Palatino Linotype" w:hAnsi="Palatino Linotype"/>
        </w:rPr>
        <w:t>Energy Resource Recovery Account (</w:t>
      </w:r>
      <w:r w:rsidRPr="00097C4C" w:rsidR="00AB7E91">
        <w:rPr>
          <w:rFonts w:ascii="Palatino Linotype" w:hAnsi="Palatino Linotype"/>
        </w:rPr>
        <w:t>ERRA</w:t>
      </w:r>
      <w:r w:rsidR="00E046A9">
        <w:rPr>
          <w:rFonts w:ascii="Palatino Linotype" w:hAnsi="Palatino Linotype"/>
        </w:rPr>
        <w:t>)</w:t>
      </w:r>
      <w:r w:rsidRPr="00097C4C" w:rsidR="00AB7E91">
        <w:rPr>
          <w:rFonts w:ascii="Palatino Linotype" w:hAnsi="Palatino Linotype"/>
        </w:rPr>
        <w:t xml:space="preserve"> proceeding, subject to the Commission’s review of SCE's prudent administration of the contracts.</w:t>
      </w:r>
    </w:p>
    <w:p w:rsidRPr="00097C4C" w:rsidR="00AB7E91" w:rsidP="00AB7E91" w:rsidRDefault="00AB7E91" w14:paraId="623ECEE1" w14:textId="77777777">
      <w:pPr>
        <w:spacing w:line="259" w:lineRule="auto"/>
        <w:rPr>
          <w:rFonts w:ascii="Palatino Linotype" w:hAnsi="Palatino Linotype" w:eastAsia="Palatino" w:cs="Palatino"/>
          <w:szCs w:val="26"/>
        </w:rPr>
      </w:pPr>
    </w:p>
    <w:p w:rsidRPr="00097C4C" w:rsidR="43C0175D" w:rsidP="76508F2D" w:rsidRDefault="43C0175D" w14:paraId="0D8F9CB6" w14:textId="21232161">
      <w:pPr>
        <w:numPr>
          <w:ilvl w:val="0"/>
          <w:numId w:val="2"/>
        </w:numPr>
        <w:spacing w:line="259" w:lineRule="auto"/>
        <w:ind w:left="420" w:hanging="420"/>
        <w:rPr>
          <w:rFonts w:ascii="Palatino Linotype" w:hAnsi="Palatino Linotype" w:eastAsia="Palatino" w:cs="Palatino"/>
          <w:szCs w:val="26"/>
        </w:rPr>
      </w:pPr>
      <w:r w:rsidRPr="00097C4C">
        <w:rPr>
          <w:rFonts w:ascii="Palatino Linotype" w:hAnsi="Palatino Linotype"/>
        </w:rPr>
        <w:t xml:space="preserve">The solicitation process and agreements described in </w:t>
      </w:r>
      <w:r w:rsidRPr="00097C4C" w:rsidR="04483A3F">
        <w:rPr>
          <w:rFonts w:ascii="Palatino Linotype" w:hAnsi="Palatino Linotype"/>
        </w:rPr>
        <w:t xml:space="preserve">Advice Letter </w:t>
      </w:r>
      <w:r w:rsidRPr="00097C4C" w:rsidR="00AB7E91">
        <w:rPr>
          <w:rFonts w:ascii="Palatino Linotype" w:hAnsi="Palatino Linotype"/>
        </w:rPr>
        <w:t>4373</w:t>
      </w:r>
      <w:r w:rsidRPr="00097C4C" w:rsidR="04483A3F">
        <w:rPr>
          <w:rFonts w:ascii="Palatino Linotype" w:hAnsi="Palatino Linotype"/>
        </w:rPr>
        <w:t>-E compl</w:t>
      </w:r>
      <w:r w:rsidRPr="00097C4C" w:rsidR="0AF6A709">
        <w:rPr>
          <w:rFonts w:ascii="Palatino Linotype" w:hAnsi="Palatino Linotype"/>
        </w:rPr>
        <w:t>y</w:t>
      </w:r>
      <w:r w:rsidRPr="00097C4C" w:rsidR="04483A3F">
        <w:rPr>
          <w:rFonts w:ascii="Palatino Linotype" w:hAnsi="Palatino Linotype"/>
        </w:rPr>
        <w:t xml:space="preserve"> with the requirements of D.19-11-016 overall.</w:t>
      </w:r>
    </w:p>
    <w:p w:rsidRPr="00AB7E91" w:rsidR="00CF17DE" w:rsidP="76508F2D" w:rsidRDefault="00CF17DE" w14:paraId="18C97720" w14:textId="2C7DFFFD"/>
    <w:p w:rsidRPr="00AB7E91" w:rsidR="00CF17DE" w:rsidRDefault="00CF17DE" w14:paraId="03EBB768" w14:textId="77777777">
      <w:pPr>
        <w:pStyle w:val="Heading1"/>
      </w:pPr>
      <w:proofErr w:type="gramStart"/>
      <w:r w:rsidRPr="00AB7E91">
        <w:t>Therefore</w:t>
      </w:r>
      <w:proofErr w:type="gramEnd"/>
      <w:r w:rsidRPr="00AB7E91">
        <w:t xml:space="preserve"> it is ordered that:</w:t>
      </w:r>
    </w:p>
    <w:p w:rsidRPr="00097C4C" w:rsidR="00CF17DE" w:rsidP="76508F2D" w:rsidRDefault="00CF17DE" w14:paraId="04E7CDC7" w14:textId="046AB7C7">
      <w:pPr>
        <w:numPr>
          <w:ilvl w:val="0"/>
          <w:numId w:val="1"/>
        </w:numPr>
        <w:rPr>
          <w:rFonts w:ascii="Palatino Linotype" w:hAnsi="Palatino Linotype"/>
          <w:snapToGrid w:val="0"/>
        </w:rPr>
      </w:pPr>
      <w:r w:rsidRPr="00097C4C">
        <w:rPr>
          <w:rFonts w:ascii="Palatino Linotype" w:hAnsi="Palatino Linotype"/>
          <w:snapToGrid w:val="0"/>
        </w:rPr>
        <w:t xml:space="preserve">The </w:t>
      </w:r>
      <w:r w:rsidRPr="00097C4C" w:rsidR="00AB7E91">
        <w:rPr>
          <w:rFonts w:ascii="Palatino Linotype" w:hAnsi="Palatino Linotype"/>
          <w:snapToGrid w:val="0"/>
        </w:rPr>
        <w:t>five</w:t>
      </w:r>
      <w:r w:rsidRPr="00097C4C" w:rsidR="0CD04254">
        <w:rPr>
          <w:rFonts w:ascii="Palatino Linotype" w:hAnsi="Palatino Linotype"/>
          <w:snapToGrid w:val="0"/>
        </w:rPr>
        <w:t xml:space="preserve"> </w:t>
      </w:r>
      <w:r w:rsidR="007D147B">
        <w:rPr>
          <w:rFonts w:ascii="Palatino Linotype" w:hAnsi="Palatino Linotype"/>
          <w:snapToGrid w:val="0"/>
        </w:rPr>
        <w:t xml:space="preserve">contracts, including three in-front-of-the-meter </w:t>
      </w:r>
      <w:r w:rsidRPr="00097C4C" w:rsidR="02EDB54C">
        <w:rPr>
          <w:rFonts w:ascii="Palatino Linotype" w:hAnsi="Palatino Linotype"/>
          <w:snapToGrid w:val="0"/>
        </w:rPr>
        <w:t>storage</w:t>
      </w:r>
      <w:r w:rsidR="007D147B">
        <w:rPr>
          <w:rFonts w:ascii="Palatino Linotype" w:hAnsi="Palatino Linotype"/>
          <w:snapToGrid w:val="0"/>
        </w:rPr>
        <w:t xml:space="preserve"> projects and two</w:t>
      </w:r>
      <w:r w:rsidRPr="00097C4C" w:rsidR="00AB7E91">
        <w:rPr>
          <w:rFonts w:ascii="Palatino Linotype" w:hAnsi="Palatino Linotype"/>
          <w:snapToGrid w:val="0"/>
        </w:rPr>
        <w:t xml:space="preserve"> behind-the-meter storage-demand response </w:t>
      </w:r>
      <w:r w:rsidRPr="00097C4C" w:rsidR="02EDB54C">
        <w:rPr>
          <w:rFonts w:ascii="Palatino Linotype" w:hAnsi="Palatino Linotype"/>
          <w:snapToGrid w:val="0"/>
        </w:rPr>
        <w:t>projects</w:t>
      </w:r>
      <w:r w:rsidR="007D147B">
        <w:rPr>
          <w:rFonts w:ascii="Palatino Linotype" w:hAnsi="Palatino Linotype"/>
          <w:snapToGrid w:val="0"/>
        </w:rPr>
        <w:t>,</w:t>
      </w:r>
      <w:r w:rsidRPr="00097C4C" w:rsidR="0CD04254">
        <w:rPr>
          <w:rFonts w:ascii="Palatino Linotype" w:hAnsi="Palatino Linotype"/>
          <w:snapToGrid w:val="0"/>
        </w:rPr>
        <w:t xml:space="preserve"> </w:t>
      </w:r>
      <w:r w:rsidRPr="00097C4C" w:rsidR="70D64821">
        <w:rPr>
          <w:rFonts w:ascii="Palatino Linotype" w:hAnsi="Palatino Linotype"/>
          <w:snapToGrid w:val="0"/>
        </w:rPr>
        <w:t xml:space="preserve">resulting from </w:t>
      </w:r>
      <w:r w:rsidRPr="00097C4C" w:rsidR="00AB7E91">
        <w:rPr>
          <w:rFonts w:ascii="Palatino Linotype" w:hAnsi="Palatino Linotype"/>
          <w:snapToGrid w:val="0"/>
        </w:rPr>
        <w:t>Southern California Edison</w:t>
      </w:r>
      <w:r w:rsidRPr="00097C4C" w:rsidR="70D64821">
        <w:rPr>
          <w:rFonts w:ascii="Palatino Linotype" w:hAnsi="Palatino Linotype"/>
          <w:snapToGrid w:val="0"/>
        </w:rPr>
        <w:t xml:space="preserve"> Company’s 2020 System Reliability Request for Offers – </w:t>
      </w:r>
      <w:r w:rsidRPr="00097C4C" w:rsidR="00AB7E91">
        <w:rPr>
          <w:rFonts w:ascii="Palatino Linotype" w:hAnsi="Palatino Linotype"/>
          <w:snapToGrid w:val="0"/>
        </w:rPr>
        <w:t>Standard Track</w:t>
      </w:r>
      <w:r w:rsidRPr="00097C4C" w:rsidR="70D64821">
        <w:rPr>
          <w:rFonts w:ascii="Palatino Linotype" w:hAnsi="Palatino Linotype"/>
          <w:snapToGrid w:val="0"/>
        </w:rPr>
        <w:t xml:space="preserve">, </w:t>
      </w:r>
      <w:r w:rsidRPr="00097C4C">
        <w:rPr>
          <w:rFonts w:ascii="Palatino Linotype" w:hAnsi="Palatino Linotype"/>
          <w:snapToGrid w:val="0"/>
        </w:rPr>
        <w:t xml:space="preserve">as </w:t>
      </w:r>
      <w:r w:rsidRPr="00097C4C" w:rsidR="288351CD">
        <w:rPr>
          <w:rFonts w:ascii="Palatino Linotype" w:hAnsi="Palatino Linotype"/>
          <w:snapToGrid w:val="0"/>
        </w:rPr>
        <w:t xml:space="preserve">described </w:t>
      </w:r>
      <w:r w:rsidRPr="00097C4C">
        <w:rPr>
          <w:rFonts w:ascii="Palatino Linotype" w:hAnsi="Palatino Linotype"/>
          <w:snapToGrid w:val="0"/>
        </w:rPr>
        <w:t xml:space="preserve">in Advice Letter </w:t>
      </w:r>
      <w:r w:rsidRPr="00097C4C" w:rsidR="00AB7E91">
        <w:rPr>
          <w:rFonts w:ascii="Palatino Linotype" w:hAnsi="Palatino Linotype"/>
        </w:rPr>
        <w:t>4373</w:t>
      </w:r>
      <w:r w:rsidRPr="00097C4C" w:rsidR="39620B4B">
        <w:rPr>
          <w:rFonts w:ascii="Palatino Linotype" w:hAnsi="Palatino Linotype"/>
        </w:rPr>
        <w:t>-E,</w:t>
      </w:r>
      <w:r w:rsidRPr="00097C4C">
        <w:rPr>
          <w:rFonts w:ascii="Palatino Linotype" w:hAnsi="Palatino Linotype"/>
        </w:rPr>
        <w:t xml:space="preserve"> </w:t>
      </w:r>
      <w:r w:rsidRPr="00097C4C" w:rsidR="57529EB2">
        <w:rPr>
          <w:rFonts w:ascii="Palatino Linotype" w:hAnsi="Palatino Linotype"/>
        </w:rPr>
        <w:t>are</w:t>
      </w:r>
      <w:r w:rsidRPr="00097C4C">
        <w:rPr>
          <w:rFonts w:ascii="Palatino Linotype" w:hAnsi="Palatino Linotype"/>
          <w:snapToGrid w:val="0"/>
        </w:rPr>
        <w:t xml:space="preserve"> approved</w:t>
      </w:r>
      <w:r w:rsidRPr="00097C4C" w:rsidR="0642094D">
        <w:rPr>
          <w:rFonts w:ascii="Palatino Linotype" w:hAnsi="Palatino Linotype"/>
          <w:snapToGrid w:val="0"/>
        </w:rPr>
        <w:t>.</w:t>
      </w:r>
    </w:p>
    <w:p w:rsidRPr="00097C4C" w:rsidR="00754AE4" w:rsidP="00754AE4" w:rsidRDefault="00754AE4" w14:paraId="1C7A65D5" w14:textId="77777777">
      <w:pPr>
        <w:ind w:left="720"/>
        <w:rPr>
          <w:rFonts w:ascii="Palatino Linotype" w:hAnsi="Palatino Linotype"/>
          <w:snapToGrid w:val="0"/>
        </w:rPr>
      </w:pPr>
    </w:p>
    <w:p w:rsidRPr="00097C4C" w:rsidR="00DB4687" w:rsidP="76508F2D" w:rsidRDefault="00AB7E91" w14:paraId="642E2977" w14:textId="740DE61B">
      <w:pPr>
        <w:numPr>
          <w:ilvl w:val="0"/>
          <w:numId w:val="1"/>
        </w:numPr>
        <w:rPr>
          <w:rFonts w:ascii="Palatino Linotype" w:hAnsi="Palatino Linotype"/>
          <w:snapToGrid w:val="0"/>
        </w:rPr>
      </w:pPr>
      <w:r w:rsidRPr="00097C4C">
        <w:rPr>
          <w:rFonts w:ascii="Palatino Linotype" w:hAnsi="Palatino Linotype"/>
          <w:snapToGrid w:val="0"/>
        </w:rPr>
        <w:lastRenderedPageBreak/>
        <w:t>Southern California Edison</w:t>
      </w:r>
      <w:r w:rsidRPr="00097C4C" w:rsidR="00754AE4">
        <w:rPr>
          <w:rFonts w:ascii="Palatino Linotype" w:hAnsi="Palatino Linotype"/>
          <w:snapToGrid w:val="0"/>
        </w:rPr>
        <w:t xml:space="preserve"> Company is authorized to </w:t>
      </w:r>
      <w:r w:rsidRPr="00097C4C" w:rsidR="007D147B">
        <w:rPr>
          <w:rFonts w:ascii="Palatino Linotype" w:hAnsi="Palatino Linotype"/>
        </w:rPr>
        <w:t xml:space="preserve">continue tracking </w:t>
      </w:r>
      <w:r w:rsidR="007D147B">
        <w:rPr>
          <w:rFonts w:ascii="Palatino Linotype" w:hAnsi="Palatino Linotype"/>
        </w:rPr>
        <w:t xml:space="preserve">all </w:t>
      </w:r>
      <w:r w:rsidRPr="00097C4C" w:rsidR="007D147B">
        <w:rPr>
          <w:rFonts w:ascii="Palatino Linotype" w:hAnsi="Palatino Linotype"/>
        </w:rPr>
        <w:t xml:space="preserve">costs </w:t>
      </w:r>
      <w:r w:rsidR="007D147B">
        <w:rPr>
          <w:rFonts w:ascii="Palatino Linotype" w:hAnsi="Palatino Linotype"/>
        </w:rPr>
        <w:t>and benefits associated with procurement undertaken pursuant to D.19-11-016</w:t>
      </w:r>
      <w:r w:rsidRPr="00097C4C" w:rsidR="007D147B">
        <w:rPr>
          <w:rFonts w:ascii="Palatino Linotype" w:hAnsi="Palatino Linotype"/>
        </w:rPr>
        <w:t xml:space="preserve"> </w:t>
      </w:r>
      <w:r w:rsidRPr="00097C4C" w:rsidR="00754AE4">
        <w:rPr>
          <w:rFonts w:ascii="Palatino Linotype" w:hAnsi="Palatino Linotype"/>
          <w:snapToGrid w:val="0"/>
        </w:rPr>
        <w:t>– including contract payments</w:t>
      </w:r>
      <w:r w:rsidRPr="00097C4C" w:rsidR="00DB4687">
        <w:rPr>
          <w:rFonts w:ascii="Palatino Linotype" w:hAnsi="Palatino Linotype"/>
          <w:snapToGrid w:val="0"/>
        </w:rPr>
        <w:t>, independent evaluator expenses,</w:t>
      </w:r>
      <w:r w:rsidRPr="00097C4C" w:rsidR="00754AE4">
        <w:rPr>
          <w:rFonts w:ascii="Palatino Linotype" w:hAnsi="Palatino Linotype"/>
          <w:snapToGrid w:val="0"/>
        </w:rPr>
        <w:t xml:space="preserve"> and administrative expenses incurred on behalf of load serving entities that opted out of the D.19-11-016 procurement requirements – through the </w:t>
      </w:r>
      <w:r w:rsidRPr="00097C4C">
        <w:rPr>
          <w:rFonts w:ascii="Palatino Linotype" w:hAnsi="Palatino Linotype"/>
        </w:rPr>
        <w:t xml:space="preserve">System Reliability </w:t>
      </w:r>
      <w:r w:rsidRPr="00097C4C" w:rsidR="00DB4687">
        <w:rPr>
          <w:rFonts w:ascii="Palatino Linotype" w:hAnsi="Palatino Linotype"/>
        </w:rPr>
        <w:t>Procurement</w:t>
      </w:r>
      <w:r w:rsidRPr="00097C4C">
        <w:rPr>
          <w:rFonts w:ascii="Palatino Linotype" w:hAnsi="Palatino Linotype"/>
        </w:rPr>
        <w:t xml:space="preserve"> Memorandum Account</w:t>
      </w:r>
      <w:r w:rsidRPr="00097C4C" w:rsidR="00D66101">
        <w:rPr>
          <w:rFonts w:ascii="Palatino Linotype" w:hAnsi="Palatino Linotype"/>
          <w:snapToGrid w:val="0"/>
        </w:rPr>
        <w:t xml:space="preserve">, as proposed in Advice Letter </w:t>
      </w:r>
      <w:r w:rsidRPr="00097C4C">
        <w:rPr>
          <w:rFonts w:ascii="Palatino Linotype" w:hAnsi="Palatino Linotype"/>
          <w:snapToGrid w:val="0"/>
        </w:rPr>
        <w:t>4373</w:t>
      </w:r>
      <w:r w:rsidRPr="00097C4C" w:rsidR="00D66101">
        <w:rPr>
          <w:rFonts w:ascii="Palatino Linotype" w:hAnsi="Palatino Linotype"/>
          <w:snapToGrid w:val="0"/>
        </w:rPr>
        <w:t>-E</w:t>
      </w:r>
      <w:r w:rsidRPr="00097C4C" w:rsidR="00754AE4">
        <w:rPr>
          <w:rFonts w:ascii="Palatino Linotype" w:hAnsi="Palatino Linotype"/>
          <w:snapToGrid w:val="0"/>
        </w:rPr>
        <w:t xml:space="preserve">. </w:t>
      </w:r>
      <w:r w:rsidRPr="00097C4C" w:rsidR="00DB4687">
        <w:rPr>
          <w:rFonts w:ascii="Palatino Linotype" w:hAnsi="Palatino Linotype"/>
          <w:snapToGrid w:val="0"/>
        </w:rPr>
        <w:t xml:space="preserve">Costs and benefits of the Standard Track Contracts may be recorded effective as of the launch of the System Reliability Request for Offers on September 19, 2019. </w:t>
      </w:r>
    </w:p>
    <w:p w:rsidRPr="00097C4C" w:rsidR="00DB4687" w:rsidP="00DB4687" w:rsidRDefault="00DB4687" w14:paraId="59F9A274" w14:textId="77777777">
      <w:pPr>
        <w:pStyle w:val="ListParagraph"/>
        <w:rPr>
          <w:rFonts w:ascii="Palatino Linotype" w:hAnsi="Palatino Linotype"/>
          <w:snapToGrid w:val="0"/>
        </w:rPr>
      </w:pPr>
    </w:p>
    <w:p w:rsidRPr="00097C4C" w:rsidR="00DB4687" w:rsidP="00DB4687" w:rsidRDefault="00754AE4" w14:paraId="3EE605C6" w14:textId="77777777">
      <w:pPr>
        <w:numPr>
          <w:ilvl w:val="0"/>
          <w:numId w:val="1"/>
        </w:numPr>
        <w:rPr>
          <w:rFonts w:ascii="Palatino Linotype" w:hAnsi="Palatino Linotype"/>
          <w:snapToGrid w:val="0"/>
        </w:rPr>
      </w:pPr>
      <w:r w:rsidRPr="00097C4C">
        <w:rPr>
          <w:rFonts w:ascii="Palatino Linotype" w:hAnsi="Palatino Linotype"/>
          <w:snapToGrid w:val="0"/>
        </w:rPr>
        <w:t xml:space="preserve">Eventual recovery of these costs will be determined based on the Commission’s adoption </w:t>
      </w:r>
      <w:r w:rsidRPr="00097C4C" w:rsidR="00DB4687">
        <w:rPr>
          <w:rFonts w:ascii="Palatino Linotype" w:hAnsi="Palatino Linotype"/>
          <w:snapToGrid w:val="0"/>
        </w:rPr>
        <w:t xml:space="preserve">and implementation </w:t>
      </w:r>
      <w:r w:rsidRPr="00097C4C">
        <w:rPr>
          <w:rFonts w:ascii="Palatino Linotype" w:hAnsi="Palatino Linotype"/>
          <w:snapToGrid w:val="0"/>
        </w:rPr>
        <w:t>of a Modified CAM mechanism or other cost recovery mechanism(s).</w:t>
      </w:r>
    </w:p>
    <w:p w:rsidRPr="00097C4C" w:rsidR="00DB4687" w:rsidP="00DB4687" w:rsidRDefault="00DB4687" w14:paraId="19786216" w14:textId="77777777">
      <w:pPr>
        <w:pStyle w:val="ListParagraph"/>
        <w:rPr>
          <w:rFonts w:ascii="Palatino Linotype" w:hAnsi="Palatino Linotype"/>
          <w:snapToGrid w:val="0"/>
        </w:rPr>
      </w:pPr>
    </w:p>
    <w:p w:rsidRPr="001113F2" w:rsidR="00754AE4" w:rsidP="00DB4687" w:rsidRDefault="00DB4687" w14:paraId="5761F27A" w14:textId="53643350">
      <w:pPr>
        <w:numPr>
          <w:ilvl w:val="0"/>
          <w:numId w:val="1"/>
        </w:numPr>
        <w:rPr>
          <w:rFonts w:ascii="Palatino Linotype" w:hAnsi="Palatino Linotype"/>
          <w:snapToGrid w:val="0"/>
        </w:rPr>
      </w:pPr>
      <w:r w:rsidRPr="00097C4C">
        <w:rPr>
          <w:rFonts w:ascii="Palatino Linotype" w:hAnsi="Palatino Linotype"/>
          <w:snapToGrid w:val="0"/>
        </w:rPr>
        <w:t xml:space="preserve">The Standard Track Contracts and </w:t>
      </w:r>
      <w:r w:rsidRPr="00097C4C" w:rsidR="00AB7E91">
        <w:rPr>
          <w:rFonts w:ascii="Palatino Linotype" w:hAnsi="Palatino Linotype"/>
          <w:snapToGrid w:val="0"/>
        </w:rPr>
        <w:t>Southern California Edison Company</w:t>
      </w:r>
      <w:r w:rsidRPr="00097C4C">
        <w:rPr>
          <w:rFonts w:ascii="Palatino Linotype" w:hAnsi="Palatino Linotype"/>
          <w:snapToGrid w:val="0"/>
        </w:rPr>
        <w:t>’s entry into them is reasonable and prudent for all purposes and Southern California Edison</w:t>
      </w:r>
      <w:r w:rsidRPr="00097C4C" w:rsidR="00754AE4">
        <w:rPr>
          <w:rFonts w:ascii="Palatino Linotype" w:hAnsi="Palatino Linotype"/>
          <w:snapToGrid w:val="0"/>
        </w:rPr>
        <w:t xml:space="preserve"> is authorized to recover contract payments and administrative </w:t>
      </w:r>
      <w:proofErr w:type="spellStart"/>
      <w:r w:rsidRPr="00097C4C" w:rsidR="00754AE4">
        <w:rPr>
          <w:rFonts w:ascii="Palatino Linotype" w:hAnsi="Palatino Linotype"/>
          <w:snapToGrid w:val="0"/>
        </w:rPr>
        <w:t>expensesthrough</w:t>
      </w:r>
      <w:proofErr w:type="spellEnd"/>
      <w:r w:rsidRPr="00097C4C" w:rsidR="00754AE4">
        <w:rPr>
          <w:rFonts w:ascii="Palatino Linotype" w:hAnsi="Palatino Linotype"/>
          <w:snapToGrid w:val="0"/>
        </w:rPr>
        <w:t xml:space="preserve"> the </w:t>
      </w:r>
      <w:r w:rsidR="00E046A9">
        <w:rPr>
          <w:rFonts w:ascii="Palatino Linotype" w:hAnsi="Palatino Linotype"/>
        </w:rPr>
        <w:t>Energy Resource Recovery Account (ERRA)</w:t>
      </w:r>
      <w:r w:rsidRPr="00097C4C" w:rsidR="00AB7E91">
        <w:rPr>
          <w:rFonts w:ascii="Palatino Linotype" w:hAnsi="Palatino Linotype"/>
        </w:rPr>
        <w:t xml:space="preserve"> proceeding, subject to the Commission’s review of SCE's prudent administration of the contracts.</w:t>
      </w:r>
    </w:p>
    <w:p w:rsidR="00E72A4B" w:rsidP="001113F2" w:rsidRDefault="00E72A4B" w14:paraId="3B415C25" w14:textId="77777777">
      <w:pPr>
        <w:pStyle w:val="ListParagraph"/>
        <w:rPr>
          <w:rFonts w:ascii="Palatino Linotype" w:hAnsi="Palatino Linotype"/>
          <w:snapToGrid w:val="0"/>
        </w:rPr>
      </w:pPr>
    </w:p>
    <w:p w:rsidRPr="00097C4C" w:rsidR="00E72A4B" w:rsidP="00DB4687" w:rsidRDefault="00E72A4B" w14:paraId="59BCCE40" w14:textId="0EABBC1D">
      <w:pPr>
        <w:numPr>
          <w:ilvl w:val="0"/>
          <w:numId w:val="1"/>
        </w:numPr>
        <w:rPr>
          <w:rFonts w:ascii="Palatino Linotype" w:hAnsi="Palatino Linotype"/>
          <w:snapToGrid w:val="0"/>
        </w:rPr>
      </w:pPr>
      <w:r>
        <w:rPr>
          <w:rFonts w:ascii="Palatino Linotype" w:hAnsi="Palatino Linotype"/>
          <w:snapToGrid w:val="0"/>
        </w:rPr>
        <w:t xml:space="preserve">SCE shall file a Tier 1 Advice letter by August 1, 2023 demonstrating that </w:t>
      </w:r>
      <w:r w:rsidR="00740A77">
        <w:rPr>
          <w:rFonts w:ascii="Palatino Linotype" w:hAnsi="Palatino Linotype" w:cs="TimesNewRoman"/>
          <w:szCs w:val="24"/>
        </w:rPr>
        <w:t>the underlying customers of the Sunrun contract are providing incremental capacity by August 1, 2023 when the resource comes online</w:t>
      </w:r>
    </w:p>
    <w:p w:rsidRPr="00097C4C" w:rsidR="00CF17DE" w:rsidRDefault="00CF17DE" w14:paraId="4BCDF939" w14:textId="77777777">
      <w:pPr>
        <w:tabs>
          <w:tab w:val="left" w:pos="720"/>
          <w:tab w:val="left" w:pos="1296"/>
          <w:tab w:val="left" w:pos="2016"/>
          <w:tab w:val="left" w:pos="2736"/>
          <w:tab w:val="left" w:pos="3456"/>
          <w:tab w:val="left" w:pos="4176"/>
          <w:tab w:val="left" w:pos="5760"/>
        </w:tabs>
        <w:rPr>
          <w:rFonts w:ascii="Palatino Linotype" w:hAnsi="Palatino Linotype"/>
          <w:highlight w:val="cyan"/>
        </w:rPr>
      </w:pPr>
    </w:p>
    <w:p w:rsidR="00461BE0" w:rsidRDefault="00461BE0" w14:paraId="28943E95" w14:textId="77777777">
      <w:pPr>
        <w:rPr>
          <w:rFonts w:ascii="Palatino Linotype" w:hAnsi="Palatino Linotype"/>
        </w:rPr>
      </w:pPr>
      <w:r>
        <w:rPr>
          <w:rFonts w:ascii="Palatino Linotype" w:hAnsi="Palatino Linotype"/>
        </w:rPr>
        <w:br w:type="page"/>
      </w:r>
    </w:p>
    <w:p w:rsidRPr="00097C4C" w:rsidR="00CF17DE" w:rsidRDefault="00CF17DE" w14:paraId="37DEE6CF" w14:textId="307F8EC1">
      <w:pPr>
        <w:tabs>
          <w:tab w:val="left" w:pos="720"/>
          <w:tab w:val="left" w:pos="1296"/>
          <w:tab w:val="left" w:pos="2016"/>
          <w:tab w:val="left" w:pos="2736"/>
          <w:tab w:val="left" w:pos="3456"/>
          <w:tab w:val="left" w:pos="4176"/>
          <w:tab w:val="left" w:pos="5760"/>
        </w:tabs>
        <w:rPr>
          <w:rFonts w:ascii="Palatino Linotype" w:hAnsi="Palatino Linotype"/>
        </w:rPr>
      </w:pPr>
      <w:r w:rsidRPr="00097C4C">
        <w:rPr>
          <w:rFonts w:ascii="Palatino Linotype" w:hAnsi="Palatino Linotype"/>
        </w:rPr>
        <w:lastRenderedPageBreak/>
        <w:t>This Resolution is effective today.</w:t>
      </w:r>
    </w:p>
    <w:p w:rsidRPr="00097C4C" w:rsidR="00CB42C3" w:rsidRDefault="00CB42C3" w14:paraId="7D496AA3" w14:textId="77777777">
      <w:pPr>
        <w:tabs>
          <w:tab w:val="left" w:pos="720"/>
          <w:tab w:val="left" w:pos="1296"/>
          <w:tab w:val="left" w:pos="2016"/>
          <w:tab w:val="left" w:pos="2736"/>
          <w:tab w:val="left" w:pos="3456"/>
          <w:tab w:val="left" w:pos="4176"/>
          <w:tab w:val="left" w:pos="5760"/>
        </w:tabs>
        <w:rPr>
          <w:rFonts w:ascii="Palatino Linotype" w:hAnsi="Palatino Linotype"/>
        </w:rPr>
      </w:pPr>
    </w:p>
    <w:p w:rsidRPr="00097C4C" w:rsidR="00CF17DE" w:rsidRDefault="00CF17DE" w14:paraId="1802926D" w14:textId="5E3BA1D9">
      <w:pPr>
        <w:rPr>
          <w:rFonts w:ascii="Palatino Linotype" w:hAnsi="Palatino Linotype"/>
          <w:highlight w:val="cyan"/>
        </w:rPr>
      </w:pPr>
      <w:r w:rsidRPr="00097C4C">
        <w:rPr>
          <w:rFonts w:ascii="Palatino Linotype" w:hAnsi="Palatino Linotype"/>
          <w:snapToGrid w:val="0"/>
        </w:rPr>
        <w:t xml:space="preserve">I certify that the foregoing resolution was duly introduced, </w:t>
      </w:r>
      <w:proofErr w:type="gramStart"/>
      <w:r w:rsidRPr="00097C4C">
        <w:rPr>
          <w:rFonts w:ascii="Palatino Linotype" w:hAnsi="Palatino Linotype"/>
          <w:snapToGrid w:val="0"/>
        </w:rPr>
        <w:t>passed</w:t>
      </w:r>
      <w:proofErr w:type="gramEnd"/>
      <w:r w:rsidRPr="00097C4C">
        <w:rPr>
          <w:rFonts w:ascii="Palatino Linotype" w:hAnsi="Palatino Linotype"/>
          <w:snapToGrid w:val="0"/>
        </w:rPr>
        <w:t xml:space="preserve"> and adopted at a conference of the Public Utilities Commission of the State of California held on </w:t>
      </w:r>
      <w:r w:rsidRPr="00097C4C" w:rsidR="00AB7E91">
        <w:rPr>
          <w:rFonts w:ascii="Palatino Linotype" w:hAnsi="Palatino Linotype"/>
          <w:snapToGrid w:val="0"/>
        </w:rPr>
        <w:t>May 6</w:t>
      </w:r>
      <w:r w:rsidRPr="00097C4C" w:rsidR="00195917">
        <w:rPr>
          <w:rFonts w:ascii="Palatino Linotype" w:hAnsi="Palatino Linotype"/>
          <w:snapToGrid w:val="0"/>
        </w:rPr>
        <w:t>, 2021</w:t>
      </w:r>
      <w:r w:rsidRPr="00097C4C">
        <w:rPr>
          <w:rFonts w:ascii="Palatino Linotype" w:hAnsi="Palatino Linotype"/>
          <w:snapToGrid w:val="0"/>
        </w:rPr>
        <w:t>; the following Commissioners voting favorably thereon:</w:t>
      </w:r>
    </w:p>
    <w:p w:rsidRPr="00097C4C" w:rsidR="76508F2D" w:rsidP="76508F2D" w:rsidRDefault="76508F2D" w14:paraId="417EF7D7" w14:textId="25556966">
      <w:pPr>
        <w:rPr>
          <w:rFonts w:ascii="Palatino Linotype" w:hAnsi="Palatino Linotype"/>
          <w:highlight w:val="cyan"/>
        </w:rPr>
      </w:pPr>
    </w:p>
    <w:p w:rsidRPr="00097C4C" w:rsidR="00CF17DE" w:rsidRDefault="00CF17DE" w14:paraId="670582A9" w14:textId="77777777">
      <w:pPr>
        <w:tabs>
          <w:tab w:val="left" w:pos="720"/>
          <w:tab w:val="left" w:pos="1152"/>
          <w:tab w:val="left" w:pos="1728"/>
          <w:tab w:val="left" w:pos="3168"/>
          <w:tab w:val="left" w:pos="5040"/>
        </w:tabs>
        <w:ind w:right="144"/>
        <w:rPr>
          <w:rFonts w:ascii="Palatino Linotype" w:hAnsi="Palatino Linotype"/>
          <w:highlight w:val="cyan"/>
        </w:rPr>
      </w:pPr>
    </w:p>
    <w:p w:rsidRPr="00B92283" w:rsidR="00461BE0" w:rsidP="00461BE0" w:rsidRDefault="00CF17DE" w14:paraId="02F9AC86" w14:textId="30ECB7C5">
      <w:pPr>
        <w:tabs>
          <w:tab w:val="left" w:pos="720"/>
          <w:tab w:val="left" w:pos="1152"/>
          <w:tab w:val="left" w:pos="1728"/>
          <w:tab w:val="left" w:pos="3168"/>
          <w:tab w:val="left" w:pos="5040"/>
        </w:tabs>
        <w:ind w:right="144"/>
        <w:jc w:val="both"/>
        <w:rPr>
          <w:rFonts w:ascii="Palatino Linotype" w:hAnsi="Palatino Linotype"/>
          <w:i/>
          <w:iCs/>
          <w:szCs w:val="26"/>
          <w:u w:val="single"/>
        </w:rPr>
      </w:pPr>
      <w:r w:rsidRPr="00097C4C">
        <w:rPr>
          <w:rFonts w:ascii="Palatino Linotype" w:hAnsi="Palatino Linotype"/>
        </w:rPr>
        <w:tab/>
      </w:r>
      <w:r w:rsidRPr="00097C4C">
        <w:rPr>
          <w:rFonts w:ascii="Palatino Linotype" w:hAnsi="Palatino Linotype"/>
        </w:rPr>
        <w:tab/>
      </w:r>
      <w:r w:rsidRPr="00097C4C">
        <w:rPr>
          <w:rFonts w:ascii="Palatino Linotype" w:hAnsi="Palatino Linotype"/>
        </w:rPr>
        <w:tab/>
      </w:r>
      <w:r w:rsidRPr="00097C4C">
        <w:rPr>
          <w:rFonts w:ascii="Palatino Linotype" w:hAnsi="Palatino Linotype"/>
        </w:rPr>
        <w:tab/>
      </w:r>
      <w:r w:rsidRPr="00097C4C">
        <w:rPr>
          <w:rFonts w:ascii="Palatino Linotype" w:hAnsi="Palatino Linotype"/>
        </w:rPr>
        <w:tab/>
      </w:r>
      <w:r w:rsidRPr="00097C4C">
        <w:rPr>
          <w:rFonts w:ascii="Palatino Linotype" w:hAnsi="Palatino Linotype"/>
        </w:rPr>
        <w:tab/>
      </w:r>
      <w:r w:rsidRPr="00B92283" w:rsidR="00461BE0">
        <w:rPr>
          <w:rFonts w:ascii="Palatino Linotype" w:hAnsi="Palatino Linotype"/>
          <w:i/>
          <w:iCs/>
          <w:szCs w:val="26"/>
          <w:u w:val="single"/>
        </w:rPr>
        <w:t>/s/Rachel Peterson</w:t>
      </w:r>
    </w:p>
    <w:p w:rsidRPr="00461BE0" w:rsidR="00461BE0" w:rsidP="00461BE0" w:rsidRDefault="00461BE0" w14:paraId="3F5C4CC6" w14:textId="77777777">
      <w:pPr>
        <w:autoSpaceDE w:val="0"/>
        <w:autoSpaceDN w:val="0"/>
        <w:adjustRightInd w:val="0"/>
        <w:rPr>
          <w:rFonts w:ascii="Palatino Linotype" w:hAnsi="Palatino Linotype" w:eastAsia="Calibri" w:cs="Book Antiqua"/>
          <w:color w:val="000000"/>
          <w:sz w:val="24"/>
          <w:szCs w:val="26"/>
        </w:rPr>
      </w:pP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t>RACHEL PETERSON</w:t>
      </w:r>
    </w:p>
    <w:p w:rsidRPr="00461BE0" w:rsidR="00461BE0" w:rsidP="00461BE0" w:rsidRDefault="00461BE0" w14:paraId="52FA1555" w14:textId="77777777">
      <w:pPr>
        <w:autoSpaceDE w:val="0"/>
        <w:autoSpaceDN w:val="0"/>
        <w:adjustRightInd w:val="0"/>
        <w:rPr>
          <w:rFonts w:ascii="Palatino Linotype" w:hAnsi="Palatino Linotype" w:eastAsia="Calibri" w:cs="Book Antiqua"/>
          <w:color w:val="000000"/>
          <w:sz w:val="24"/>
          <w:szCs w:val="26"/>
        </w:rPr>
      </w:pP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t>Executive Director</w:t>
      </w:r>
    </w:p>
    <w:p w:rsidRPr="00461BE0" w:rsidR="00461BE0" w:rsidP="00461BE0" w:rsidRDefault="00461BE0" w14:paraId="5F1140B5" w14:textId="77777777">
      <w:pPr>
        <w:autoSpaceDE w:val="0"/>
        <w:autoSpaceDN w:val="0"/>
        <w:adjustRightInd w:val="0"/>
        <w:rPr>
          <w:rFonts w:ascii="Palatino Linotype" w:hAnsi="Palatino Linotype" w:eastAsia="Calibri" w:cs="Book Antiqua"/>
          <w:color w:val="000000"/>
          <w:sz w:val="24"/>
          <w:szCs w:val="26"/>
        </w:rPr>
      </w:pP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p>
    <w:p w:rsidRPr="00461BE0" w:rsidR="00461BE0" w:rsidP="00461BE0" w:rsidRDefault="00461BE0" w14:paraId="33EC4FFF" w14:textId="77777777">
      <w:pPr>
        <w:autoSpaceDE w:val="0"/>
        <w:autoSpaceDN w:val="0"/>
        <w:adjustRightInd w:val="0"/>
        <w:ind w:left="5040" w:firstLine="720"/>
        <w:rPr>
          <w:rFonts w:ascii="Palatino Linotype" w:hAnsi="Palatino Linotype" w:eastAsia="Calibri" w:cs="Book Antiqua"/>
          <w:color w:val="000000"/>
          <w:sz w:val="24"/>
          <w:szCs w:val="26"/>
        </w:rPr>
      </w:pPr>
      <w:r w:rsidRPr="00461BE0">
        <w:rPr>
          <w:rFonts w:ascii="Palatino Linotype" w:hAnsi="Palatino Linotype" w:eastAsia="Calibri" w:cs="Book Antiqua"/>
          <w:color w:val="000000"/>
          <w:sz w:val="24"/>
          <w:szCs w:val="26"/>
        </w:rPr>
        <w:t>MARYBEL BATJER</w:t>
      </w:r>
    </w:p>
    <w:p w:rsidRPr="00461BE0" w:rsidR="00461BE0" w:rsidP="00461BE0" w:rsidRDefault="00461BE0" w14:paraId="0BC5C73A" w14:textId="77777777">
      <w:pPr>
        <w:autoSpaceDE w:val="0"/>
        <w:autoSpaceDN w:val="0"/>
        <w:adjustRightInd w:val="0"/>
        <w:rPr>
          <w:rFonts w:ascii="Palatino Linotype" w:hAnsi="Palatino Linotype" w:eastAsia="Calibri" w:cs="Book Antiqua"/>
          <w:color w:val="000000"/>
          <w:sz w:val="24"/>
          <w:szCs w:val="26"/>
        </w:rPr>
      </w:pP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t xml:space="preserve">      </w:t>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t>President</w:t>
      </w:r>
    </w:p>
    <w:p w:rsidRPr="00461BE0" w:rsidR="00461BE0" w:rsidP="00461BE0" w:rsidRDefault="00461BE0" w14:paraId="3D78AA87" w14:textId="77777777">
      <w:pPr>
        <w:autoSpaceDE w:val="0"/>
        <w:autoSpaceDN w:val="0"/>
        <w:adjustRightInd w:val="0"/>
        <w:rPr>
          <w:rFonts w:ascii="Palatino Linotype" w:hAnsi="Palatino Linotype" w:eastAsia="Calibri" w:cs="Book Antiqua"/>
          <w:color w:val="000000"/>
          <w:sz w:val="24"/>
          <w:szCs w:val="26"/>
        </w:rPr>
      </w:pP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t xml:space="preserve">MARTHA GUZMAN ACEVES </w:t>
      </w:r>
    </w:p>
    <w:p w:rsidRPr="00461BE0" w:rsidR="00461BE0" w:rsidP="00461BE0" w:rsidRDefault="00461BE0" w14:paraId="5932C832" w14:textId="77777777">
      <w:pPr>
        <w:autoSpaceDE w:val="0"/>
        <w:autoSpaceDN w:val="0"/>
        <w:adjustRightInd w:val="0"/>
        <w:ind w:left="5760"/>
        <w:rPr>
          <w:rFonts w:ascii="Palatino Linotype" w:hAnsi="Palatino Linotype" w:eastAsia="Calibri" w:cs="Book Antiqua"/>
          <w:color w:val="000000"/>
          <w:sz w:val="24"/>
          <w:szCs w:val="26"/>
        </w:rPr>
      </w:pPr>
      <w:r w:rsidRPr="00461BE0">
        <w:rPr>
          <w:rFonts w:ascii="Palatino Linotype" w:hAnsi="Palatino Linotype" w:eastAsia="Calibri" w:cs="Book Antiqua"/>
          <w:color w:val="000000"/>
          <w:sz w:val="24"/>
          <w:szCs w:val="26"/>
        </w:rPr>
        <w:t>CLIFFORD RECHTSCHAFFEN</w:t>
      </w:r>
    </w:p>
    <w:p w:rsidRPr="00461BE0" w:rsidR="00461BE0" w:rsidP="00461BE0" w:rsidRDefault="00461BE0" w14:paraId="0C370720" w14:textId="77777777">
      <w:pPr>
        <w:autoSpaceDE w:val="0"/>
        <w:autoSpaceDN w:val="0"/>
        <w:adjustRightInd w:val="0"/>
        <w:ind w:left="5760"/>
        <w:rPr>
          <w:rFonts w:ascii="Palatino Linotype" w:hAnsi="Palatino Linotype" w:eastAsia="Calibri" w:cs="Book Antiqua"/>
          <w:color w:val="000000"/>
          <w:sz w:val="24"/>
          <w:szCs w:val="26"/>
        </w:rPr>
      </w:pPr>
      <w:r w:rsidRPr="00461BE0">
        <w:rPr>
          <w:rFonts w:ascii="Palatino Linotype" w:hAnsi="Palatino Linotype" w:eastAsia="Calibri" w:cs="Book Antiqua"/>
          <w:color w:val="000000"/>
          <w:sz w:val="24"/>
          <w:szCs w:val="26"/>
        </w:rPr>
        <w:t>GENEVIEVE SHIROMA</w:t>
      </w:r>
    </w:p>
    <w:p w:rsidRPr="00461BE0" w:rsidR="00461BE0" w:rsidP="00461BE0" w:rsidRDefault="00461BE0" w14:paraId="36190BC0" w14:textId="77777777">
      <w:pPr>
        <w:autoSpaceDE w:val="0"/>
        <w:autoSpaceDN w:val="0"/>
        <w:adjustRightInd w:val="0"/>
        <w:ind w:left="5760"/>
        <w:rPr>
          <w:rFonts w:ascii="Palatino Linotype" w:hAnsi="Palatino Linotype" w:eastAsia="Calibri" w:cs="Book Antiqua"/>
          <w:color w:val="000000"/>
          <w:sz w:val="24"/>
          <w:szCs w:val="26"/>
        </w:rPr>
      </w:pPr>
      <w:r w:rsidRPr="00461BE0">
        <w:rPr>
          <w:rFonts w:ascii="Palatino Linotype" w:hAnsi="Palatino Linotype" w:eastAsia="Calibri" w:cs="Book Antiqua"/>
          <w:color w:val="000000"/>
          <w:sz w:val="24"/>
          <w:szCs w:val="26"/>
        </w:rPr>
        <w:t>DARCIE HOUCK</w:t>
      </w:r>
    </w:p>
    <w:p w:rsidRPr="00461BE0" w:rsidR="00461BE0" w:rsidP="00461BE0" w:rsidRDefault="00461BE0" w14:paraId="79E49645" w14:textId="77777777">
      <w:pPr>
        <w:autoSpaceDE w:val="0"/>
        <w:autoSpaceDN w:val="0"/>
        <w:adjustRightInd w:val="0"/>
        <w:rPr>
          <w:rFonts w:ascii="Palatino Linotype" w:hAnsi="Palatino Linotype" w:eastAsia="Calibri" w:cs="Book Antiqua"/>
          <w:color w:val="000000"/>
          <w:szCs w:val="26"/>
        </w:rPr>
      </w:pP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t xml:space="preserve">       </w:t>
      </w:r>
      <w:r w:rsidRPr="00461BE0">
        <w:rPr>
          <w:rFonts w:ascii="Palatino Linotype" w:hAnsi="Palatino Linotype" w:eastAsia="Calibri" w:cs="Book Antiqua"/>
          <w:color w:val="000000"/>
          <w:sz w:val="24"/>
          <w:szCs w:val="26"/>
        </w:rPr>
        <w:tab/>
      </w:r>
      <w:r w:rsidRPr="00461BE0">
        <w:rPr>
          <w:rFonts w:ascii="Palatino Linotype" w:hAnsi="Palatino Linotype" w:eastAsia="Calibri" w:cs="Book Antiqua"/>
          <w:color w:val="000000"/>
          <w:sz w:val="24"/>
          <w:szCs w:val="26"/>
        </w:rPr>
        <w:tab/>
        <w:t>Commissioners</w:t>
      </w:r>
    </w:p>
    <w:p w:rsidRPr="00461BE0" w:rsidR="00461BE0" w:rsidP="00461BE0" w:rsidRDefault="00461BE0" w14:paraId="5165C6E2" w14:textId="77777777">
      <w:pPr>
        <w:tabs>
          <w:tab w:val="left" w:pos="720"/>
          <w:tab w:val="left" w:pos="1152"/>
          <w:tab w:val="left" w:pos="1728"/>
          <w:tab w:val="left" w:pos="3168"/>
          <w:tab w:val="left" w:pos="5040"/>
        </w:tabs>
        <w:ind w:right="144"/>
        <w:rPr>
          <w:rFonts w:ascii="Palatino Linotype" w:hAnsi="Palatino Linotype"/>
          <w:i/>
        </w:rPr>
      </w:pPr>
    </w:p>
    <w:p w:rsidRPr="001113F2" w:rsidR="00916272" w:rsidP="00461BE0" w:rsidRDefault="001C52E7" w14:paraId="7F3B4733" w14:textId="488BA2A5">
      <w:pPr>
        <w:tabs>
          <w:tab w:val="left" w:pos="720"/>
          <w:tab w:val="left" w:pos="1152"/>
          <w:tab w:val="left" w:pos="1728"/>
          <w:tab w:val="left" w:pos="3168"/>
          <w:tab w:val="left" w:pos="5040"/>
        </w:tabs>
        <w:ind w:right="144"/>
        <w:rPr>
          <w:sz w:val="24"/>
          <w:szCs w:val="24"/>
        </w:rPr>
      </w:pPr>
      <w:r>
        <w:rPr>
          <w:sz w:val="24"/>
          <w:szCs w:val="24"/>
        </w:rPr>
        <w:t xml:space="preserve">    </w:t>
      </w:r>
    </w:p>
    <w:sectPr w:rsidRPr="001113F2" w:rsidR="00916272">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9F43" w14:textId="77777777" w:rsidR="005A6FF7" w:rsidRDefault="005A6FF7">
      <w:r>
        <w:separator/>
      </w:r>
    </w:p>
  </w:endnote>
  <w:endnote w:type="continuationSeparator" w:id="0">
    <w:p w14:paraId="285549AA" w14:textId="77777777" w:rsidR="005A6FF7" w:rsidRDefault="005A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11B" w14:textId="77777777" w:rsidR="00AB7E91" w:rsidRDefault="00AB7E9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6E75B500" w:rsidR="00AB7E91" w:rsidRDefault="00D21E17" w:rsidP="006C77C6">
    <w:pPr>
      <w:pStyle w:val="Footer"/>
      <w:tabs>
        <w:tab w:val="clear" w:pos="4320"/>
        <w:tab w:val="center" w:pos="4680"/>
      </w:tabs>
      <w:jc w:val="left"/>
    </w:pPr>
    <w:r w:rsidRPr="00D21E17">
      <w:rPr>
        <w:rStyle w:val="PageNumber"/>
      </w:rPr>
      <w:t>382943022</w:t>
    </w:r>
    <w:r w:rsidR="006C77C6">
      <w:rPr>
        <w:rStyle w:val="PageNumber"/>
      </w:rPr>
      <w:tab/>
    </w:r>
    <w:r w:rsidR="00AB7E91">
      <w:rPr>
        <w:rStyle w:val="PageNumber"/>
      </w:rPr>
      <w:fldChar w:fldCharType="begin"/>
    </w:r>
    <w:r w:rsidR="00AB7E91">
      <w:rPr>
        <w:rStyle w:val="PageNumber"/>
      </w:rPr>
      <w:instrText xml:space="preserve"> PAGE </w:instrText>
    </w:r>
    <w:r w:rsidR="00AB7E91">
      <w:rPr>
        <w:rStyle w:val="PageNumber"/>
      </w:rPr>
      <w:fldChar w:fldCharType="separate"/>
    </w:r>
    <w:r w:rsidR="00AB7E91">
      <w:rPr>
        <w:rStyle w:val="PageNumber"/>
        <w:noProof/>
      </w:rPr>
      <w:t>1</w:t>
    </w:r>
    <w:r w:rsidR="00AB7E9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07C8" w14:textId="77777777" w:rsidR="005A6FF7" w:rsidRDefault="005A6FF7">
      <w:r>
        <w:separator/>
      </w:r>
    </w:p>
  </w:footnote>
  <w:footnote w:type="continuationSeparator" w:id="0">
    <w:p w14:paraId="19C713B2" w14:textId="77777777" w:rsidR="005A6FF7" w:rsidRDefault="005A6FF7">
      <w:r>
        <w:continuationSeparator/>
      </w:r>
    </w:p>
  </w:footnote>
  <w:footnote w:type="continuationNotice" w:id="1">
    <w:p w14:paraId="375EDA70" w14:textId="77777777" w:rsidR="005A6FF7" w:rsidRDefault="005A6FF7">
      <w:pPr>
        <w:rPr>
          <w:sz w:val="22"/>
        </w:rPr>
      </w:pPr>
    </w:p>
    <w:p w14:paraId="4CEEBAE7" w14:textId="77777777" w:rsidR="005A6FF7" w:rsidRDefault="005A6FF7">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3FD2DA35" w14:textId="17BABF76" w:rsidR="00AB7E91" w:rsidRPr="00F175B7" w:rsidRDefault="00AB7E91" w:rsidP="00F84A3E">
      <w:pPr>
        <w:pStyle w:val="FootnoteText"/>
        <w:numPr>
          <w:ilvl w:val="0"/>
          <w:numId w:val="0"/>
        </w:numPr>
        <w:ind w:left="360" w:hanging="360"/>
        <w:rPr>
          <w:szCs w:val="24"/>
        </w:rPr>
      </w:pPr>
      <w:r w:rsidRPr="00F175B7">
        <w:rPr>
          <w:rStyle w:val="FootnoteReference"/>
          <w:szCs w:val="24"/>
        </w:rPr>
        <w:footnoteRef/>
      </w:r>
      <w:r w:rsidRPr="00F175B7">
        <w:rPr>
          <w:szCs w:val="24"/>
        </w:rPr>
        <w:t xml:space="preserve"> D.19-11-016 at OP 3(</w:t>
      </w:r>
      <w:r>
        <w:rPr>
          <w:szCs w:val="24"/>
        </w:rPr>
        <w:t>o</w:t>
      </w:r>
      <w:r w:rsidRPr="00F175B7">
        <w:rPr>
          <w:szCs w:val="24"/>
        </w:rPr>
        <w:t>).</w:t>
      </w:r>
    </w:p>
  </w:footnote>
  <w:footnote w:id="3">
    <w:p w14:paraId="2A883850" w14:textId="39C54EB9" w:rsidR="00AB7E91" w:rsidRPr="00F175B7" w:rsidRDefault="00AB7E91" w:rsidP="004226F0">
      <w:pPr>
        <w:pStyle w:val="FootnoteText"/>
        <w:numPr>
          <w:ilvl w:val="0"/>
          <w:numId w:val="0"/>
        </w:numPr>
        <w:ind w:left="360" w:hanging="360"/>
        <w:rPr>
          <w:szCs w:val="24"/>
        </w:rPr>
      </w:pPr>
      <w:r w:rsidRPr="00F175B7">
        <w:rPr>
          <w:rStyle w:val="FootnoteReference"/>
          <w:szCs w:val="24"/>
        </w:rPr>
        <w:footnoteRef/>
      </w:r>
      <w:r w:rsidRPr="00F175B7">
        <w:rPr>
          <w:szCs w:val="24"/>
        </w:rPr>
        <w:t xml:space="preserve"> Ibid. at OP 5.</w:t>
      </w:r>
    </w:p>
  </w:footnote>
  <w:footnote w:id="4">
    <w:p w14:paraId="654D23E6" w14:textId="5524F0BF" w:rsidR="00AB7E91" w:rsidRPr="00F175B7" w:rsidRDefault="00AB7E91" w:rsidP="004226F0">
      <w:pPr>
        <w:pStyle w:val="FootnoteText"/>
        <w:numPr>
          <w:ilvl w:val="0"/>
          <w:numId w:val="0"/>
        </w:numPr>
        <w:ind w:left="360" w:hanging="360"/>
        <w:rPr>
          <w:szCs w:val="24"/>
        </w:rPr>
      </w:pPr>
      <w:r w:rsidRPr="00F175B7">
        <w:rPr>
          <w:rStyle w:val="FootnoteReference"/>
          <w:szCs w:val="24"/>
        </w:rPr>
        <w:footnoteRef/>
      </w:r>
      <w:r w:rsidRPr="00F175B7">
        <w:rPr>
          <w:szCs w:val="24"/>
        </w:rPr>
        <w:t xml:space="preserve"> Ibid. at OP 6 and OP 7.</w:t>
      </w:r>
    </w:p>
  </w:footnote>
  <w:footnote w:id="5">
    <w:p w14:paraId="37B6F196" w14:textId="03A2DAC8" w:rsidR="00AB7E91" w:rsidRPr="00F175B7" w:rsidRDefault="00AB7E91" w:rsidP="005F76DD">
      <w:pPr>
        <w:pStyle w:val="FootnoteText"/>
        <w:numPr>
          <w:ilvl w:val="0"/>
          <w:numId w:val="0"/>
        </w:numPr>
        <w:ind w:left="360" w:hanging="360"/>
        <w:rPr>
          <w:szCs w:val="24"/>
        </w:rPr>
      </w:pPr>
      <w:r w:rsidRPr="00F175B7">
        <w:rPr>
          <w:rStyle w:val="FootnoteReference"/>
          <w:szCs w:val="24"/>
        </w:rPr>
        <w:footnoteRef/>
      </w:r>
      <w:r w:rsidRPr="00F175B7">
        <w:rPr>
          <w:szCs w:val="24"/>
        </w:rPr>
        <w:t xml:space="preserve"> Ibid. at OP 9.</w:t>
      </w:r>
    </w:p>
  </w:footnote>
  <w:footnote w:id="6">
    <w:p w14:paraId="0252DD7A" w14:textId="0F596C91" w:rsidR="00AB7E91" w:rsidRDefault="00AB7E91" w:rsidP="002C275B">
      <w:pPr>
        <w:pStyle w:val="FootnoteText"/>
        <w:numPr>
          <w:ilvl w:val="0"/>
          <w:numId w:val="0"/>
        </w:numPr>
        <w:ind w:left="360" w:hanging="360"/>
      </w:pPr>
      <w:r>
        <w:rPr>
          <w:rStyle w:val="FootnoteReference"/>
        </w:rPr>
        <w:footnoteRef/>
      </w:r>
      <w:r>
        <w:t xml:space="preserve"> AL 4373-E at 6-7.</w:t>
      </w:r>
    </w:p>
  </w:footnote>
  <w:footnote w:id="7">
    <w:p w14:paraId="00D82E9E" w14:textId="218062F6" w:rsidR="00AB7E91" w:rsidRPr="00F175B7" w:rsidRDefault="00AB7E91" w:rsidP="00D304CE">
      <w:pPr>
        <w:pStyle w:val="FootnoteText"/>
        <w:numPr>
          <w:ilvl w:val="0"/>
          <w:numId w:val="0"/>
        </w:numPr>
        <w:ind w:left="360" w:hanging="360"/>
        <w:rPr>
          <w:szCs w:val="24"/>
        </w:rPr>
      </w:pPr>
      <w:r w:rsidRPr="00F175B7">
        <w:rPr>
          <w:rStyle w:val="FootnoteReference"/>
          <w:szCs w:val="24"/>
        </w:rPr>
        <w:footnoteRef/>
      </w:r>
      <w:r w:rsidRPr="00F175B7">
        <w:rPr>
          <w:szCs w:val="24"/>
        </w:rPr>
        <w:t xml:space="preserve"> Ibid. at </w:t>
      </w:r>
      <w:r>
        <w:rPr>
          <w:szCs w:val="24"/>
        </w:rPr>
        <w:t>21</w:t>
      </w:r>
      <w:r w:rsidRPr="00F175B7">
        <w:rPr>
          <w:szCs w:val="24"/>
        </w:rPr>
        <w:t>.</w:t>
      </w:r>
    </w:p>
  </w:footnote>
  <w:footnote w:id="8">
    <w:p w14:paraId="6981851A" w14:textId="7073A4DF" w:rsidR="00AB7E91" w:rsidRDefault="00AB7E91" w:rsidP="002C0D8B">
      <w:pPr>
        <w:pStyle w:val="FootnoteText"/>
        <w:numPr>
          <w:ilvl w:val="0"/>
          <w:numId w:val="0"/>
        </w:numPr>
        <w:ind w:left="360" w:hanging="360"/>
      </w:pPr>
      <w:r>
        <w:rPr>
          <w:rStyle w:val="FootnoteReference"/>
        </w:rPr>
        <w:footnoteRef/>
      </w:r>
      <w:r>
        <w:t xml:space="preserve"> Ibid. at 21.</w:t>
      </w:r>
    </w:p>
  </w:footnote>
  <w:footnote w:id="9">
    <w:p w14:paraId="504EC11E" w14:textId="391810DA" w:rsidR="00AB7E91" w:rsidRDefault="00AB7E91" w:rsidP="00D375E9">
      <w:pPr>
        <w:pStyle w:val="FootnoteText"/>
        <w:numPr>
          <w:ilvl w:val="0"/>
          <w:numId w:val="0"/>
        </w:numPr>
        <w:ind w:left="360" w:hanging="360"/>
      </w:pPr>
      <w:r>
        <w:rPr>
          <w:rStyle w:val="FootnoteReference"/>
        </w:rPr>
        <w:footnoteRef/>
      </w:r>
      <w:r>
        <w:t xml:space="preserve"> Ibid. at 7.</w:t>
      </w:r>
    </w:p>
  </w:footnote>
  <w:footnote w:id="10">
    <w:p w14:paraId="526058B4" w14:textId="018C98AF" w:rsidR="00AB7E91" w:rsidRDefault="00AB7E91" w:rsidP="00DC738A">
      <w:pPr>
        <w:pStyle w:val="FootnoteText"/>
        <w:numPr>
          <w:ilvl w:val="0"/>
          <w:numId w:val="0"/>
        </w:numPr>
      </w:pPr>
      <w:r w:rsidRPr="00DC03AF">
        <w:rPr>
          <w:rStyle w:val="FootnoteReference"/>
        </w:rPr>
        <w:footnoteRef/>
      </w:r>
      <w:r w:rsidRPr="00DC03AF">
        <w:t xml:space="preserve"> “DAC” is a designation for Disadvantaged Community. See the discussion below for additional information.</w:t>
      </w:r>
    </w:p>
  </w:footnote>
  <w:footnote w:id="11">
    <w:p w14:paraId="69FC1D02" w14:textId="5CF4899B" w:rsidR="00760B20" w:rsidRDefault="00760B20" w:rsidP="00760B20">
      <w:pPr>
        <w:pStyle w:val="FootnoteText"/>
        <w:numPr>
          <w:ilvl w:val="0"/>
          <w:numId w:val="0"/>
        </w:numPr>
      </w:pPr>
      <w:r>
        <w:rPr>
          <w:rStyle w:val="FootnoteReference"/>
        </w:rPr>
        <w:footnoteRef/>
      </w:r>
      <w:r>
        <w:t xml:space="preserve"> “Applicable customers” include bundled service customers and the customers of</w:t>
      </w:r>
      <w:r w:rsidR="00461BE0">
        <w:t xml:space="preserve"> </w:t>
      </w:r>
      <w:r>
        <w:t>LSEs in SCE’s TAC area who elected not to self-provide their procurement or whowere determined to be deficient in self-providing their own procurement.</w:t>
      </w:r>
    </w:p>
  </w:footnote>
  <w:footnote w:id="12">
    <w:p w14:paraId="5FA560AD" w14:textId="777F5A96" w:rsidR="00AB7E91" w:rsidRDefault="00AB7E91" w:rsidP="00D377DD">
      <w:pPr>
        <w:pStyle w:val="FootnoteText"/>
        <w:numPr>
          <w:ilvl w:val="0"/>
          <w:numId w:val="0"/>
        </w:numPr>
        <w:ind w:left="360" w:hanging="360"/>
      </w:pPr>
      <w:r>
        <w:rPr>
          <w:rStyle w:val="FootnoteReference"/>
        </w:rPr>
        <w:footnoteRef/>
      </w:r>
      <w:r>
        <w:t xml:space="preserve"> AL 4373-E at 28.</w:t>
      </w:r>
    </w:p>
  </w:footnote>
  <w:footnote w:id="13">
    <w:p w14:paraId="6D664038" w14:textId="26189C93" w:rsidR="00AB7E91" w:rsidRDefault="00AB7E91" w:rsidP="008A2573">
      <w:pPr>
        <w:pStyle w:val="FootnoteText"/>
        <w:numPr>
          <w:ilvl w:val="0"/>
          <w:numId w:val="0"/>
        </w:numPr>
        <w:ind w:left="360" w:hanging="360"/>
      </w:pPr>
      <w:r>
        <w:rPr>
          <w:rStyle w:val="FootnoteReference"/>
        </w:rPr>
        <w:footnoteRef/>
      </w:r>
      <w:r>
        <w:t xml:space="preserve"> Ibid. at 29.</w:t>
      </w:r>
    </w:p>
  </w:footnote>
  <w:footnote w:id="14">
    <w:p w14:paraId="3A15EB9B" w14:textId="74EFE769" w:rsidR="00AB7E91" w:rsidRDefault="00AB7E91" w:rsidP="004C54FD">
      <w:pPr>
        <w:pStyle w:val="FootnoteText"/>
        <w:numPr>
          <w:ilvl w:val="0"/>
          <w:numId w:val="0"/>
        </w:numPr>
      </w:pPr>
      <w:r>
        <w:rPr>
          <w:rStyle w:val="FootnoteReference"/>
        </w:rPr>
        <w:footnoteRef/>
      </w:r>
      <w:r>
        <w:t xml:space="preserve"> Ibid. at 29</w:t>
      </w:r>
    </w:p>
  </w:footnote>
  <w:footnote w:id="15">
    <w:p w14:paraId="3A187726" w14:textId="63AFD044" w:rsidR="00AB7E91" w:rsidRDefault="00AB7E91" w:rsidP="0015507B">
      <w:pPr>
        <w:pStyle w:val="FootnoteText"/>
        <w:numPr>
          <w:ilvl w:val="0"/>
          <w:numId w:val="0"/>
        </w:numPr>
        <w:ind w:left="360" w:hanging="360"/>
      </w:pPr>
      <w:r>
        <w:rPr>
          <w:rStyle w:val="FootnoteReference"/>
        </w:rPr>
        <w:footnoteRef/>
      </w:r>
      <w:r>
        <w:t xml:space="preserve"> Cal Advocates Protest at 4.</w:t>
      </w:r>
    </w:p>
  </w:footnote>
  <w:footnote w:id="16">
    <w:p w14:paraId="4E05696C" w14:textId="6E1D66C1" w:rsidR="00AB7E91" w:rsidRDefault="00AB7E91" w:rsidP="00C53841">
      <w:pPr>
        <w:pStyle w:val="FootnoteText"/>
        <w:numPr>
          <w:ilvl w:val="0"/>
          <w:numId w:val="0"/>
        </w:numPr>
        <w:ind w:left="360" w:hanging="360"/>
      </w:pPr>
      <w:r>
        <w:rPr>
          <w:rStyle w:val="FootnoteReference"/>
        </w:rPr>
        <w:footnoteRef/>
      </w:r>
      <w:r>
        <w:t xml:space="preserve"> Ibid. at 4-6.</w:t>
      </w:r>
    </w:p>
  </w:footnote>
  <w:footnote w:id="17">
    <w:p w14:paraId="412DB3C7" w14:textId="29CA8B8C" w:rsidR="00AB7E91" w:rsidRDefault="00AB7E91" w:rsidP="00E21608">
      <w:pPr>
        <w:pStyle w:val="FootnoteText"/>
        <w:numPr>
          <w:ilvl w:val="0"/>
          <w:numId w:val="0"/>
        </w:numPr>
      </w:pPr>
      <w:r>
        <w:rPr>
          <w:rStyle w:val="FootnoteReference"/>
        </w:rPr>
        <w:footnoteRef/>
      </w:r>
      <w:r>
        <w:t xml:space="preserve"> Ibid. at 7-11.</w:t>
      </w:r>
    </w:p>
  </w:footnote>
  <w:footnote w:id="18">
    <w:p w14:paraId="1F4B69E5" w14:textId="7CFF4AB5" w:rsidR="00AB7E91" w:rsidRDefault="00AB7E91" w:rsidP="00A408CC">
      <w:pPr>
        <w:pStyle w:val="FootnoteText"/>
        <w:numPr>
          <w:ilvl w:val="0"/>
          <w:numId w:val="0"/>
        </w:numPr>
      </w:pPr>
      <w:r>
        <w:rPr>
          <w:rStyle w:val="FootnoteReference"/>
        </w:rPr>
        <w:footnoteRef/>
      </w:r>
      <w:r>
        <w:t xml:space="preserve"> Ibid. at 11-13.</w:t>
      </w:r>
    </w:p>
  </w:footnote>
  <w:footnote w:id="19">
    <w:p w14:paraId="60F68AAB" w14:textId="5D914C99" w:rsidR="00AB7E91" w:rsidRDefault="00AB7E91" w:rsidP="001231E3">
      <w:pPr>
        <w:pStyle w:val="FootnoteText"/>
        <w:numPr>
          <w:ilvl w:val="0"/>
          <w:numId w:val="0"/>
        </w:numPr>
        <w:ind w:left="360" w:hanging="360"/>
      </w:pPr>
      <w:r>
        <w:rPr>
          <w:rStyle w:val="FootnoteReference"/>
        </w:rPr>
        <w:footnoteRef/>
      </w:r>
      <w:r>
        <w:t xml:space="preserve"> CESA Response at 2.</w:t>
      </w:r>
    </w:p>
  </w:footnote>
  <w:footnote w:id="20">
    <w:p w14:paraId="1F42B300" w14:textId="0E174070" w:rsidR="00AB7E91" w:rsidRDefault="00AB7E91" w:rsidP="00C90E54">
      <w:pPr>
        <w:pStyle w:val="FootnoteText"/>
        <w:numPr>
          <w:ilvl w:val="0"/>
          <w:numId w:val="0"/>
        </w:numPr>
        <w:ind w:left="360" w:hanging="360"/>
      </w:pPr>
      <w:r>
        <w:rPr>
          <w:rStyle w:val="FootnoteReference"/>
        </w:rPr>
        <w:footnoteRef/>
      </w:r>
      <w:r>
        <w:t xml:space="preserve"> Ibid. at 3. </w:t>
      </w:r>
    </w:p>
  </w:footnote>
  <w:footnote w:id="21">
    <w:p w14:paraId="54BF618E" w14:textId="41505579" w:rsidR="00AB7E91" w:rsidRDefault="00AB7E91" w:rsidP="00C06C08">
      <w:pPr>
        <w:pStyle w:val="FootnoteText"/>
        <w:numPr>
          <w:ilvl w:val="0"/>
          <w:numId w:val="0"/>
        </w:numPr>
        <w:ind w:left="360" w:hanging="360"/>
      </w:pPr>
      <w:r>
        <w:rPr>
          <w:rStyle w:val="FootnoteReference"/>
        </w:rPr>
        <w:footnoteRef/>
      </w:r>
      <w:r>
        <w:t xml:space="preserve"> Ibid. at 4.</w:t>
      </w:r>
    </w:p>
  </w:footnote>
  <w:footnote w:id="22">
    <w:p w14:paraId="723610FF" w14:textId="4ED3A872" w:rsidR="00AB7E91" w:rsidRDefault="00AB7E91" w:rsidP="00D836D1">
      <w:pPr>
        <w:pStyle w:val="FootnoteText"/>
        <w:numPr>
          <w:ilvl w:val="0"/>
          <w:numId w:val="0"/>
        </w:numPr>
        <w:ind w:left="360" w:hanging="360"/>
      </w:pPr>
      <w:r>
        <w:rPr>
          <w:rStyle w:val="FootnoteReference"/>
        </w:rPr>
        <w:footnoteRef/>
      </w:r>
      <w:r>
        <w:t xml:space="preserve"> Ibid. at 4.</w:t>
      </w:r>
    </w:p>
  </w:footnote>
  <w:footnote w:id="23">
    <w:p w14:paraId="6D26D71E" w14:textId="0E208F31" w:rsidR="00AB7E91" w:rsidRDefault="00AB7E91" w:rsidP="00D836D1">
      <w:pPr>
        <w:pStyle w:val="FootnoteText"/>
        <w:numPr>
          <w:ilvl w:val="0"/>
          <w:numId w:val="0"/>
        </w:numPr>
        <w:ind w:left="360" w:hanging="360"/>
      </w:pPr>
      <w:r>
        <w:rPr>
          <w:rStyle w:val="FootnoteReference"/>
        </w:rPr>
        <w:footnoteRef/>
      </w:r>
      <w:r>
        <w:t xml:space="preserve"> Ibid. at 5.</w:t>
      </w:r>
    </w:p>
  </w:footnote>
  <w:footnote w:id="24">
    <w:p w14:paraId="02AF864F" w14:textId="66780BD3" w:rsidR="00AB7E91" w:rsidRDefault="00AB7E91" w:rsidP="005D7BD3">
      <w:pPr>
        <w:pStyle w:val="FootnoteText"/>
        <w:numPr>
          <w:ilvl w:val="0"/>
          <w:numId w:val="0"/>
        </w:numPr>
      </w:pPr>
      <w:r w:rsidRPr="76508F2D">
        <w:rPr>
          <w:rStyle w:val="FootnoteReference"/>
        </w:rPr>
        <w:footnoteRef/>
      </w:r>
      <w:r>
        <w:t xml:space="preserve"> AL 4373-E, Attachment D at 16. </w:t>
      </w:r>
    </w:p>
  </w:footnote>
  <w:footnote w:id="25">
    <w:p w14:paraId="01120833" w14:textId="31132361" w:rsidR="00AB7E91" w:rsidRDefault="00AB7E91" w:rsidP="005A4C31">
      <w:pPr>
        <w:pStyle w:val="FootnoteText"/>
        <w:numPr>
          <w:ilvl w:val="0"/>
          <w:numId w:val="0"/>
        </w:numPr>
      </w:pPr>
      <w:r>
        <w:rPr>
          <w:rStyle w:val="FootnoteReference"/>
        </w:rPr>
        <w:footnoteRef/>
      </w:r>
      <w:r>
        <w:t xml:space="preserve"> Resolution E-5101 at 12.</w:t>
      </w:r>
    </w:p>
  </w:footnote>
  <w:footnote w:id="26">
    <w:p w14:paraId="27C834DF" w14:textId="6B2EFC59" w:rsidR="00AB7E91" w:rsidRDefault="00AB7E91" w:rsidP="005A4C31">
      <w:pPr>
        <w:pStyle w:val="FootnoteText"/>
        <w:numPr>
          <w:ilvl w:val="0"/>
          <w:numId w:val="0"/>
        </w:numPr>
      </w:pPr>
      <w:r>
        <w:rPr>
          <w:rStyle w:val="FootnoteReference"/>
        </w:rPr>
        <w:footnoteRef/>
      </w:r>
      <w:r>
        <w:t xml:space="preserve"> Ibid. at 13.</w:t>
      </w:r>
    </w:p>
  </w:footnote>
  <w:footnote w:id="27">
    <w:p w14:paraId="77F615DC" w14:textId="3133010A" w:rsidR="00AB7E91" w:rsidRDefault="00AB7E91" w:rsidP="00EF59AB">
      <w:pPr>
        <w:pStyle w:val="FootnoteText"/>
        <w:numPr>
          <w:ilvl w:val="0"/>
          <w:numId w:val="0"/>
        </w:numPr>
        <w:ind w:left="360" w:hanging="360"/>
      </w:pPr>
      <w:r>
        <w:rPr>
          <w:rStyle w:val="FootnoteReference"/>
        </w:rPr>
        <w:footnoteRef/>
      </w:r>
      <w:r>
        <w:t xml:space="preserve"> “</w:t>
      </w:r>
      <w:r w:rsidRPr="00EF59AB">
        <w:t>Authority-Having Jurisdictions” are the local authorities responsible for permitting and enforcement of the C</w:t>
      </w:r>
      <w:r>
        <w:t>alifornia</w:t>
      </w:r>
      <w:r w:rsidRPr="00EF59AB">
        <w:t xml:space="preserve"> building, fire, life safety, and electrical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3DD046DA" w:rsidR="00AB7E91" w:rsidRDefault="00AB7E91">
    <w:pPr>
      <w:pStyle w:val="Header"/>
      <w:tabs>
        <w:tab w:val="clear" w:pos="4320"/>
        <w:tab w:val="clear" w:pos="8640"/>
        <w:tab w:val="center" w:pos="4680"/>
        <w:tab w:val="right" w:pos="9180"/>
      </w:tabs>
    </w:pPr>
    <w:r>
      <w:t>Resolution E-5142</w:t>
    </w:r>
    <w:r>
      <w:tab/>
    </w:r>
    <w:r>
      <w:tab/>
      <w:t>May 6, 2021</w:t>
    </w:r>
  </w:p>
  <w:p w14:paraId="279E5C15" w14:textId="68CED682" w:rsidR="00AB7E91" w:rsidRDefault="00AB7E91">
    <w:pPr>
      <w:pStyle w:val="Header"/>
      <w:tabs>
        <w:tab w:val="clear" w:pos="4320"/>
        <w:tab w:val="clear" w:pos="8640"/>
        <w:tab w:val="center" w:pos="4680"/>
        <w:tab w:val="right" w:pos="9180"/>
      </w:tabs>
    </w:pPr>
    <w:r>
      <w:t>Southern California Edison Company AL 4373-E/SB6</w:t>
    </w:r>
  </w:p>
  <w:p w14:paraId="013F4CD4" w14:textId="77777777" w:rsidR="00AB7E91" w:rsidRDefault="00AB7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4CB5660E" w:rsidR="00AB7E91" w:rsidRPr="008E6797" w:rsidRDefault="00461BE0" w:rsidP="00461BE0">
    <w:pPr>
      <w:pStyle w:val="Header"/>
      <w:jc w:val="right"/>
      <w:rPr>
        <w:rFonts w:ascii="Helvetica" w:hAnsi="Helvetica"/>
        <w:sz w:val="28"/>
      </w:rPr>
    </w:pPr>
    <w:r>
      <w:rPr>
        <w:rFonts w:ascii="Helvetica" w:hAnsi="Helvetica"/>
        <w:sz w:val="28"/>
      </w:rPr>
      <w:t>Date of Issuance: May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239F415F"/>
    <w:multiLevelType w:val="hybridMultilevel"/>
    <w:tmpl w:val="DB421376"/>
    <w:lvl w:ilvl="0" w:tplc="33687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FA4523"/>
    <w:multiLevelType w:val="hybridMultilevel"/>
    <w:tmpl w:val="1E2A73AA"/>
    <w:lvl w:ilvl="0" w:tplc="BA90A13C">
      <w:start w:val="1"/>
      <w:numFmt w:val="decimal"/>
      <w:lvlText w:val="%1."/>
      <w:lvlJc w:val="left"/>
      <w:pPr>
        <w:ind w:left="720" w:hanging="360"/>
      </w:pPr>
    </w:lvl>
    <w:lvl w:ilvl="1" w:tplc="213A2106">
      <w:start w:val="1"/>
      <w:numFmt w:val="lowerLetter"/>
      <w:lvlText w:val="%2."/>
      <w:lvlJc w:val="left"/>
      <w:pPr>
        <w:ind w:left="1440" w:hanging="360"/>
      </w:pPr>
    </w:lvl>
    <w:lvl w:ilvl="2" w:tplc="404629DC">
      <w:start w:val="1"/>
      <w:numFmt w:val="lowerRoman"/>
      <w:lvlText w:val="%3."/>
      <w:lvlJc w:val="right"/>
      <w:pPr>
        <w:ind w:left="2160" w:hanging="180"/>
      </w:pPr>
    </w:lvl>
    <w:lvl w:ilvl="3" w:tplc="2BCEFF6A">
      <w:start w:val="1"/>
      <w:numFmt w:val="decimal"/>
      <w:lvlText w:val="%4."/>
      <w:lvlJc w:val="left"/>
      <w:pPr>
        <w:ind w:left="2880" w:hanging="360"/>
      </w:pPr>
    </w:lvl>
    <w:lvl w:ilvl="4" w:tplc="1658AF52">
      <w:start w:val="1"/>
      <w:numFmt w:val="lowerLetter"/>
      <w:lvlText w:val="%5."/>
      <w:lvlJc w:val="left"/>
      <w:pPr>
        <w:ind w:left="3600" w:hanging="360"/>
      </w:pPr>
    </w:lvl>
    <w:lvl w:ilvl="5" w:tplc="66288BBA">
      <w:start w:val="1"/>
      <w:numFmt w:val="lowerRoman"/>
      <w:lvlText w:val="%6."/>
      <w:lvlJc w:val="right"/>
      <w:pPr>
        <w:ind w:left="4320" w:hanging="180"/>
      </w:pPr>
    </w:lvl>
    <w:lvl w:ilvl="6" w:tplc="DC6E0496">
      <w:start w:val="1"/>
      <w:numFmt w:val="decimal"/>
      <w:lvlText w:val="%7."/>
      <w:lvlJc w:val="left"/>
      <w:pPr>
        <w:ind w:left="5040" w:hanging="360"/>
      </w:pPr>
    </w:lvl>
    <w:lvl w:ilvl="7" w:tplc="44643F84">
      <w:start w:val="1"/>
      <w:numFmt w:val="lowerLetter"/>
      <w:lvlText w:val="%8."/>
      <w:lvlJc w:val="left"/>
      <w:pPr>
        <w:ind w:left="5760" w:hanging="360"/>
      </w:pPr>
    </w:lvl>
    <w:lvl w:ilvl="8" w:tplc="1F08CB60">
      <w:start w:val="1"/>
      <w:numFmt w:val="lowerRoman"/>
      <w:lvlText w:val="%9."/>
      <w:lvlJc w:val="right"/>
      <w:pPr>
        <w:ind w:left="6480" w:hanging="180"/>
      </w:pPr>
    </w:lvl>
  </w:abstractNum>
  <w:abstractNum w:abstractNumId="8"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6566334"/>
    <w:multiLevelType w:val="hybridMultilevel"/>
    <w:tmpl w:val="322E98E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1"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773BD"/>
    <w:multiLevelType w:val="hybridMultilevel"/>
    <w:tmpl w:val="F11A078C"/>
    <w:lvl w:ilvl="0" w:tplc="336874F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663F5A"/>
    <w:multiLevelType w:val="hybridMultilevel"/>
    <w:tmpl w:val="2DFEE06C"/>
    <w:lvl w:ilvl="0" w:tplc="2556D28C">
      <w:start w:val="1"/>
      <w:numFmt w:val="decimal"/>
      <w:lvlText w:val="%1."/>
      <w:lvlJc w:val="left"/>
      <w:pPr>
        <w:ind w:left="720" w:hanging="360"/>
      </w:pPr>
    </w:lvl>
    <w:lvl w:ilvl="1" w:tplc="D7A8FB16">
      <w:start w:val="1"/>
      <w:numFmt w:val="lowerLetter"/>
      <w:lvlText w:val="%2."/>
      <w:lvlJc w:val="left"/>
      <w:pPr>
        <w:ind w:left="1440" w:hanging="360"/>
      </w:pPr>
    </w:lvl>
    <w:lvl w:ilvl="2" w:tplc="106A0748">
      <w:start w:val="1"/>
      <w:numFmt w:val="lowerRoman"/>
      <w:lvlText w:val="%3."/>
      <w:lvlJc w:val="right"/>
      <w:pPr>
        <w:ind w:left="2160" w:hanging="180"/>
      </w:pPr>
    </w:lvl>
    <w:lvl w:ilvl="3" w:tplc="8F6C92C0">
      <w:start w:val="1"/>
      <w:numFmt w:val="decimal"/>
      <w:lvlText w:val="%4."/>
      <w:lvlJc w:val="left"/>
      <w:pPr>
        <w:ind w:left="2880" w:hanging="360"/>
      </w:pPr>
    </w:lvl>
    <w:lvl w:ilvl="4" w:tplc="767CFAA0">
      <w:start w:val="1"/>
      <w:numFmt w:val="lowerLetter"/>
      <w:lvlText w:val="%5."/>
      <w:lvlJc w:val="left"/>
      <w:pPr>
        <w:ind w:left="3600" w:hanging="360"/>
      </w:pPr>
    </w:lvl>
    <w:lvl w:ilvl="5" w:tplc="4D726C12">
      <w:start w:val="1"/>
      <w:numFmt w:val="lowerRoman"/>
      <w:lvlText w:val="%6."/>
      <w:lvlJc w:val="right"/>
      <w:pPr>
        <w:ind w:left="4320" w:hanging="180"/>
      </w:pPr>
    </w:lvl>
    <w:lvl w:ilvl="6" w:tplc="485EA1E2">
      <w:start w:val="1"/>
      <w:numFmt w:val="decimal"/>
      <w:lvlText w:val="%7."/>
      <w:lvlJc w:val="left"/>
      <w:pPr>
        <w:ind w:left="5040" w:hanging="360"/>
      </w:pPr>
    </w:lvl>
    <w:lvl w:ilvl="7" w:tplc="C9902074">
      <w:start w:val="1"/>
      <w:numFmt w:val="lowerLetter"/>
      <w:lvlText w:val="%8."/>
      <w:lvlJc w:val="left"/>
      <w:pPr>
        <w:ind w:left="5760" w:hanging="360"/>
      </w:pPr>
    </w:lvl>
    <w:lvl w:ilvl="8" w:tplc="51E8CA0A">
      <w:start w:val="1"/>
      <w:numFmt w:val="lowerRoman"/>
      <w:lvlText w:val="%9."/>
      <w:lvlJc w:val="right"/>
      <w:pPr>
        <w:ind w:left="6480" w:hanging="180"/>
      </w:pPr>
    </w:lvl>
  </w:abstractNum>
  <w:abstractNum w:abstractNumId="16"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1"/>
  </w:num>
  <w:num w:numId="4">
    <w:abstractNumId w:val="8"/>
  </w:num>
  <w:num w:numId="5">
    <w:abstractNumId w:val="4"/>
  </w:num>
  <w:num w:numId="6">
    <w:abstractNumId w:val="10"/>
  </w:num>
  <w:num w:numId="7">
    <w:abstractNumId w:val="2"/>
  </w:num>
  <w:num w:numId="8">
    <w:abstractNumId w:val="6"/>
  </w:num>
  <w:num w:numId="9">
    <w:abstractNumId w:val="14"/>
  </w:num>
  <w:num w:numId="10">
    <w:abstractNumId w:val="16"/>
  </w:num>
  <w:num w:numId="11">
    <w:abstractNumId w:val="3"/>
  </w:num>
  <w:num w:numId="12">
    <w:abstractNumId w:val="11"/>
  </w:num>
  <w:num w:numId="13">
    <w:abstractNumId w:val="0"/>
  </w:num>
  <w:num w:numId="14">
    <w:abstractNumId w:val="13"/>
  </w:num>
  <w:num w:numId="15">
    <w:abstractNumId w:val="5"/>
  </w:num>
  <w:num w:numId="16">
    <w:abstractNumId w:val="12"/>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hideSpellingErrors/>
  <w:hideGrammaticalErrors/>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70"/>
    <w:rsid w:val="00001615"/>
    <w:rsid w:val="000038AF"/>
    <w:rsid w:val="00004FD2"/>
    <w:rsid w:val="00012D45"/>
    <w:rsid w:val="00022A11"/>
    <w:rsid w:val="00024C89"/>
    <w:rsid w:val="00025975"/>
    <w:rsid w:val="000366F7"/>
    <w:rsid w:val="000408F2"/>
    <w:rsid w:val="00055467"/>
    <w:rsid w:val="0006379B"/>
    <w:rsid w:val="0006575A"/>
    <w:rsid w:val="000729DA"/>
    <w:rsid w:val="00081EBD"/>
    <w:rsid w:val="00087334"/>
    <w:rsid w:val="0009296E"/>
    <w:rsid w:val="000930CC"/>
    <w:rsid w:val="0009779C"/>
    <w:rsid w:val="00097C4C"/>
    <w:rsid w:val="000A5916"/>
    <w:rsid w:val="000B16A1"/>
    <w:rsid w:val="000B5D11"/>
    <w:rsid w:val="000C3390"/>
    <w:rsid w:val="000C37A4"/>
    <w:rsid w:val="000C402D"/>
    <w:rsid w:val="000C6FCB"/>
    <w:rsid w:val="000D0B89"/>
    <w:rsid w:val="000D3A75"/>
    <w:rsid w:val="000D6BE5"/>
    <w:rsid w:val="000E1C4C"/>
    <w:rsid w:val="000F1533"/>
    <w:rsid w:val="000F17F1"/>
    <w:rsid w:val="000F2180"/>
    <w:rsid w:val="000F3F97"/>
    <w:rsid w:val="00105748"/>
    <w:rsid w:val="00107803"/>
    <w:rsid w:val="0010785A"/>
    <w:rsid w:val="001113F2"/>
    <w:rsid w:val="00112A22"/>
    <w:rsid w:val="00120E33"/>
    <w:rsid w:val="001231E3"/>
    <w:rsid w:val="00124402"/>
    <w:rsid w:val="00136D25"/>
    <w:rsid w:val="00142FB8"/>
    <w:rsid w:val="00145FB8"/>
    <w:rsid w:val="00154C1C"/>
    <w:rsid w:val="0015507B"/>
    <w:rsid w:val="00156416"/>
    <w:rsid w:val="00165280"/>
    <w:rsid w:val="00166B34"/>
    <w:rsid w:val="00173EF0"/>
    <w:rsid w:val="0018464F"/>
    <w:rsid w:val="00186D7D"/>
    <w:rsid w:val="00193BAC"/>
    <w:rsid w:val="00193E93"/>
    <w:rsid w:val="00194920"/>
    <w:rsid w:val="0019521B"/>
    <w:rsid w:val="00195917"/>
    <w:rsid w:val="001A2CDC"/>
    <w:rsid w:val="001B0085"/>
    <w:rsid w:val="001B08E7"/>
    <w:rsid w:val="001B3A57"/>
    <w:rsid w:val="001C2A17"/>
    <w:rsid w:val="001C3F72"/>
    <w:rsid w:val="001C52E7"/>
    <w:rsid w:val="001D09D2"/>
    <w:rsid w:val="001D5C1E"/>
    <w:rsid w:val="001E15B6"/>
    <w:rsid w:val="001E2D42"/>
    <w:rsid w:val="001E3704"/>
    <w:rsid w:val="001F02EC"/>
    <w:rsid w:val="001F5325"/>
    <w:rsid w:val="0020061F"/>
    <w:rsid w:val="002045D7"/>
    <w:rsid w:val="00230C66"/>
    <w:rsid w:val="0024459D"/>
    <w:rsid w:val="002452FA"/>
    <w:rsid w:val="00245938"/>
    <w:rsid w:val="00251111"/>
    <w:rsid w:val="0025212A"/>
    <w:rsid w:val="00255512"/>
    <w:rsid w:val="002603AB"/>
    <w:rsid w:val="00272D87"/>
    <w:rsid w:val="0027306E"/>
    <w:rsid w:val="00273D4C"/>
    <w:rsid w:val="00280191"/>
    <w:rsid w:val="00282D87"/>
    <w:rsid w:val="00285F80"/>
    <w:rsid w:val="0029049F"/>
    <w:rsid w:val="00295E4A"/>
    <w:rsid w:val="002972F0"/>
    <w:rsid w:val="002A1AE2"/>
    <w:rsid w:val="002A2420"/>
    <w:rsid w:val="002B3A55"/>
    <w:rsid w:val="002C0D8B"/>
    <w:rsid w:val="002C16DE"/>
    <w:rsid w:val="002C275B"/>
    <w:rsid w:val="002D3A39"/>
    <w:rsid w:val="002F0162"/>
    <w:rsid w:val="00300EDC"/>
    <w:rsid w:val="00304A9C"/>
    <w:rsid w:val="0030765D"/>
    <w:rsid w:val="0030DDDC"/>
    <w:rsid w:val="003117E1"/>
    <w:rsid w:val="00312B05"/>
    <w:rsid w:val="0031750E"/>
    <w:rsid w:val="0031776D"/>
    <w:rsid w:val="00342595"/>
    <w:rsid w:val="00343997"/>
    <w:rsid w:val="003518C2"/>
    <w:rsid w:val="00352797"/>
    <w:rsid w:val="00353EAB"/>
    <w:rsid w:val="00355E68"/>
    <w:rsid w:val="00363229"/>
    <w:rsid w:val="00365FFD"/>
    <w:rsid w:val="00366630"/>
    <w:rsid w:val="003730A7"/>
    <w:rsid w:val="00384A1E"/>
    <w:rsid w:val="00394B3A"/>
    <w:rsid w:val="003952C0"/>
    <w:rsid w:val="00395740"/>
    <w:rsid w:val="003A021B"/>
    <w:rsid w:val="003A3F5E"/>
    <w:rsid w:val="003A773C"/>
    <w:rsid w:val="003B1839"/>
    <w:rsid w:val="003B28DC"/>
    <w:rsid w:val="003B2A18"/>
    <w:rsid w:val="003B7910"/>
    <w:rsid w:val="003C0ADF"/>
    <w:rsid w:val="003C30EA"/>
    <w:rsid w:val="003C314D"/>
    <w:rsid w:val="003D5975"/>
    <w:rsid w:val="003E5720"/>
    <w:rsid w:val="003F05E6"/>
    <w:rsid w:val="003F4720"/>
    <w:rsid w:val="003F4C64"/>
    <w:rsid w:val="003F6E5A"/>
    <w:rsid w:val="00400F6B"/>
    <w:rsid w:val="004042F6"/>
    <w:rsid w:val="00410F5C"/>
    <w:rsid w:val="00411D6C"/>
    <w:rsid w:val="00416D54"/>
    <w:rsid w:val="004226F0"/>
    <w:rsid w:val="00422BE4"/>
    <w:rsid w:val="004317E5"/>
    <w:rsid w:val="004319C3"/>
    <w:rsid w:val="00431BF6"/>
    <w:rsid w:val="00437AE3"/>
    <w:rsid w:val="00437EC8"/>
    <w:rsid w:val="0044002B"/>
    <w:rsid w:val="004403B8"/>
    <w:rsid w:val="00440AB7"/>
    <w:rsid w:val="00440F37"/>
    <w:rsid w:val="004425AF"/>
    <w:rsid w:val="0044479C"/>
    <w:rsid w:val="0045051C"/>
    <w:rsid w:val="00454EEC"/>
    <w:rsid w:val="004559EE"/>
    <w:rsid w:val="00456781"/>
    <w:rsid w:val="00461BE0"/>
    <w:rsid w:val="00464DD6"/>
    <w:rsid w:val="00467956"/>
    <w:rsid w:val="00470B9B"/>
    <w:rsid w:val="00481FD9"/>
    <w:rsid w:val="004824E2"/>
    <w:rsid w:val="004905D3"/>
    <w:rsid w:val="004A1A66"/>
    <w:rsid w:val="004B0B64"/>
    <w:rsid w:val="004C3B43"/>
    <w:rsid w:val="004C54FD"/>
    <w:rsid w:val="004C60F5"/>
    <w:rsid w:val="004D27ED"/>
    <w:rsid w:val="004D3212"/>
    <w:rsid w:val="004E7CE5"/>
    <w:rsid w:val="004F1CFA"/>
    <w:rsid w:val="00500C9A"/>
    <w:rsid w:val="0050352C"/>
    <w:rsid w:val="00512571"/>
    <w:rsid w:val="00513BC0"/>
    <w:rsid w:val="005224D1"/>
    <w:rsid w:val="00533DD6"/>
    <w:rsid w:val="00550FB3"/>
    <w:rsid w:val="00560FCF"/>
    <w:rsid w:val="00572A8D"/>
    <w:rsid w:val="0057398B"/>
    <w:rsid w:val="005775B1"/>
    <w:rsid w:val="005805BF"/>
    <w:rsid w:val="00593807"/>
    <w:rsid w:val="00597F16"/>
    <w:rsid w:val="00597F58"/>
    <w:rsid w:val="005A4C31"/>
    <w:rsid w:val="005A6FF7"/>
    <w:rsid w:val="005B3E0A"/>
    <w:rsid w:val="005B5F26"/>
    <w:rsid w:val="005C34AD"/>
    <w:rsid w:val="005C4768"/>
    <w:rsid w:val="005C4E4C"/>
    <w:rsid w:val="005C6433"/>
    <w:rsid w:val="005D73E0"/>
    <w:rsid w:val="005D7BD3"/>
    <w:rsid w:val="005F1942"/>
    <w:rsid w:val="005F32FE"/>
    <w:rsid w:val="005F76DD"/>
    <w:rsid w:val="00603E97"/>
    <w:rsid w:val="00605406"/>
    <w:rsid w:val="00605581"/>
    <w:rsid w:val="00613C9A"/>
    <w:rsid w:val="0061626E"/>
    <w:rsid w:val="00617CD9"/>
    <w:rsid w:val="00623261"/>
    <w:rsid w:val="00625D87"/>
    <w:rsid w:val="00633C3F"/>
    <w:rsid w:val="00635CFD"/>
    <w:rsid w:val="00645869"/>
    <w:rsid w:val="00647A6B"/>
    <w:rsid w:val="00651175"/>
    <w:rsid w:val="00652991"/>
    <w:rsid w:val="006529FB"/>
    <w:rsid w:val="00653D9D"/>
    <w:rsid w:val="0066719B"/>
    <w:rsid w:val="00667218"/>
    <w:rsid w:val="00681227"/>
    <w:rsid w:val="00686732"/>
    <w:rsid w:val="0069165D"/>
    <w:rsid w:val="0069288D"/>
    <w:rsid w:val="0069631C"/>
    <w:rsid w:val="006A3A52"/>
    <w:rsid w:val="006A470F"/>
    <w:rsid w:val="006B05EE"/>
    <w:rsid w:val="006B2CF5"/>
    <w:rsid w:val="006B349B"/>
    <w:rsid w:val="006B3EBF"/>
    <w:rsid w:val="006C0889"/>
    <w:rsid w:val="006C543E"/>
    <w:rsid w:val="006C77C6"/>
    <w:rsid w:val="006C7C15"/>
    <w:rsid w:val="006D0218"/>
    <w:rsid w:val="006D3DE2"/>
    <w:rsid w:val="006D4A91"/>
    <w:rsid w:val="006D7C9D"/>
    <w:rsid w:val="006E544C"/>
    <w:rsid w:val="006F4DAE"/>
    <w:rsid w:val="006F718F"/>
    <w:rsid w:val="00700BE0"/>
    <w:rsid w:val="007036EA"/>
    <w:rsid w:val="00707A86"/>
    <w:rsid w:val="00712553"/>
    <w:rsid w:val="00715220"/>
    <w:rsid w:val="00725B38"/>
    <w:rsid w:val="007319B3"/>
    <w:rsid w:val="00740A77"/>
    <w:rsid w:val="00741138"/>
    <w:rsid w:val="00744087"/>
    <w:rsid w:val="00744ACF"/>
    <w:rsid w:val="00745F2E"/>
    <w:rsid w:val="00752C84"/>
    <w:rsid w:val="00753B60"/>
    <w:rsid w:val="00754AE4"/>
    <w:rsid w:val="00760B20"/>
    <w:rsid w:val="00766D11"/>
    <w:rsid w:val="00775B6A"/>
    <w:rsid w:val="00777BDD"/>
    <w:rsid w:val="00787563"/>
    <w:rsid w:val="007A281A"/>
    <w:rsid w:val="007B0067"/>
    <w:rsid w:val="007C0B93"/>
    <w:rsid w:val="007C1196"/>
    <w:rsid w:val="007C2DE7"/>
    <w:rsid w:val="007C4CF5"/>
    <w:rsid w:val="007D147B"/>
    <w:rsid w:val="007D578F"/>
    <w:rsid w:val="007D67CA"/>
    <w:rsid w:val="007E1CCB"/>
    <w:rsid w:val="007E7F69"/>
    <w:rsid w:val="007F2538"/>
    <w:rsid w:val="0080122C"/>
    <w:rsid w:val="00801334"/>
    <w:rsid w:val="00801D70"/>
    <w:rsid w:val="00817706"/>
    <w:rsid w:val="00822061"/>
    <w:rsid w:val="0082210E"/>
    <w:rsid w:val="008302D8"/>
    <w:rsid w:val="008414CB"/>
    <w:rsid w:val="00843471"/>
    <w:rsid w:val="00843E5B"/>
    <w:rsid w:val="0085375B"/>
    <w:rsid w:val="0086193E"/>
    <w:rsid w:val="008770A9"/>
    <w:rsid w:val="00884963"/>
    <w:rsid w:val="00885646"/>
    <w:rsid w:val="008945BE"/>
    <w:rsid w:val="00897DD6"/>
    <w:rsid w:val="008A0D43"/>
    <w:rsid w:val="008A2573"/>
    <w:rsid w:val="008A5438"/>
    <w:rsid w:val="008BA4D0"/>
    <w:rsid w:val="008C235B"/>
    <w:rsid w:val="008C4A51"/>
    <w:rsid w:val="008D1E2D"/>
    <w:rsid w:val="008D3E0C"/>
    <w:rsid w:val="008D6F10"/>
    <w:rsid w:val="008E4F97"/>
    <w:rsid w:val="008E6797"/>
    <w:rsid w:val="008E6924"/>
    <w:rsid w:val="0090225A"/>
    <w:rsid w:val="0090788D"/>
    <w:rsid w:val="00912588"/>
    <w:rsid w:val="0091292F"/>
    <w:rsid w:val="00916272"/>
    <w:rsid w:val="009209E7"/>
    <w:rsid w:val="00923EFE"/>
    <w:rsid w:val="00930077"/>
    <w:rsid w:val="00934FDE"/>
    <w:rsid w:val="00937601"/>
    <w:rsid w:val="00941DCA"/>
    <w:rsid w:val="00946049"/>
    <w:rsid w:val="009465BB"/>
    <w:rsid w:val="00946E2C"/>
    <w:rsid w:val="00954554"/>
    <w:rsid w:val="0096553B"/>
    <w:rsid w:val="00966821"/>
    <w:rsid w:val="009809B1"/>
    <w:rsid w:val="00980B0B"/>
    <w:rsid w:val="0098278F"/>
    <w:rsid w:val="00983917"/>
    <w:rsid w:val="0098440B"/>
    <w:rsid w:val="00991BC1"/>
    <w:rsid w:val="009A24A8"/>
    <w:rsid w:val="009A50E0"/>
    <w:rsid w:val="009B5CA7"/>
    <w:rsid w:val="009B7152"/>
    <w:rsid w:val="009C3951"/>
    <w:rsid w:val="009C650D"/>
    <w:rsid w:val="009D63EA"/>
    <w:rsid w:val="009D7160"/>
    <w:rsid w:val="009E032E"/>
    <w:rsid w:val="009E0CA5"/>
    <w:rsid w:val="009F0E73"/>
    <w:rsid w:val="009F70BC"/>
    <w:rsid w:val="00A01304"/>
    <w:rsid w:val="00A053C4"/>
    <w:rsid w:val="00A1073E"/>
    <w:rsid w:val="00A11D56"/>
    <w:rsid w:val="00A13189"/>
    <w:rsid w:val="00A1526C"/>
    <w:rsid w:val="00A178D1"/>
    <w:rsid w:val="00A218B6"/>
    <w:rsid w:val="00A32525"/>
    <w:rsid w:val="00A408CC"/>
    <w:rsid w:val="00A451F3"/>
    <w:rsid w:val="00A518A7"/>
    <w:rsid w:val="00A54196"/>
    <w:rsid w:val="00A55126"/>
    <w:rsid w:val="00A60201"/>
    <w:rsid w:val="00A62269"/>
    <w:rsid w:val="00A84B4D"/>
    <w:rsid w:val="00A871BB"/>
    <w:rsid w:val="00A927BD"/>
    <w:rsid w:val="00A97677"/>
    <w:rsid w:val="00AA35CB"/>
    <w:rsid w:val="00AA436A"/>
    <w:rsid w:val="00AB0FE9"/>
    <w:rsid w:val="00AB4026"/>
    <w:rsid w:val="00AB4D40"/>
    <w:rsid w:val="00AB677B"/>
    <w:rsid w:val="00AB7BC9"/>
    <w:rsid w:val="00AB7E91"/>
    <w:rsid w:val="00AC0437"/>
    <w:rsid w:val="00AC3E95"/>
    <w:rsid w:val="00AE664C"/>
    <w:rsid w:val="00AF1DF6"/>
    <w:rsid w:val="00AF4B69"/>
    <w:rsid w:val="00B00BEA"/>
    <w:rsid w:val="00B061C7"/>
    <w:rsid w:val="00B1214C"/>
    <w:rsid w:val="00B15637"/>
    <w:rsid w:val="00B177CF"/>
    <w:rsid w:val="00B20AB3"/>
    <w:rsid w:val="00B21F30"/>
    <w:rsid w:val="00B257ED"/>
    <w:rsid w:val="00B27ED2"/>
    <w:rsid w:val="00B42933"/>
    <w:rsid w:val="00B43298"/>
    <w:rsid w:val="00B5238F"/>
    <w:rsid w:val="00B53268"/>
    <w:rsid w:val="00B61034"/>
    <w:rsid w:val="00B6490E"/>
    <w:rsid w:val="00B7441E"/>
    <w:rsid w:val="00B86B31"/>
    <w:rsid w:val="00B91C31"/>
    <w:rsid w:val="00B92283"/>
    <w:rsid w:val="00B927B5"/>
    <w:rsid w:val="00B93975"/>
    <w:rsid w:val="00B93FD1"/>
    <w:rsid w:val="00BA4C36"/>
    <w:rsid w:val="00BB2997"/>
    <w:rsid w:val="00BB5D37"/>
    <w:rsid w:val="00BC1FCF"/>
    <w:rsid w:val="00BC57A2"/>
    <w:rsid w:val="00BC66FB"/>
    <w:rsid w:val="00BD0499"/>
    <w:rsid w:val="00BD3655"/>
    <w:rsid w:val="00BD6FF5"/>
    <w:rsid w:val="00BF6A5E"/>
    <w:rsid w:val="00C01BDD"/>
    <w:rsid w:val="00C01DEA"/>
    <w:rsid w:val="00C034B7"/>
    <w:rsid w:val="00C05759"/>
    <w:rsid w:val="00C06C08"/>
    <w:rsid w:val="00C07BB8"/>
    <w:rsid w:val="00C1126C"/>
    <w:rsid w:val="00C120D0"/>
    <w:rsid w:val="00C155D9"/>
    <w:rsid w:val="00C177F7"/>
    <w:rsid w:val="00C2451C"/>
    <w:rsid w:val="00C30869"/>
    <w:rsid w:val="00C44B4C"/>
    <w:rsid w:val="00C53841"/>
    <w:rsid w:val="00C64201"/>
    <w:rsid w:val="00C67039"/>
    <w:rsid w:val="00C762B5"/>
    <w:rsid w:val="00C80BE0"/>
    <w:rsid w:val="00C90037"/>
    <w:rsid w:val="00C90E54"/>
    <w:rsid w:val="00CA25DC"/>
    <w:rsid w:val="00CA28A1"/>
    <w:rsid w:val="00CA2B9C"/>
    <w:rsid w:val="00CA31E4"/>
    <w:rsid w:val="00CA406A"/>
    <w:rsid w:val="00CA7330"/>
    <w:rsid w:val="00CB42C3"/>
    <w:rsid w:val="00CB6D2A"/>
    <w:rsid w:val="00CC6B8B"/>
    <w:rsid w:val="00CC735D"/>
    <w:rsid w:val="00CE2E3F"/>
    <w:rsid w:val="00CF0669"/>
    <w:rsid w:val="00CF17DE"/>
    <w:rsid w:val="00D002CB"/>
    <w:rsid w:val="00D02118"/>
    <w:rsid w:val="00D02301"/>
    <w:rsid w:val="00D0484A"/>
    <w:rsid w:val="00D137B9"/>
    <w:rsid w:val="00D1660E"/>
    <w:rsid w:val="00D17F30"/>
    <w:rsid w:val="00D20F6C"/>
    <w:rsid w:val="00D21E17"/>
    <w:rsid w:val="00D304CE"/>
    <w:rsid w:val="00D340E3"/>
    <w:rsid w:val="00D375E9"/>
    <w:rsid w:val="00D377DD"/>
    <w:rsid w:val="00D515F8"/>
    <w:rsid w:val="00D52F2C"/>
    <w:rsid w:val="00D545F2"/>
    <w:rsid w:val="00D54839"/>
    <w:rsid w:val="00D66101"/>
    <w:rsid w:val="00D66362"/>
    <w:rsid w:val="00D7661A"/>
    <w:rsid w:val="00D822FD"/>
    <w:rsid w:val="00D82D81"/>
    <w:rsid w:val="00D836D1"/>
    <w:rsid w:val="00DA6B3E"/>
    <w:rsid w:val="00DA7D7E"/>
    <w:rsid w:val="00DB08CE"/>
    <w:rsid w:val="00DB4687"/>
    <w:rsid w:val="00DB619F"/>
    <w:rsid w:val="00DB68D5"/>
    <w:rsid w:val="00DB6F2C"/>
    <w:rsid w:val="00DC03AF"/>
    <w:rsid w:val="00DC495B"/>
    <w:rsid w:val="00DC705E"/>
    <w:rsid w:val="00DC738A"/>
    <w:rsid w:val="00DD39A9"/>
    <w:rsid w:val="00DD5E03"/>
    <w:rsid w:val="00DE389C"/>
    <w:rsid w:val="00DE3EE4"/>
    <w:rsid w:val="00DE65AA"/>
    <w:rsid w:val="00DF35CC"/>
    <w:rsid w:val="00E02127"/>
    <w:rsid w:val="00E046A9"/>
    <w:rsid w:val="00E06F0B"/>
    <w:rsid w:val="00E070FA"/>
    <w:rsid w:val="00E106E5"/>
    <w:rsid w:val="00E12330"/>
    <w:rsid w:val="00E15716"/>
    <w:rsid w:val="00E17659"/>
    <w:rsid w:val="00E17A0E"/>
    <w:rsid w:val="00E21608"/>
    <w:rsid w:val="00E24112"/>
    <w:rsid w:val="00E3559B"/>
    <w:rsid w:val="00E423DB"/>
    <w:rsid w:val="00E46169"/>
    <w:rsid w:val="00E46489"/>
    <w:rsid w:val="00E53059"/>
    <w:rsid w:val="00E5474A"/>
    <w:rsid w:val="00E55904"/>
    <w:rsid w:val="00E55E15"/>
    <w:rsid w:val="00E56EE2"/>
    <w:rsid w:val="00E610B5"/>
    <w:rsid w:val="00E70CA9"/>
    <w:rsid w:val="00E72A4B"/>
    <w:rsid w:val="00E8291A"/>
    <w:rsid w:val="00E8554A"/>
    <w:rsid w:val="00E85CB4"/>
    <w:rsid w:val="00E90C14"/>
    <w:rsid w:val="00E928CF"/>
    <w:rsid w:val="00E96417"/>
    <w:rsid w:val="00EB3184"/>
    <w:rsid w:val="00EC63C2"/>
    <w:rsid w:val="00ED2BFD"/>
    <w:rsid w:val="00ED65F9"/>
    <w:rsid w:val="00EE46A4"/>
    <w:rsid w:val="00EE690F"/>
    <w:rsid w:val="00EF3F16"/>
    <w:rsid w:val="00EF4A31"/>
    <w:rsid w:val="00EF59AB"/>
    <w:rsid w:val="00F03BFE"/>
    <w:rsid w:val="00F054D8"/>
    <w:rsid w:val="00F11FC8"/>
    <w:rsid w:val="00F12052"/>
    <w:rsid w:val="00F15FF6"/>
    <w:rsid w:val="00F175B7"/>
    <w:rsid w:val="00F24996"/>
    <w:rsid w:val="00F32689"/>
    <w:rsid w:val="00F34E6E"/>
    <w:rsid w:val="00F401C7"/>
    <w:rsid w:val="00F44283"/>
    <w:rsid w:val="00F51F8B"/>
    <w:rsid w:val="00F64828"/>
    <w:rsid w:val="00F65F16"/>
    <w:rsid w:val="00F67A6A"/>
    <w:rsid w:val="00F71981"/>
    <w:rsid w:val="00F7238B"/>
    <w:rsid w:val="00F77236"/>
    <w:rsid w:val="00F77975"/>
    <w:rsid w:val="00F84A11"/>
    <w:rsid w:val="00F84A3E"/>
    <w:rsid w:val="00F857A0"/>
    <w:rsid w:val="00F86032"/>
    <w:rsid w:val="00F928FD"/>
    <w:rsid w:val="00FB56FD"/>
    <w:rsid w:val="00FC1166"/>
    <w:rsid w:val="00FC3655"/>
    <w:rsid w:val="00FD007A"/>
    <w:rsid w:val="00FD436F"/>
    <w:rsid w:val="00FD53F9"/>
    <w:rsid w:val="00FE27E5"/>
    <w:rsid w:val="00FE6C44"/>
    <w:rsid w:val="00FE6CAC"/>
    <w:rsid w:val="00FF4AFC"/>
    <w:rsid w:val="00FF72CB"/>
    <w:rsid w:val="0136E0D1"/>
    <w:rsid w:val="013EA8D2"/>
    <w:rsid w:val="01A39D43"/>
    <w:rsid w:val="020AEA89"/>
    <w:rsid w:val="020DA8F0"/>
    <w:rsid w:val="021DEF5C"/>
    <w:rsid w:val="02397BE5"/>
    <w:rsid w:val="027412B3"/>
    <w:rsid w:val="0277D4D7"/>
    <w:rsid w:val="0285E502"/>
    <w:rsid w:val="0289CAE6"/>
    <w:rsid w:val="02C18D38"/>
    <w:rsid w:val="02EDB54C"/>
    <w:rsid w:val="034E8433"/>
    <w:rsid w:val="035A0905"/>
    <w:rsid w:val="043185A0"/>
    <w:rsid w:val="043B7265"/>
    <w:rsid w:val="044264D7"/>
    <w:rsid w:val="04450FCC"/>
    <w:rsid w:val="04483A3F"/>
    <w:rsid w:val="044CB1DD"/>
    <w:rsid w:val="047B2E7B"/>
    <w:rsid w:val="051AE70B"/>
    <w:rsid w:val="0520F275"/>
    <w:rsid w:val="053E8C87"/>
    <w:rsid w:val="055F1186"/>
    <w:rsid w:val="0584BDA0"/>
    <w:rsid w:val="05995988"/>
    <w:rsid w:val="05A69D60"/>
    <w:rsid w:val="05AA3C52"/>
    <w:rsid w:val="05C4F322"/>
    <w:rsid w:val="05EC7A08"/>
    <w:rsid w:val="05EFDDE5"/>
    <w:rsid w:val="05F965DB"/>
    <w:rsid w:val="06052227"/>
    <w:rsid w:val="061B6369"/>
    <w:rsid w:val="0642094D"/>
    <w:rsid w:val="064B115C"/>
    <w:rsid w:val="065DCCD6"/>
    <w:rsid w:val="069EB0EE"/>
    <w:rsid w:val="06BDDE3C"/>
    <w:rsid w:val="06FED4A3"/>
    <w:rsid w:val="0705A964"/>
    <w:rsid w:val="0707CFB7"/>
    <w:rsid w:val="07A39CB5"/>
    <w:rsid w:val="07CCD9F7"/>
    <w:rsid w:val="07CD615D"/>
    <w:rsid w:val="07EAC94E"/>
    <w:rsid w:val="07EACA0F"/>
    <w:rsid w:val="080874C2"/>
    <w:rsid w:val="080BC612"/>
    <w:rsid w:val="0819DC59"/>
    <w:rsid w:val="08359AA7"/>
    <w:rsid w:val="0846BE33"/>
    <w:rsid w:val="08745733"/>
    <w:rsid w:val="08F671CD"/>
    <w:rsid w:val="0918602C"/>
    <w:rsid w:val="092629B9"/>
    <w:rsid w:val="0927A283"/>
    <w:rsid w:val="0962A49C"/>
    <w:rsid w:val="097A6904"/>
    <w:rsid w:val="09DED209"/>
    <w:rsid w:val="09F7C8CF"/>
    <w:rsid w:val="09FDE445"/>
    <w:rsid w:val="0A1CE784"/>
    <w:rsid w:val="0A45F91D"/>
    <w:rsid w:val="0A68B613"/>
    <w:rsid w:val="0A88E6B5"/>
    <w:rsid w:val="0AA2C543"/>
    <w:rsid w:val="0AADFCE5"/>
    <w:rsid w:val="0ACCF237"/>
    <w:rsid w:val="0ACE3983"/>
    <w:rsid w:val="0AE4D1CE"/>
    <w:rsid w:val="0AEC4312"/>
    <w:rsid w:val="0AF6A709"/>
    <w:rsid w:val="0AFB522F"/>
    <w:rsid w:val="0B0DA810"/>
    <w:rsid w:val="0B5CAF98"/>
    <w:rsid w:val="0B91A297"/>
    <w:rsid w:val="0BCDC017"/>
    <w:rsid w:val="0BD9CCCD"/>
    <w:rsid w:val="0BEBC914"/>
    <w:rsid w:val="0BEED29D"/>
    <w:rsid w:val="0BF3B16F"/>
    <w:rsid w:val="0BFDD5D0"/>
    <w:rsid w:val="0C01301D"/>
    <w:rsid w:val="0C33E11B"/>
    <w:rsid w:val="0C440AA6"/>
    <w:rsid w:val="0C6C67EE"/>
    <w:rsid w:val="0C978118"/>
    <w:rsid w:val="0C9BC14E"/>
    <w:rsid w:val="0CAC236A"/>
    <w:rsid w:val="0CB3AAC8"/>
    <w:rsid w:val="0CB6AA19"/>
    <w:rsid w:val="0CBE60D5"/>
    <w:rsid w:val="0CC92E0F"/>
    <w:rsid w:val="0CD04254"/>
    <w:rsid w:val="0CECDB5C"/>
    <w:rsid w:val="0CF62A2E"/>
    <w:rsid w:val="0D5A8DBF"/>
    <w:rsid w:val="0D5CD531"/>
    <w:rsid w:val="0D6C03BA"/>
    <w:rsid w:val="0D6DEFCB"/>
    <w:rsid w:val="0DAD5BD6"/>
    <w:rsid w:val="0DB21AF0"/>
    <w:rsid w:val="0DCFE6C7"/>
    <w:rsid w:val="0DE7BD56"/>
    <w:rsid w:val="0E1538F6"/>
    <w:rsid w:val="0E3C4BEE"/>
    <w:rsid w:val="0E906C0B"/>
    <w:rsid w:val="0E9AE009"/>
    <w:rsid w:val="0EC0EF6D"/>
    <w:rsid w:val="0ED16C2D"/>
    <w:rsid w:val="0F027598"/>
    <w:rsid w:val="0F0F9A4E"/>
    <w:rsid w:val="0F146E75"/>
    <w:rsid w:val="0F265F47"/>
    <w:rsid w:val="0F78E1F9"/>
    <w:rsid w:val="0F88ECA7"/>
    <w:rsid w:val="0F89395B"/>
    <w:rsid w:val="0F8F6D78"/>
    <w:rsid w:val="0F94BD81"/>
    <w:rsid w:val="0FA81E8A"/>
    <w:rsid w:val="0FBD0609"/>
    <w:rsid w:val="0FD8742D"/>
    <w:rsid w:val="0FD9B19A"/>
    <w:rsid w:val="0FF0EFBE"/>
    <w:rsid w:val="0FF6987A"/>
    <w:rsid w:val="0FF9B648"/>
    <w:rsid w:val="10233462"/>
    <w:rsid w:val="1023FB14"/>
    <w:rsid w:val="10576E06"/>
    <w:rsid w:val="10694799"/>
    <w:rsid w:val="106A62BC"/>
    <w:rsid w:val="106C7327"/>
    <w:rsid w:val="106F633D"/>
    <w:rsid w:val="10859685"/>
    <w:rsid w:val="10AAB2BD"/>
    <w:rsid w:val="10BBFE41"/>
    <w:rsid w:val="1107977C"/>
    <w:rsid w:val="11589BAF"/>
    <w:rsid w:val="119126D8"/>
    <w:rsid w:val="11963A3D"/>
    <w:rsid w:val="11C565B3"/>
    <w:rsid w:val="11C7D793"/>
    <w:rsid w:val="11D014DE"/>
    <w:rsid w:val="11F1DCFF"/>
    <w:rsid w:val="1219999D"/>
    <w:rsid w:val="12470822"/>
    <w:rsid w:val="1257B2FE"/>
    <w:rsid w:val="1272AD81"/>
    <w:rsid w:val="12894C39"/>
    <w:rsid w:val="12EA52D4"/>
    <w:rsid w:val="13248EF6"/>
    <w:rsid w:val="134169F4"/>
    <w:rsid w:val="13603E0B"/>
    <w:rsid w:val="13AAF279"/>
    <w:rsid w:val="13C6CADA"/>
    <w:rsid w:val="13EC825A"/>
    <w:rsid w:val="13F901CB"/>
    <w:rsid w:val="14617A0F"/>
    <w:rsid w:val="1477CD24"/>
    <w:rsid w:val="149E6B37"/>
    <w:rsid w:val="14C562FD"/>
    <w:rsid w:val="14E55289"/>
    <w:rsid w:val="14EBB0D0"/>
    <w:rsid w:val="152BE197"/>
    <w:rsid w:val="152ECA1D"/>
    <w:rsid w:val="1548B149"/>
    <w:rsid w:val="154BE87E"/>
    <w:rsid w:val="15762D82"/>
    <w:rsid w:val="15CDA5FE"/>
    <w:rsid w:val="15E85D5F"/>
    <w:rsid w:val="15EB5F84"/>
    <w:rsid w:val="165A997E"/>
    <w:rsid w:val="16634E1E"/>
    <w:rsid w:val="16DEE20D"/>
    <w:rsid w:val="16DEF7B6"/>
    <w:rsid w:val="16E20AD4"/>
    <w:rsid w:val="16E714B4"/>
    <w:rsid w:val="17056E9E"/>
    <w:rsid w:val="17202118"/>
    <w:rsid w:val="173E40C1"/>
    <w:rsid w:val="176E522A"/>
    <w:rsid w:val="17A5CC38"/>
    <w:rsid w:val="17D9D378"/>
    <w:rsid w:val="17E64E36"/>
    <w:rsid w:val="1802CCA8"/>
    <w:rsid w:val="180C2B47"/>
    <w:rsid w:val="18212B39"/>
    <w:rsid w:val="183A22A2"/>
    <w:rsid w:val="1844DA31"/>
    <w:rsid w:val="185B2D43"/>
    <w:rsid w:val="1865ED9E"/>
    <w:rsid w:val="1871CF61"/>
    <w:rsid w:val="18B14B8B"/>
    <w:rsid w:val="18B235F0"/>
    <w:rsid w:val="18BEC6EB"/>
    <w:rsid w:val="18D4178B"/>
    <w:rsid w:val="18E2AB93"/>
    <w:rsid w:val="1917055B"/>
    <w:rsid w:val="192FCBCA"/>
    <w:rsid w:val="193CB710"/>
    <w:rsid w:val="19509803"/>
    <w:rsid w:val="1964A0FC"/>
    <w:rsid w:val="19AB7CF6"/>
    <w:rsid w:val="19BEA19B"/>
    <w:rsid w:val="19C4AFC1"/>
    <w:rsid w:val="19DE499E"/>
    <w:rsid w:val="19E40748"/>
    <w:rsid w:val="1A1DCB4C"/>
    <w:rsid w:val="1A1F1A79"/>
    <w:rsid w:val="1A63D9FC"/>
    <w:rsid w:val="1AA18275"/>
    <w:rsid w:val="1AAA4923"/>
    <w:rsid w:val="1ACC71CC"/>
    <w:rsid w:val="1AFBD554"/>
    <w:rsid w:val="1B0B5397"/>
    <w:rsid w:val="1B1BAEF5"/>
    <w:rsid w:val="1B35F6D9"/>
    <w:rsid w:val="1B562F7F"/>
    <w:rsid w:val="1B93D344"/>
    <w:rsid w:val="1B9DAC69"/>
    <w:rsid w:val="1BB683D3"/>
    <w:rsid w:val="1BC2BD7B"/>
    <w:rsid w:val="1BC6933D"/>
    <w:rsid w:val="1BCED27A"/>
    <w:rsid w:val="1BD8CEAC"/>
    <w:rsid w:val="1C1006A6"/>
    <w:rsid w:val="1C21FA0F"/>
    <w:rsid w:val="1C22076C"/>
    <w:rsid w:val="1C292EEA"/>
    <w:rsid w:val="1C5D5E90"/>
    <w:rsid w:val="1C6EA3D4"/>
    <w:rsid w:val="1C8FB70B"/>
    <w:rsid w:val="1CC89E69"/>
    <w:rsid w:val="1CDD9089"/>
    <w:rsid w:val="1D30FF64"/>
    <w:rsid w:val="1D4638A3"/>
    <w:rsid w:val="1D4711C7"/>
    <w:rsid w:val="1D4E9BDF"/>
    <w:rsid w:val="1D6A65CE"/>
    <w:rsid w:val="1DA26F19"/>
    <w:rsid w:val="1DBD45E8"/>
    <w:rsid w:val="1E044064"/>
    <w:rsid w:val="1E095847"/>
    <w:rsid w:val="1E2E80A2"/>
    <w:rsid w:val="1E5B8A94"/>
    <w:rsid w:val="1E616376"/>
    <w:rsid w:val="1E742D34"/>
    <w:rsid w:val="1E74AC5D"/>
    <w:rsid w:val="1E7F4626"/>
    <w:rsid w:val="1E862AE9"/>
    <w:rsid w:val="1E88A497"/>
    <w:rsid w:val="1E91E63C"/>
    <w:rsid w:val="1EAF76C0"/>
    <w:rsid w:val="1F5B7CE9"/>
    <w:rsid w:val="1F807A56"/>
    <w:rsid w:val="1F96A521"/>
    <w:rsid w:val="1FA0382E"/>
    <w:rsid w:val="1FA1711B"/>
    <w:rsid w:val="1FB35454"/>
    <w:rsid w:val="1FB73F3B"/>
    <w:rsid w:val="1FB8C0D9"/>
    <w:rsid w:val="1FC8D604"/>
    <w:rsid w:val="1FE931BC"/>
    <w:rsid w:val="1FE98511"/>
    <w:rsid w:val="2006EEAB"/>
    <w:rsid w:val="202D4D3A"/>
    <w:rsid w:val="2056D9EF"/>
    <w:rsid w:val="209D1B58"/>
    <w:rsid w:val="20A69935"/>
    <w:rsid w:val="20CE9017"/>
    <w:rsid w:val="20F665EE"/>
    <w:rsid w:val="2116D5F8"/>
    <w:rsid w:val="213CD88A"/>
    <w:rsid w:val="2147574D"/>
    <w:rsid w:val="214EDF1B"/>
    <w:rsid w:val="219E303C"/>
    <w:rsid w:val="21BB261A"/>
    <w:rsid w:val="21F8764E"/>
    <w:rsid w:val="21FD718A"/>
    <w:rsid w:val="2256C292"/>
    <w:rsid w:val="22715544"/>
    <w:rsid w:val="22925E07"/>
    <w:rsid w:val="2292EBC5"/>
    <w:rsid w:val="22A0A0AB"/>
    <w:rsid w:val="22A748DB"/>
    <w:rsid w:val="22CB848B"/>
    <w:rsid w:val="22F1474C"/>
    <w:rsid w:val="22F28375"/>
    <w:rsid w:val="22FB1E14"/>
    <w:rsid w:val="2303B087"/>
    <w:rsid w:val="2325ADDE"/>
    <w:rsid w:val="2338BEE0"/>
    <w:rsid w:val="2368138C"/>
    <w:rsid w:val="239F198F"/>
    <w:rsid w:val="23AA1B7D"/>
    <w:rsid w:val="23B60F24"/>
    <w:rsid w:val="23DC2566"/>
    <w:rsid w:val="23E4F01E"/>
    <w:rsid w:val="23EFEE38"/>
    <w:rsid w:val="23F820C9"/>
    <w:rsid w:val="23FE6AAA"/>
    <w:rsid w:val="241655E9"/>
    <w:rsid w:val="2432589A"/>
    <w:rsid w:val="2474F0CA"/>
    <w:rsid w:val="2496025C"/>
    <w:rsid w:val="24F07210"/>
    <w:rsid w:val="24FF2E36"/>
    <w:rsid w:val="25085554"/>
    <w:rsid w:val="2511A32A"/>
    <w:rsid w:val="253283B3"/>
    <w:rsid w:val="2541BAAC"/>
    <w:rsid w:val="25732FE9"/>
    <w:rsid w:val="259B6F77"/>
    <w:rsid w:val="25D80CE5"/>
    <w:rsid w:val="25DE3B25"/>
    <w:rsid w:val="25E43CCD"/>
    <w:rsid w:val="25F682ED"/>
    <w:rsid w:val="2601E7EF"/>
    <w:rsid w:val="2602F6FF"/>
    <w:rsid w:val="2622BCFD"/>
    <w:rsid w:val="2629F178"/>
    <w:rsid w:val="264E05BC"/>
    <w:rsid w:val="2672351B"/>
    <w:rsid w:val="269571A6"/>
    <w:rsid w:val="26EABCF9"/>
    <w:rsid w:val="2706BB84"/>
    <w:rsid w:val="272D543F"/>
    <w:rsid w:val="2732F1C9"/>
    <w:rsid w:val="274348FB"/>
    <w:rsid w:val="2752E680"/>
    <w:rsid w:val="276AA6E7"/>
    <w:rsid w:val="27A0D3F6"/>
    <w:rsid w:val="27B2E4FB"/>
    <w:rsid w:val="27DE3A0E"/>
    <w:rsid w:val="27E3FBFB"/>
    <w:rsid w:val="27FE42DD"/>
    <w:rsid w:val="28683BB5"/>
    <w:rsid w:val="286CFCCB"/>
    <w:rsid w:val="288351CD"/>
    <w:rsid w:val="2889D3D2"/>
    <w:rsid w:val="28A838B7"/>
    <w:rsid w:val="28AF8C39"/>
    <w:rsid w:val="28DF16FE"/>
    <w:rsid w:val="28E0AD36"/>
    <w:rsid w:val="28E67C29"/>
    <w:rsid w:val="28E70F1C"/>
    <w:rsid w:val="290F915D"/>
    <w:rsid w:val="29302499"/>
    <w:rsid w:val="2933798D"/>
    <w:rsid w:val="295D5F44"/>
    <w:rsid w:val="295E2E15"/>
    <w:rsid w:val="298A639D"/>
    <w:rsid w:val="2991DD9A"/>
    <w:rsid w:val="29A73D1C"/>
    <w:rsid w:val="29B3886E"/>
    <w:rsid w:val="29BE18DE"/>
    <w:rsid w:val="29CDFC91"/>
    <w:rsid w:val="29E15F93"/>
    <w:rsid w:val="29FCE479"/>
    <w:rsid w:val="2A3B127D"/>
    <w:rsid w:val="2A431374"/>
    <w:rsid w:val="2A9533ED"/>
    <w:rsid w:val="2AAE9E9A"/>
    <w:rsid w:val="2AB9280B"/>
    <w:rsid w:val="2AECFE6B"/>
    <w:rsid w:val="2B1D86CC"/>
    <w:rsid w:val="2B51487D"/>
    <w:rsid w:val="2B5F11C7"/>
    <w:rsid w:val="2B86CA5E"/>
    <w:rsid w:val="2B906808"/>
    <w:rsid w:val="2B9E8E95"/>
    <w:rsid w:val="2C27F8CF"/>
    <w:rsid w:val="2C433760"/>
    <w:rsid w:val="2C48320D"/>
    <w:rsid w:val="2C4B0EE7"/>
    <w:rsid w:val="2C59C284"/>
    <w:rsid w:val="2C858C60"/>
    <w:rsid w:val="2C905452"/>
    <w:rsid w:val="2C9A1F48"/>
    <w:rsid w:val="2CB0FC6C"/>
    <w:rsid w:val="2CB817D3"/>
    <w:rsid w:val="2CE6998D"/>
    <w:rsid w:val="2D24299A"/>
    <w:rsid w:val="2D4133E0"/>
    <w:rsid w:val="2D56F874"/>
    <w:rsid w:val="2D6B0935"/>
    <w:rsid w:val="2DA485C6"/>
    <w:rsid w:val="2DAC666F"/>
    <w:rsid w:val="2DE79F7A"/>
    <w:rsid w:val="2E0E3209"/>
    <w:rsid w:val="2E22F1D4"/>
    <w:rsid w:val="2E31C7CA"/>
    <w:rsid w:val="2E42D355"/>
    <w:rsid w:val="2E5D66A0"/>
    <w:rsid w:val="2E6866A6"/>
    <w:rsid w:val="2EE8BBBB"/>
    <w:rsid w:val="2F053E5F"/>
    <w:rsid w:val="2F20C36F"/>
    <w:rsid w:val="2F280EFF"/>
    <w:rsid w:val="2F2C8286"/>
    <w:rsid w:val="2F32BA7D"/>
    <w:rsid w:val="2F41FABC"/>
    <w:rsid w:val="2F67451E"/>
    <w:rsid w:val="2F6DFB8C"/>
    <w:rsid w:val="2F9E95FF"/>
    <w:rsid w:val="3009E213"/>
    <w:rsid w:val="3023FEE4"/>
    <w:rsid w:val="302A1D09"/>
    <w:rsid w:val="30954023"/>
    <w:rsid w:val="309F1FE8"/>
    <w:rsid w:val="30A7BDCB"/>
    <w:rsid w:val="30D9B9B8"/>
    <w:rsid w:val="30DCEE38"/>
    <w:rsid w:val="311DFC03"/>
    <w:rsid w:val="316871DE"/>
    <w:rsid w:val="31687344"/>
    <w:rsid w:val="31758AC7"/>
    <w:rsid w:val="319EEE33"/>
    <w:rsid w:val="319F13F5"/>
    <w:rsid w:val="31B140AA"/>
    <w:rsid w:val="31C01356"/>
    <w:rsid w:val="31C12ECB"/>
    <w:rsid w:val="31DDEAEA"/>
    <w:rsid w:val="32271EB5"/>
    <w:rsid w:val="324A208A"/>
    <w:rsid w:val="324A89ED"/>
    <w:rsid w:val="32526A11"/>
    <w:rsid w:val="325E45CE"/>
    <w:rsid w:val="32C76EDD"/>
    <w:rsid w:val="32E948B4"/>
    <w:rsid w:val="332F1783"/>
    <w:rsid w:val="333134FA"/>
    <w:rsid w:val="333D1747"/>
    <w:rsid w:val="334B6E7C"/>
    <w:rsid w:val="335DC073"/>
    <w:rsid w:val="336327C6"/>
    <w:rsid w:val="33963B7D"/>
    <w:rsid w:val="339D817F"/>
    <w:rsid w:val="33AD8747"/>
    <w:rsid w:val="33B77690"/>
    <w:rsid w:val="341BDC5C"/>
    <w:rsid w:val="3443B925"/>
    <w:rsid w:val="3445BE8B"/>
    <w:rsid w:val="346A8F5D"/>
    <w:rsid w:val="346DA5C9"/>
    <w:rsid w:val="347DB371"/>
    <w:rsid w:val="350A8EAF"/>
    <w:rsid w:val="35124543"/>
    <w:rsid w:val="353DBFA5"/>
    <w:rsid w:val="353F85F7"/>
    <w:rsid w:val="354B454E"/>
    <w:rsid w:val="358CCB68"/>
    <w:rsid w:val="35A02534"/>
    <w:rsid w:val="35B6EADD"/>
    <w:rsid w:val="35F3056C"/>
    <w:rsid w:val="365698C0"/>
    <w:rsid w:val="36583DA8"/>
    <w:rsid w:val="36768FF5"/>
    <w:rsid w:val="36842016"/>
    <w:rsid w:val="369C44FE"/>
    <w:rsid w:val="369D22EE"/>
    <w:rsid w:val="36AA9005"/>
    <w:rsid w:val="36C016CF"/>
    <w:rsid w:val="36C3F5CB"/>
    <w:rsid w:val="36EDD1A9"/>
    <w:rsid w:val="36EDF482"/>
    <w:rsid w:val="36F93731"/>
    <w:rsid w:val="37B3D77D"/>
    <w:rsid w:val="37B5CB9E"/>
    <w:rsid w:val="37BBA3B2"/>
    <w:rsid w:val="37DFEF42"/>
    <w:rsid w:val="38191632"/>
    <w:rsid w:val="382CC417"/>
    <w:rsid w:val="3861E211"/>
    <w:rsid w:val="38756EDA"/>
    <w:rsid w:val="38A2CD91"/>
    <w:rsid w:val="392EAE36"/>
    <w:rsid w:val="3937A1BE"/>
    <w:rsid w:val="39620B4B"/>
    <w:rsid w:val="397B62C4"/>
    <w:rsid w:val="39A68744"/>
    <w:rsid w:val="39C17D32"/>
    <w:rsid w:val="39DAAFB4"/>
    <w:rsid w:val="39E661EC"/>
    <w:rsid w:val="39EC2CF5"/>
    <w:rsid w:val="3A0B5863"/>
    <w:rsid w:val="3A1310AF"/>
    <w:rsid w:val="3A2B9A61"/>
    <w:rsid w:val="3A5D1EAB"/>
    <w:rsid w:val="3A77DC51"/>
    <w:rsid w:val="3A85E2DA"/>
    <w:rsid w:val="3AC3C7E5"/>
    <w:rsid w:val="3AF37DE3"/>
    <w:rsid w:val="3B0E0D34"/>
    <w:rsid w:val="3BA1B222"/>
    <w:rsid w:val="3BEE4717"/>
    <w:rsid w:val="3BF77EE5"/>
    <w:rsid w:val="3C0283FF"/>
    <w:rsid w:val="3C300D0D"/>
    <w:rsid w:val="3C3F4710"/>
    <w:rsid w:val="3C449491"/>
    <w:rsid w:val="3C8E749D"/>
    <w:rsid w:val="3CD825B2"/>
    <w:rsid w:val="3D05C5E3"/>
    <w:rsid w:val="3D3AE23B"/>
    <w:rsid w:val="3D4CE2E2"/>
    <w:rsid w:val="3D4FFDD2"/>
    <w:rsid w:val="3D77378B"/>
    <w:rsid w:val="3D7F321B"/>
    <w:rsid w:val="3D99C8BA"/>
    <w:rsid w:val="3D9F46B6"/>
    <w:rsid w:val="3DA7C1BA"/>
    <w:rsid w:val="3DF02E90"/>
    <w:rsid w:val="3DF661A8"/>
    <w:rsid w:val="3E11E410"/>
    <w:rsid w:val="3E4779F7"/>
    <w:rsid w:val="3E5609E4"/>
    <w:rsid w:val="3E758871"/>
    <w:rsid w:val="3E862271"/>
    <w:rsid w:val="3EE6D831"/>
    <w:rsid w:val="3F140519"/>
    <w:rsid w:val="3F179A4E"/>
    <w:rsid w:val="3F289FCC"/>
    <w:rsid w:val="3F3047C0"/>
    <w:rsid w:val="3F6C803B"/>
    <w:rsid w:val="3F7835BE"/>
    <w:rsid w:val="3F85DA17"/>
    <w:rsid w:val="3F8B95B7"/>
    <w:rsid w:val="3F947261"/>
    <w:rsid w:val="3F9987D4"/>
    <w:rsid w:val="402C42EF"/>
    <w:rsid w:val="40559318"/>
    <w:rsid w:val="406C758D"/>
    <w:rsid w:val="406C7640"/>
    <w:rsid w:val="40943A0E"/>
    <w:rsid w:val="40BFE902"/>
    <w:rsid w:val="40C5125F"/>
    <w:rsid w:val="40C816CA"/>
    <w:rsid w:val="40E6DED5"/>
    <w:rsid w:val="40E7C0E0"/>
    <w:rsid w:val="4151B7CF"/>
    <w:rsid w:val="41551478"/>
    <w:rsid w:val="4166CA64"/>
    <w:rsid w:val="41B28CDF"/>
    <w:rsid w:val="41B699D7"/>
    <w:rsid w:val="41BE7704"/>
    <w:rsid w:val="41D52B8D"/>
    <w:rsid w:val="41E7B38C"/>
    <w:rsid w:val="41F17831"/>
    <w:rsid w:val="42073E55"/>
    <w:rsid w:val="423D061C"/>
    <w:rsid w:val="427051BA"/>
    <w:rsid w:val="4271C957"/>
    <w:rsid w:val="42AE5F97"/>
    <w:rsid w:val="42BFFC8D"/>
    <w:rsid w:val="42F177F1"/>
    <w:rsid w:val="4320639F"/>
    <w:rsid w:val="433C2ECA"/>
    <w:rsid w:val="434EF135"/>
    <w:rsid w:val="43A13C09"/>
    <w:rsid w:val="43AE1CD7"/>
    <w:rsid w:val="43B30F7F"/>
    <w:rsid w:val="43C0175D"/>
    <w:rsid w:val="444512F0"/>
    <w:rsid w:val="447E6AFF"/>
    <w:rsid w:val="449A335B"/>
    <w:rsid w:val="44A6A81E"/>
    <w:rsid w:val="44B24629"/>
    <w:rsid w:val="44CEDDBB"/>
    <w:rsid w:val="44DD9D16"/>
    <w:rsid w:val="44E03E3B"/>
    <w:rsid w:val="44F0B4D1"/>
    <w:rsid w:val="4503B0A7"/>
    <w:rsid w:val="45222AE5"/>
    <w:rsid w:val="454461F1"/>
    <w:rsid w:val="45A92C44"/>
    <w:rsid w:val="45C10863"/>
    <w:rsid w:val="45C31030"/>
    <w:rsid w:val="45E62418"/>
    <w:rsid w:val="45F44892"/>
    <w:rsid w:val="45FC2E89"/>
    <w:rsid w:val="45FF1381"/>
    <w:rsid w:val="46129A2A"/>
    <w:rsid w:val="4614508A"/>
    <w:rsid w:val="468100EE"/>
    <w:rsid w:val="46A10CB1"/>
    <w:rsid w:val="46CC8A22"/>
    <w:rsid w:val="46D01EF5"/>
    <w:rsid w:val="46D362C9"/>
    <w:rsid w:val="46FE73FB"/>
    <w:rsid w:val="47105583"/>
    <w:rsid w:val="472771EC"/>
    <w:rsid w:val="472DD8FB"/>
    <w:rsid w:val="475698A5"/>
    <w:rsid w:val="475EA72A"/>
    <w:rsid w:val="4760CFE2"/>
    <w:rsid w:val="477A9051"/>
    <w:rsid w:val="478B7F34"/>
    <w:rsid w:val="479E43E7"/>
    <w:rsid w:val="47E9E9BC"/>
    <w:rsid w:val="480C4B73"/>
    <w:rsid w:val="482C5E1F"/>
    <w:rsid w:val="484FEEE6"/>
    <w:rsid w:val="48677C81"/>
    <w:rsid w:val="4875FAB8"/>
    <w:rsid w:val="48C05CDE"/>
    <w:rsid w:val="48DC31A1"/>
    <w:rsid w:val="48E1EC53"/>
    <w:rsid w:val="48F2FE39"/>
    <w:rsid w:val="48F3B880"/>
    <w:rsid w:val="48F57FCD"/>
    <w:rsid w:val="490EB6BC"/>
    <w:rsid w:val="491121FF"/>
    <w:rsid w:val="4923CC56"/>
    <w:rsid w:val="492DB201"/>
    <w:rsid w:val="49689819"/>
    <w:rsid w:val="49E548BA"/>
    <w:rsid w:val="49E894B3"/>
    <w:rsid w:val="4A03A278"/>
    <w:rsid w:val="4A093EEC"/>
    <w:rsid w:val="4A5C39FC"/>
    <w:rsid w:val="4A764E1F"/>
    <w:rsid w:val="4AC36556"/>
    <w:rsid w:val="4AD6DDD0"/>
    <w:rsid w:val="4AF2DB6B"/>
    <w:rsid w:val="4B04B078"/>
    <w:rsid w:val="4B18FDC9"/>
    <w:rsid w:val="4B1E2773"/>
    <w:rsid w:val="4B1F4084"/>
    <w:rsid w:val="4B3C316C"/>
    <w:rsid w:val="4B530D0D"/>
    <w:rsid w:val="4B7371E3"/>
    <w:rsid w:val="4B920007"/>
    <w:rsid w:val="4B99BC7B"/>
    <w:rsid w:val="4BB45410"/>
    <w:rsid w:val="4BC3BECA"/>
    <w:rsid w:val="4BC88D9E"/>
    <w:rsid w:val="4C0F28BB"/>
    <w:rsid w:val="4C1A7549"/>
    <w:rsid w:val="4C1E833D"/>
    <w:rsid w:val="4C27B4DA"/>
    <w:rsid w:val="4C843BBD"/>
    <w:rsid w:val="4CF42EB8"/>
    <w:rsid w:val="4D399A47"/>
    <w:rsid w:val="4D3AA3CC"/>
    <w:rsid w:val="4D589004"/>
    <w:rsid w:val="4D7E3B34"/>
    <w:rsid w:val="4D9D1B75"/>
    <w:rsid w:val="4DC6A87A"/>
    <w:rsid w:val="4DDD53C6"/>
    <w:rsid w:val="4E2578FC"/>
    <w:rsid w:val="4E6A8300"/>
    <w:rsid w:val="4E733372"/>
    <w:rsid w:val="4E804412"/>
    <w:rsid w:val="4E956CA3"/>
    <w:rsid w:val="4EAC5B9A"/>
    <w:rsid w:val="4EAE8705"/>
    <w:rsid w:val="4ECE0731"/>
    <w:rsid w:val="4ED9E85A"/>
    <w:rsid w:val="4EDB0FA2"/>
    <w:rsid w:val="4EE416BE"/>
    <w:rsid w:val="4EED283B"/>
    <w:rsid w:val="4F10FD8F"/>
    <w:rsid w:val="4F2111B0"/>
    <w:rsid w:val="4F22978B"/>
    <w:rsid w:val="4F3D147E"/>
    <w:rsid w:val="4F6F324E"/>
    <w:rsid w:val="4F74B661"/>
    <w:rsid w:val="4FA01613"/>
    <w:rsid w:val="4FA3B56F"/>
    <w:rsid w:val="4FB04019"/>
    <w:rsid w:val="4FEEF729"/>
    <w:rsid w:val="4FF6DA4F"/>
    <w:rsid w:val="4FFF849A"/>
    <w:rsid w:val="50215D8E"/>
    <w:rsid w:val="5051A1D8"/>
    <w:rsid w:val="5077EB0C"/>
    <w:rsid w:val="5087EA42"/>
    <w:rsid w:val="508BD5AE"/>
    <w:rsid w:val="50B61A78"/>
    <w:rsid w:val="50C24600"/>
    <w:rsid w:val="50C79261"/>
    <w:rsid w:val="50D94728"/>
    <w:rsid w:val="511E7EA7"/>
    <w:rsid w:val="512F9EB0"/>
    <w:rsid w:val="51340157"/>
    <w:rsid w:val="51584BF9"/>
    <w:rsid w:val="51734807"/>
    <w:rsid w:val="517AAF0F"/>
    <w:rsid w:val="517ABE56"/>
    <w:rsid w:val="517EA6E7"/>
    <w:rsid w:val="518A20D9"/>
    <w:rsid w:val="51A19BA2"/>
    <w:rsid w:val="51BAD317"/>
    <w:rsid w:val="51D8464E"/>
    <w:rsid w:val="5212123B"/>
    <w:rsid w:val="521447CD"/>
    <w:rsid w:val="5227E2FD"/>
    <w:rsid w:val="526A553C"/>
    <w:rsid w:val="527A2C1A"/>
    <w:rsid w:val="52B38B36"/>
    <w:rsid w:val="52B5A67E"/>
    <w:rsid w:val="52D2E20A"/>
    <w:rsid w:val="5300B455"/>
    <w:rsid w:val="53065D34"/>
    <w:rsid w:val="5326FD19"/>
    <w:rsid w:val="536CF64A"/>
    <w:rsid w:val="537161BF"/>
    <w:rsid w:val="537E97AE"/>
    <w:rsid w:val="53928865"/>
    <w:rsid w:val="53B1DF13"/>
    <w:rsid w:val="53BDA1FF"/>
    <w:rsid w:val="53C08B81"/>
    <w:rsid w:val="54375629"/>
    <w:rsid w:val="543E5B92"/>
    <w:rsid w:val="5472C7DE"/>
    <w:rsid w:val="548FB9CD"/>
    <w:rsid w:val="54B7A644"/>
    <w:rsid w:val="54E5E2E9"/>
    <w:rsid w:val="54F0FAFF"/>
    <w:rsid w:val="54F7EFC0"/>
    <w:rsid w:val="55302396"/>
    <w:rsid w:val="555E20BA"/>
    <w:rsid w:val="55729D07"/>
    <w:rsid w:val="55865AD7"/>
    <w:rsid w:val="55C5B05F"/>
    <w:rsid w:val="55C5CCC2"/>
    <w:rsid w:val="55C736BD"/>
    <w:rsid w:val="55D82460"/>
    <w:rsid w:val="563AD497"/>
    <w:rsid w:val="563EB833"/>
    <w:rsid w:val="568EEB14"/>
    <w:rsid w:val="569CEA5C"/>
    <w:rsid w:val="56D53A1A"/>
    <w:rsid w:val="56E0BAC6"/>
    <w:rsid w:val="56E9C4B3"/>
    <w:rsid w:val="56F57BB6"/>
    <w:rsid w:val="5706788A"/>
    <w:rsid w:val="57171013"/>
    <w:rsid w:val="571E6A81"/>
    <w:rsid w:val="572B0B36"/>
    <w:rsid w:val="57327825"/>
    <w:rsid w:val="5736A7D2"/>
    <w:rsid w:val="574901A9"/>
    <w:rsid w:val="57529EB2"/>
    <w:rsid w:val="575BC361"/>
    <w:rsid w:val="5760071E"/>
    <w:rsid w:val="5787CAFC"/>
    <w:rsid w:val="5797F204"/>
    <w:rsid w:val="57DF605B"/>
    <w:rsid w:val="580D5F40"/>
    <w:rsid w:val="58686D38"/>
    <w:rsid w:val="58902D5D"/>
    <w:rsid w:val="589546F8"/>
    <w:rsid w:val="5898F348"/>
    <w:rsid w:val="58C671FF"/>
    <w:rsid w:val="58E6D48A"/>
    <w:rsid w:val="59479C88"/>
    <w:rsid w:val="59480EBD"/>
    <w:rsid w:val="595164E7"/>
    <w:rsid w:val="595A7EE6"/>
    <w:rsid w:val="59B7C155"/>
    <w:rsid w:val="59E71AB5"/>
    <w:rsid w:val="59F80A54"/>
    <w:rsid w:val="59FF807D"/>
    <w:rsid w:val="5A1DD061"/>
    <w:rsid w:val="5A1F46BE"/>
    <w:rsid w:val="5A27BE0E"/>
    <w:rsid w:val="5A42D96B"/>
    <w:rsid w:val="5A4B25E2"/>
    <w:rsid w:val="5A54AC31"/>
    <w:rsid w:val="5A5D66A7"/>
    <w:rsid w:val="5A87672D"/>
    <w:rsid w:val="5A9ADC2D"/>
    <w:rsid w:val="5AC040FB"/>
    <w:rsid w:val="5AC8F94B"/>
    <w:rsid w:val="5AE17042"/>
    <w:rsid w:val="5B29833B"/>
    <w:rsid w:val="5B572260"/>
    <w:rsid w:val="5B95C25D"/>
    <w:rsid w:val="5BA3ECA2"/>
    <w:rsid w:val="5BDA18C6"/>
    <w:rsid w:val="5BF7A371"/>
    <w:rsid w:val="5C696E57"/>
    <w:rsid w:val="5C6F29BC"/>
    <w:rsid w:val="5C91D24C"/>
    <w:rsid w:val="5D05D569"/>
    <w:rsid w:val="5D33F54A"/>
    <w:rsid w:val="5D3440D8"/>
    <w:rsid w:val="5D3B3A18"/>
    <w:rsid w:val="5D41FC41"/>
    <w:rsid w:val="5D4ADCBB"/>
    <w:rsid w:val="5D4F1D34"/>
    <w:rsid w:val="5D7455EF"/>
    <w:rsid w:val="5DB47573"/>
    <w:rsid w:val="5DE868BD"/>
    <w:rsid w:val="5DF2DA6B"/>
    <w:rsid w:val="5E0386D6"/>
    <w:rsid w:val="5E082F8D"/>
    <w:rsid w:val="5E219FB6"/>
    <w:rsid w:val="5E438729"/>
    <w:rsid w:val="5E6A4EE5"/>
    <w:rsid w:val="5E759DA9"/>
    <w:rsid w:val="5EB368FA"/>
    <w:rsid w:val="5EE1E389"/>
    <w:rsid w:val="5EE698F8"/>
    <w:rsid w:val="5EFAFC92"/>
    <w:rsid w:val="5EFD073A"/>
    <w:rsid w:val="5F159F88"/>
    <w:rsid w:val="5F1BD8F7"/>
    <w:rsid w:val="5F27D9D7"/>
    <w:rsid w:val="5F4E784F"/>
    <w:rsid w:val="5F85241C"/>
    <w:rsid w:val="5F945FEB"/>
    <w:rsid w:val="5FB3449B"/>
    <w:rsid w:val="5FB56619"/>
    <w:rsid w:val="5FBF1D19"/>
    <w:rsid w:val="5FC491AA"/>
    <w:rsid w:val="600DB720"/>
    <w:rsid w:val="6013AF87"/>
    <w:rsid w:val="6045F1B1"/>
    <w:rsid w:val="6088D872"/>
    <w:rsid w:val="60A6C96D"/>
    <w:rsid w:val="60DCFEF3"/>
    <w:rsid w:val="60DF2266"/>
    <w:rsid w:val="60EB1814"/>
    <w:rsid w:val="61014081"/>
    <w:rsid w:val="61072BB2"/>
    <w:rsid w:val="613CA944"/>
    <w:rsid w:val="61422FE7"/>
    <w:rsid w:val="616C87F5"/>
    <w:rsid w:val="6185D4C5"/>
    <w:rsid w:val="618AC5F2"/>
    <w:rsid w:val="618E722B"/>
    <w:rsid w:val="61AC975A"/>
    <w:rsid w:val="620DE494"/>
    <w:rsid w:val="62599D09"/>
    <w:rsid w:val="62D66D70"/>
    <w:rsid w:val="62DC3F0C"/>
    <w:rsid w:val="62ED3B6B"/>
    <w:rsid w:val="630EC707"/>
    <w:rsid w:val="631BA8F0"/>
    <w:rsid w:val="632F0210"/>
    <w:rsid w:val="6338AFA2"/>
    <w:rsid w:val="634E0756"/>
    <w:rsid w:val="6371BF65"/>
    <w:rsid w:val="638D95F5"/>
    <w:rsid w:val="63BBD3BE"/>
    <w:rsid w:val="63C0A90E"/>
    <w:rsid w:val="63D0FC89"/>
    <w:rsid w:val="63E4F1F0"/>
    <w:rsid w:val="63E68194"/>
    <w:rsid w:val="63E9B853"/>
    <w:rsid w:val="642FB31B"/>
    <w:rsid w:val="64B3F74E"/>
    <w:rsid w:val="64BE3AFB"/>
    <w:rsid w:val="64E30B49"/>
    <w:rsid w:val="64ED0202"/>
    <w:rsid w:val="64F422E7"/>
    <w:rsid w:val="651F0385"/>
    <w:rsid w:val="65582993"/>
    <w:rsid w:val="656C2350"/>
    <w:rsid w:val="656E593D"/>
    <w:rsid w:val="65C0BD62"/>
    <w:rsid w:val="65DF48CC"/>
    <w:rsid w:val="65E5671C"/>
    <w:rsid w:val="65EBFB10"/>
    <w:rsid w:val="6643459B"/>
    <w:rsid w:val="664A24E4"/>
    <w:rsid w:val="66729943"/>
    <w:rsid w:val="66B57E0B"/>
    <w:rsid w:val="66D4F7F3"/>
    <w:rsid w:val="66DF17D1"/>
    <w:rsid w:val="66E43901"/>
    <w:rsid w:val="66F3333D"/>
    <w:rsid w:val="66FCD51B"/>
    <w:rsid w:val="67081527"/>
    <w:rsid w:val="6713B375"/>
    <w:rsid w:val="673530F7"/>
    <w:rsid w:val="6740512E"/>
    <w:rsid w:val="675DD9A9"/>
    <w:rsid w:val="6761FF1E"/>
    <w:rsid w:val="678ED4E5"/>
    <w:rsid w:val="67C42012"/>
    <w:rsid w:val="67C75B8D"/>
    <w:rsid w:val="67F1E7EE"/>
    <w:rsid w:val="6821AD8F"/>
    <w:rsid w:val="683863B9"/>
    <w:rsid w:val="684E49B5"/>
    <w:rsid w:val="686C7095"/>
    <w:rsid w:val="6887834F"/>
    <w:rsid w:val="6896A1F0"/>
    <w:rsid w:val="68CD6A0C"/>
    <w:rsid w:val="68CF3018"/>
    <w:rsid w:val="68CF68DE"/>
    <w:rsid w:val="6914AF1A"/>
    <w:rsid w:val="691523F4"/>
    <w:rsid w:val="693964AB"/>
    <w:rsid w:val="695E6285"/>
    <w:rsid w:val="6973DC9F"/>
    <w:rsid w:val="69811A83"/>
    <w:rsid w:val="69AC6231"/>
    <w:rsid w:val="69CDB5EA"/>
    <w:rsid w:val="69D2E5E3"/>
    <w:rsid w:val="69ED34D1"/>
    <w:rsid w:val="6A18FB35"/>
    <w:rsid w:val="6A6FDC8E"/>
    <w:rsid w:val="6A7FA61F"/>
    <w:rsid w:val="6A991D7B"/>
    <w:rsid w:val="6ABFA8A7"/>
    <w:rsid w:val="6AD1D9D8"/>
    <w:rsid w:val="6AF75CE3"/>
    <w:rsid w:val="6AFFE2DE"/>
    <w:rsid w:val="6B29A754"/>
    <w:rsid w:val="6B41911E"/>
    <w:rsid w:val="6B4FA326"/>
    <w:rsid w:val="6B604796"/>
    <w:rsid w:val="6B685B94"/>
    <w:rsid w:val="6B957CBA"/>
    <w:rsid w:val="6BA2A9B1"/>
    <w:rsid w:val="6BBFE6CC"/>
    <w:rsid w:val="6BC6D32D"/>
    <w:rsid w:val="6BCA2FD9"/>
    <w:rsid w:val="6BCD3FB5"/>
    <w:rsid w:val="6BE85A76"/>
    <w:rsid w:val="6BEA3430"/>
    <w:rsid w:val="6BF1F820"/>
    <w:rsid w:val="6C2606AB"/>
    <w:rsid w:val="6C3806AF"/>
    <w:rsid w:val="6C44B89C"/>
    <w:rsid w:val="6C5AAF71"/>
    <w:rsid w:val="6C61899D"/>
    <w:rsid w:val="6C63089F"/>
    <w:rsid w:val="6C787B2F"/>
    <w:rsid w:val="6CA8BC29"/>
    <w:rsid w:val="6CE84F42"/>
    <w:rsid w:val="6D00FA13"/>
    <w:rsid w:val="6D4C4E2C"/>
    <w:rsid w:val="6D51D35E"/>
    <w:rsid w:val="6D69C2A3"/>
    <w:rsid w:val="6D93DA70"/>
    <w:rsid w:val="6DC711A6"/>
    <w:rsid w:val="6DE6CD86"/>
    <w:rsid w:val="6DED578B"/>
    <w:rsid w:val="6DF3F976"/>
    <w:rsid w:val="6DF9AC5B"/>
    <w:rsid w:val="6E27BFB0"/>
    <w:rsid w:val="6E4A0446"/>
    <w:rsid w:val="6E5944AE"/>
    <w:rsid w:val="6E5E4A20"/>
    <w:rsid w:val="6EB75E29"/>
    <w:rsid w:val="6EC7D760"/>
    <w:rsid w:val="6EF251FE"/>
    <w:rsid w:val="6F132792"/>
    <w:rsid w:val="6F885537"/>
    <w:rsid w:val="6F8907F1"/>
    <w:rsid w:val="6F8A874F"/>
    <w:rsid w:val="6F9FF1A0"/>
    <w:rsid w:val="6FB36184"/>
    <w:rsid w:val="6FC1A140"/>
    <w:rsid w:val="702157E4"/>
    <w:rsid w:val="703FC23C"/>
    <w:rsid w:val="70517956"/>
    <w:rsid w:val="70630E10"/>
    <w:rsid w:val="7068098F"/>
    <w:rsid w:val="7086BE92"/>
    <w:rsid w:val="70881DBA"/>
    <w:rsid w:val="70B67E18"/>
    <w:rsid w:val="70C17FE3"/>
    <w:rsid w:val="70D64821"/>
    <w:rsid w:val="70EF9004"/>
    <w:rsid w:val="71026C9B"/>
    <w:rsid w:val="710D2828"/>
    <w:rsid w:val="713532EE"/>
    <w:rsid w:val="716B22E4"/>
    <w:rsid w:val="71787755"/>
    <w:rsid w:val="719B2913"/>
    <w:rsid w:val="71D96FED"/>
    <w:rsid w:val="72076177"/>
    <w:rsid w:val="721C4D66"/>
    <w:rsid w:val="7222CD66"/>
    <w:rsid w:val="72484C6B"/>
    <w:rsid w:val="725863AB"/>
    <w:rsid w:val="726FA98D"/>
    <w:rsid w:val="72848A84"/>
    <w:rsid w:val="728FDF6C"/>
    <w:rsid w:val="72A6973B"/>
    <w:rsid w:val="73039B26"/>
    <w:rsid w:val="7327FC74"/>
    <w:rsid w:val="733A8096"/>
    <w:rsid w:val="73611A74"/>
    <w:rsid w:val="73D4716E"/>
    <w:rsid w:val="74355E04"/>
    <w:rsid w:val="74385CCF"/>
    <w:rsid w:val="744365AD"/>
    <w:rsid w:val="745ACCE9"/>
    <w:rsid w:val="74649CC2"/>
    <w:rsid w:val="748DA4AE"/>
    <w:rsid w:val="74AA913B"/>
    <w:rsid w:val="74AAC41B"/>
    <w:rsid w:val="74BD3705"/>
    <w:rsid w:val="74DA962E"/>
    <w:rsid w:val="74E78EAA"/>
    <w:rsid w:val="74FFC31A"/>
    <w:rsid w:val="75461F02"/>
    <w:rsid w:val="757D4041"/>
    <w:rsid w:val="75883D82"/>
    <w:rsid w:val="75C467CE"/>
    <w:rsid w:val="75D95051"/>
    <w:rsid w:val="75E4ECDB"/>
    <w:rsid w:val="75E8B970"/>
    <w:rsid w:val="76099C69"/>
    <w:rsid w:val="7632A02E"/>
    <w:rsid w:val="76508F2D"/>
    <w:rsid w:val="7655AFB2"/>
    <w:rsid w:val="7668C07E"/>
    <w:rsid w:val="769CDFA8"/>
    <w:rsid w:val="76CA791E"/>
    <w:rsid w:val="76FDFE2C"/>
    <w:rsid w:val="770DD8C3"/>
    <w:rsid w:val="7722F220"/>
    <w:rsid w:val="773D284F"/>
    <w:rsid w:val="773FCF88"/>
    <w:rsid w:val="7753152B"/>
    <w:rsid w:val="777FC7F2"/>
    <w:rsid w:val="7784575C"/>
    <w:rsid w:val="778D3B03"/>
    <w:rsid w:val="77BE516D"/>
    <w:rsid w:val="77D41EC6"/>
    <w:rsid w:val="77F6C6E2"/>
    <w:rsid w:val="781F8240"/>
    <w:rsid w:val="782D213B"/>
    <w:rsid w:val="7832B350"/>
    <w:rsid w:val="78384B06"/>
    <w:rsid w:val="7838CD7E"/>
    <w:rsid w:val="7843B791"/>
    <w:rsid w:val="785CFC55"/>
    <w:rsid w:val="78867A59"/>
    <w:rsid w:val="78B034E9"/>
    <w:rsid w:val="78B3F778"/>
    <w:rsid w:val="78BB7D4F"/>
    <w:rsid w:val="78CBF436"/>
    <w:rsid w:val="78DCB93B"/>
    <w:rsid w:val="78E1E02E"/>
    <w:rsid w:val="78E325AC"/>
    <w:rsid w:val="78FDC8E3"/>
    <w:rsid w:val="7900743A"/>
    <w:rsid w:val="79070E8A"/>
    <w:rsid w:val="791535C1"/>
    <w:rsid w:val="7925F7FF"/>
    <w:rsid w:val="7957B457"/>
    <w:rsid w:val="79750876"/>
    <w:rsid w:val="7978AAD7"/>
    <w:rsid w:val="79B147D0"/>
    <w:rsid w:val="79B4978E"/>
    <w:rsid w:val="79C868CC"/>
    <w:rsid w:val="79CF2584"/>
    <w:rsid w:val="79ECE79A"/>
    <w:rsid w:val="7A36C14A"/>
    <w:rsid w:val="7A6578FC"/>
    <w:rsid w:val="7A73C45C"/>
    <w:rsid w:val="7A757B70"/>
    <w:rsid w:val="7A769895"/>
    <w:rsid w:val="7A8D40A8"/>
    <w:rsid w:val="7A93889E"/>
    <w:rsid w:val="7A9806AD"/>
    <w:rsid w:val="7AC21A24"/>
    <w:rsid w:val="7AE8C0EE"/>
    <w:rsid w:val="7AF35645"/>
    <w:rsid w:val="7AFE578C"/>
    <w:rsid w:val="7B07C37A"/>
    <w:rsid w:val="7B0D7E17"/>
    <w:rsid w:val="7B216A06"/>
    <w:rsid w:val="7B222BC7"/>
    <w:rsid w:val="7B48B0A8"/>
    <w:rsid w:val="7B48ED37"/>
    <w:rsid w:val="7B4D78CE"/>
    <w:rsid w:val="7B5CC7C5"/>
    <w:rsid w:val="7B6E3A57"/>
    <w:rsid w:val="7BA82082"/>
    <w:rsid w:val="7BEB169B"/>
    <w:rsid w:val="7BFCF5BA"/>
    <w:rsid w:val="7C30657B"/>
    <w:rsid w:val="7C7360EF"/>
    <w:rsid w:val="7C93D9D7"/>
    <w:rsid w:val="7CD6BD6E"/>
    <w:rsid w:val="7CDF395C"/>
    <w:rsid w:val="7CF0D111"/>
    <w:rsid w:val="7CF77591"/>
    <w:rsid w:val="7D008BE5"/>
    <w:rsid w:val="7D46AF78"/>
    <w:rsid w:val="7D8E194A"/>
    <w:rsid w:val="7D9570AA"/>
    <w:rsid w:val="7DA0B554"/>
    <w:rsid w:val="7DA6EE13"/>
    <w:rsid w:val="7DCD8FE7"/>
    <w:rsid w:val="7DDC6328"/>
    <w:rsid w:val="7DEC25D8"/>
    <w:rsid w:val="7E04A800"/>
    <w:rsid w:val="7E0E65E9"/>
    <w:rsid w:val="7E1826DE"/>
    <w:rsid w:val="7E1D2EE8"/>
    <w:rsid w:val="7E8F37AB"/>
    <w:rsid w:val="7E9D3018"/>
    <w:rsid w:val="7ED15FF8"/>
    <w:rsid w:val="7EEAFF0A"/>
    <w:rsid w:val="7F144EDE"/>
    <w:rsid w:val="7F1D8A00"/>
    <w:rsid w:val="7F31EB66"/>
    <w:rsid w:val="7F472B0B"/>
    <w:rsid w:val="7F5DFAD3"/>
    <w:rsid w:val="7F84BD26"/>
    <w:rsid w:val="7F8F13BB"/>
    <w:rsid w:val="7FCBB754"/>
    <w:rsid w:val="7FFD8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5"/>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5"/>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3"/>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4"/>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customStyle="1" w:styleId="UnresolvedMention1">
    <w:name w:val="Unresolved Mention1"/>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C1126C"/>
    <w:rPr>
      <w:sz w:val="16"/>
      <w:szCs w:val="16"/>
    </w:rPr>
  </w:style>
  <w:style w:type="paragraph" w:styleId="CommentText">
    <w:name w:val="annotation text"/>
    <w:basedOn w:val="Normal"/>
    <w:link w:val="CommentTextChar"/>
    <w:semiHidden/>
    <w:unhideWhenUsed/>
    <w:rsid w:val="00C1126C"/>
    <w:rPr>
      <w:sz w:val="20"/>
    </w:rPr>
  </w:style>
  <w:style w:type="character" w:customStyle="1" w:styleId="CommentTextChar">
    <w:name w:val="Comment Text Char"/>
    <w:basedOn w:val="DefaultParagraphFont"/>
    <w:link w:val="CommentText"/>
    <w:semiHidden/>
    <w:rsid w:val="00C1126C"/>
    <w:rPr>
      <w:rFonts w:ascii="Palatino" w:hAnsi="Palatino"/>
    </w:rPr>
  </w:style>
  <w:style w:type="paragraph" w:styleId="CommentSubject">
    <w:name w:val="annotation subject"/>
    <w:basedOn w:val="CommentText"/>
    <w:next w:val="CommentText"/>
    <w:link w:val="CommentSubjectChar"/>
    <w:semiHidden/>
    <w:unhideWhenUsed/>
    <w:rsid w:val="00C1126C"/>
    <w:rPr>
      <w:b/>
      <w:bCs/>
    </w:rPr>
  </w:style>
  <w:style w:type="character" w:customStyle="1" w:styleId="CommentSubjectChar">
    <w:name w:val="Comment Subject Char"/>
    <w:basedOn w:val="CommentTextChar"/>
    <w:link w:val="CommentSubject"/>
    <w:semiHidden/>
    <w:rsid w:val="00C1126C"/>
    <w:rPr>
      <w:rFonts w:ascii="Palatino" w:hAnsi="Palatino"/>
      <w:b/>
      <w:bCs/>
    </w:rPr>
  </w:style>
  <w:style w:type="paragraph" w:styleId="Revision">
    <w:name w:val="Revision"/>
    <w:hidden/>
    <w:uiPriority w:val="99"/>
    <w:semiHidden/>
    <w:rsid w:val="00FD007A"/>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176727923">
      <w:bodyDiv w:val="1"/>
      <w:marLeft w:val="0"/>
      <w:marRight w:val="0"/>
      <w:marTop w:val="0"/>
      <w:marBottom w:val="0"/>
      <w:divBdr>
        <w:top w:val="none" w:sz="0" w:space="0" w:color="auto"/>
        <w:left w:val="none" w:sz="0" w:space="0" w:color="auto"/>
        <w:bottom w:val="none" w:sz="0" w:space="0" w:color="auto"/>
        <w:right w:val="none" w:sz="0" w:space="0" w:color="auto"/>
      </w:divBdr>
    </w:div>
    <w:div w:id="2038041087">
      <w:bodyDiv w:val="1"/>
      <w:marLeft w:val="0"/>
      <w:marRight w:val="0"/>
      <w:marTop w:val="0"/>
      <w:marBottom w:val="0"/>
      <w:divBdr>
        <w:top w:val="none" w:sz="0" w:space="0" w:color="auto"/>
        <w:left w:val="none" w:sz="0" w:space="0" w:color="auto"/>
        <w:bottom w:val="none" w:sz="0" w:space="0" w:color="auto"/>
        <w:right w:val="none" w:sz="0" w:space="0" w:color="auto"/>
      </w:divBdr>
    </w:div>
    <w:div w:id="21073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12" ma:contentTypeDescription="Create a new document." ma:contentTypeScope="" ma:versionID="68943819a1656b960083b9b093039d7a">
  <xsd:schema xmlns:xsd="http://www.w3.org/2001/XMLSchema" xmlns:xs="http://www.w3.org/2001/XMLSchema" xmlns:p="http://schemas.microsoft.com/office/2006/metadata/properties" xmlns:ns3="b68f4fe1-3a55-4bcc-9c2a-17f3e71cc75b" xmlns:ns4="939e3009-1176-41fd-a24b-ed27b0027fde" targetNamespace="http://schemas.microsoft.com/office/2006/metadata/properties" ma:root="true" ma:fieldsID="112ca5a50018b9c1f946fe8308963e07" ns3:_="" ns4:_="">
    <xsd:import namespace="b68f4fe1-3a55-4bcc-9c2a-17f3e71cc75b"/>
    <xsd:import namespace="939e3009-1176-41fd-a24b-ed27b0027f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e3009-1176-41fd-a24b-ed27b002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BBB77-AC50-4C84-A127-3269914A2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FD582-0154-4DFA-B31E-67C69983C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939e3009-1176-41fd-a24b-ed27b002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E129F-5E6A-49B3-961B-10E53FBAA893}">
  <ds:schemaRefs>
    <ds:schemaRef ds:uri="http://schemas.openxmlformats.org/officeDocument/2006/bibliography"/>
  </ds:schemaRefs>
</ds:datastoreItem>
</file>

<file path=customXml/itemProps4.xml><?xml version="1.0" encoding="utf-8"?>
<ds:datastoreItem xmlns:ds="http://schemas.openxmlformats.org/officeDocument/2006/customXml" ds:itemID="{ADCFF2DF-E861-443E-8D45-FCAD319D0ED6}">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3964</ap:Words>
  <ap:Characters>22600</ap:Characters>
  <ap:Application>Microsoft Office Word</ap:Application>
  <ap:DocSecurity>0</ap:DocSecurity>
  <ap:Lines>188</ap:Lines>
  <ap:Paragraphs>53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26511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2021-05-07T10:13:36Z</dcterms:created>
  <dcterms:modified xsi:type="dcterms:W3CDTF">2021-05-07T10:13:36Z</dcterms:modified>
</cp:coreProperties>
</file>