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E4315" w:rsidR="00173CAB" w:rsidP="009437F8" w:rsidRDefault="005745E6" w14:paraId="517EE9E6" w14:textId="3C05797E">
      <w:pPr>
        <w:tabs>
          <w:tab w:val="center" w:pos="4410"/>
          <w:tab w:val="right" w:pos="9360"/>
        </w:tabs>
        <w:spacing w:line="240" w:lineRule="auto"/>
        <w:ind w:firstLine="0"/>
        <w:rPr>
          <w:b/>
        </w:rPr>
      </w:pPr>
      <w:r>
        <w:t>ALJ</w:t>
      </w:r>
      <w:r w:rsidR="00DA7B5D">
        <w:t>/</w:t>
      </w:r>
      <w:r>
        <w:t>CS8</w:t>
      </w:r>
      <w:r w:rsidR="00DA7B5D">
        <w:t>/</w:t>
      </w:r>
      <w:r>
        <w:t>mph</w:t>
      </w:r>
      <w:r w:rsidR="007E0FEE">
        <w:tab/>
      </w:r>
      <w:r w:rsidR="009437F8">
        <w:tab/>
      </w:r>
      <w:r w:rsidRPr="009437F8" w:rsidR="009437F8">
        <w:rPr>
          <w:b/>
          <w:bCs/>
        </w:rPr>
        <w:t>Date of Issuance 5/10/2021</w:t>
      </w:r>
    </w:p>
    <w:p w:rsidR="00DA7B5D" w:rsidP="008F0116" w:rsidRDefault="00DA7B5D" w14:paraId="1073EB8D" w14:textId="77777777">
      <w:pPr>
        <w:ind w:firstLine="0"/>
      </w:pPr>
    </w:p>
    <w:p w:rsidRPr="00000EB5" w:rsidR="00DA7B5D" w:rsidP="0098655A" w:rsidRDefault="00DA7B5D" w14:paraId="4A2027C9" w14:textId="4048450C">
      <w:pPr>
        <w:ind w:left="1080" w:hanging="1080"/>
        <w:rPr>
          <w:b/>
          <w:bCs/>
        </w:rPr>
      </w:pPr>
      <w:r>
        <w:t xml:space="preserve">Decision </w:t>
      </w:r>
      <w:r w:rsidR="009437F8">
        <w:t>21-05-</w:t>
      </w:r>
      <w:proofErr w:type="gramStart"/>
      <w:r w:rsidR="009437F8">
        <w:t>011  May</w:t>
      </w:r>
      <w:proofErr w:type="gramEnd"/>
      <w:r w:rsidR="009437F8">
        <w:t xml:space="preserve"> 6, 2021</w:t>
      </w:r>
    </w:p>
    <w:p w:rsidR="00DA7B5D" w:rsidP="00BB0243" w:rsidRDefault="00DA7B5D" w14:paraId="4EA32043" w14:textId="77777777">
      <w:pPr>
        <w:spacing w:line="240" w:lineRule="auto"/>
        <w:jc w:val="center"/>
        <w:rPr>
          <w:u w:val="single"/>
        </w:rPr>
      </w:pPr>
    </w:p>
    <w:p w:rsidR="00DA7B5D" w:rsidP="00BB0243" w:rsidRDefault="00DA7B5D" w14:paraId="631986CD"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655545DB"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21152C2B" w14:textId="77777777">
        <w:trPr>
          <w:jc w:val="center"/>
        </w:trPr>
        <w:tc>
          <w:tcPr>
            <w:tcW w:w="5040" w:type="dxa"/>
            <w:tcBorders>
              <w:top w:val="nil"/>
              <w:left w:val="nil"/>
              <w:bottom w:val="single" w:color="auto" w:sz="4" w:space="0"/>
              <w:right w:val="single" w:color="auto" w:sz="4" w:space="0"/>
            </w:tcBorders>
          </w:tcPr>
          <w:p w:rsidRPr="00DA7B5D" w:rsidR="00DA7B5D" w:rsidP="007679B0" w:rsidRDefault="007A5EFD" w14:paraId="1365C52B" w14:textId="4AA4A572">
            <w:pPr>
              <w:spacing w:line="240" w:lineRule="auto"/>
              <w:ind w:firstLine="0"/>
              <w:rPr>
                <w:rFonts w:cs="Arial"/>
                <w:szCs w:val="26"/>
              </w:rPr>
            </w:pPr>
            <w:r w:rsidRPr="001A1ADE">
              <w:rPr>
                <w:rFonts w:cs="Arial"/>
                <w:szCs w:val="26"/>
              </w:rPr>
              <w:t>Application of the Mussey Grade</w:t>
            </w:r>
            <w:r w:rsidR="007679B0">
              <w:rPr>
                <w:rFonts w:cs="Arial"/>
                <w:szCs w:val="26"/>
              </w:rPr>
              <w:t xml:space="preserve"> </w:t>
            </w:r>
            <w:r w:rsidRPr="001A1ADE">
              <w:rPr>
                <w:rFonts w:cs="Arial"/>
                <w:szCs w:val="26"/>
              </w:rPr>
              <w:t>Road Alliance for award of intervenor</w:t>
            </w:r>
            <w:r w:rsidR="007679B0">
              <w:rPr>
                <w:rFonts w:cs="Arial"/>
                <w:szCs w:val="26"/>
              </w:rPr>
              <w:t xml:space="preserve"> </w:t>
            </w:r>
            <w:r w:rsidRPr="001A1ADE">
              <w:rPr>
                <w:rFonts w:cs="Arial"/>
                <w:szCs w:val="26"/>
              </w:rPr>
              <w:t>compensation for substantial</w:t>
            </w:r>
            <w:r w:rsidR="007679B0">
              <w:rPr>
                <w:rFonts w:cs="Arial"/>
                <w:szCs w:val="26"/>
              </w:rPr>
              <w:t xml:space="preserve"> </w:t>
            </w:r>
            <w:r w:rsidRPr="001A1ADE">
              <w:rPr>
                <w:rFonts w:cs="Arial"/>
                <w:szCs w:val="26"/>
              </w:rPr>
              <w:t>contributions to Resolutions WSD-002,</w:t>
            </w:r>
            <w:r w:rsidR="007679B0">
              <w:rPr>
                <w:rFonts w:cs="Arial"/>
                <w:szCs w:val="26"/>
              </w:rPr>
              <w:t xml:space="preserve"> </w:t>
            </w:r>
            <w:r w:rsidRPr="001A1ADE">
              <w:rPr>
                <w:rFonts w:cs="Arial"/>
                <w:szCs w:val="26"/>
              </w:rPr>
              <w:t>WSD-003, WSD-004, and WSD-005</w:t>
            </w:r>
            <w:r>
              <w:rPr>
                <w:rFonts w:cs="Arial"/>
                <w:szCs w:val="26"/>
              </w:rPr>
              <w:t>.</w:t>
            </w:r>
            <w:r w:rsidRPr="00DA7B5D" w:rsidR="00DA7B5D">
              <w:rPr>
                <w:rFonts w:cs="Arial"/>
                <w:szCs w:val="26"/>
              </w:rPr>
              <w:br/>
            </w:r>
          </w:p>
        </w:tc>
        <w:tc>
          <w:tcPr>
            <w:tcW w:w="5040" w:type="dxa"/>
            <w:tcBorders>
              <w:top w:val="nil"/>
              <w:left w:val="single" w:color="auto" w:sz="4" w:space="0"/>
              <w:bottom w:val="nil"/>
              <w:right w:val="nil"/>
            </w:tcBorders>
            <w:vAlign w:val="center"/>
          </w:tcPr>
          <w:p w:rsidR="00DA7B5D" w:rsidP="00412C83" w:rsidRDefault="007A5EFD" w14:paraId="0791560F" w14:textId="5F45D8CC">
            <w:pPr>
              <w:spacing w:line="240" w:lineRule="auto"/>
              <w:ind w:firstLine="0"/>
              <w:jc w:val="center"/>
              <w:rPr>
                <w:rFonts w:cs="Arial"/>
                <w:szCs w:val="26"/>
              </w:rPr>
            </w:pPr>
            <w:r>
              <w:rPr>
                <w:rFonts w:cs="Arial"/>
                <w:szCs w:val="26"/>
              </w:rPr>
              <w:t>Application 20-08-004</w:t>
            </w:r>
          </w:p>
          <w:p w:rsidRPr="00DA7B5D" w:rsidR="007A5EFD" w:rsidP="00412C83" w:rsidRDefault="007A5EFD" w14:paraId="4249B798" w14:textId="6F28B414">
            <w:pPr>
              <w:spacing w:line="240" w:lineRule="auto"/>
              <w:ind w:firstLine="0"/>
              <w:jc w:val="center"/>
              <w:rPr>
                <w:rFonts w:cs="Arial"/>
                <w:szCs w:val="26"/>
              </w:rPr>
            </w:pPr>
          </w:p>
        </w:tc>
      </w:tr>
    </w:tbl>
    <w:p w:rsidR="00DA7B5D" w:rsidP="008F0116" w:rsidRDefault="00DA7B5D" w14:paraId="444C4151" w14:textId="77777777">
      <w:pPr>
        <w:spacing w:line="240" w:lineRule="auto"/>
        <w:ind w:firstLine="0"/>
        <w:rPr>
          <w:rFonts w:ascii="Arial" w:hAnsi="Arial" w:cs="Arial"/>
          <w:sz w:val="24"/>
          <w:szCs w:val="24"/>
        </w:rPr>
      </w:pPr>
    </w:p>
    <w:p w:rsidR="00DA7B5D" w:rsidP="008F0116" w:rsidRDefault="00DA7B5D" w14:paraId="3C729625" w14:textId="77777777">
      <w:pPr>
        <w:spacing w:line="240" w:lineRule="auto"/>
        <w:ind w:firstLine="0"/>
        <w:rPr>
          <w:rFonts w:ascii="Arial" w:hAnsi="Arial" w:cs="Arial"/>
          <w:sz w:val="24"/>
          <w:szCs w:val="24"/>
        </w:rPr>
      </w:pPr>
    </w:p>
    <w:p w:rsidR="00D50119" w:rsidP="00030F6C" w:rsidRDefault="007A5EFD" w14:paraId="234F2048" w14:textId="0DB590B4">
      <w:pPr>
        <w:pStyle w:val="Dummy"/>
        <w:jc w:val="center"/>
        <w:rPr>
          <w:rFonts w:ascii="Book Antiqua" w:hAnsi="Book Antiqua"/>
        </w:rPr>
      </w:pPr>
      <w:r>
        <w:t xml:space="preserve">DECISION GRANTING INTERVENOR COMPENSATION TO THE MUSSEY GRADE ROAD ALLIANCE FOR CONTRIBUTION TO RESOLUTIONS </w:t>
      </w:r>
      <w:r w:rsidR="00BC39E0">
        <w:br/>
      </w:r>
      <w:r>
        <w:t>WSD-002, WSD-003, WSD-004, and WSD-005</w:t>
      </w:r>
    </w:p>
    <w:p w:rsidRPr="00C44AF8" w:rsidR="00C44AF8" w:rsidP="00C44AF8" w:rsidRDefault="00C44AF8" w14:paraId="32372BBA" w14:textId="77777777"/>
    <w:p w:rsidR="005A148C" w:rsidP="007679B0" w:rsidRDefault="005A148C" w14:paraId="29761FB7" w14:textId="77777777">
      <w:pPr>
        <w:pStyle w:val="Dummy"/>
      </w:pPr>
      <w:bookmarkStart w:name="_Toc8123714" w:id="0"/>
      <w:bookmarkStart w:name="_Toc12866683" w:id="1"/>
      <w:r w:rsidRPr="007679B0">
        <w:t>Summary</w:t>
      </w:r>
      <w:bookmarkEnd w:id="0"/>
      <w:bookmarkEnd w:id="1"/>
    </w:p>
    <w:p w:rsidR="007A5EFD" w:rsidP="007679B0" w:rsidRDefault="007A5EFD" w14:paraId="665C6771" w14:textId="7970E588">
      <w:pPr>
        <w:pStyle w:val="Standard"/>
      </w:pPr>
      <w:r w:rsidRPr="007679B0">
        <w:t>The</w:t>
      </w:r>
      <w:r>
        <w:t xml:space="preserve"> Mussey Grade Road Alliance is seeking $71,773 in intervenor compensation for its contribution to the public process leading to the Commission’s adoption of multiple Resolutions related to the regulated utilities’ Wildfire Management Plans</w:t>
      </w:r>
      <w:r w:rsidR="00D601DB">
        <w:t xml:space="preserve"> issued by the Wildfire Safety Division in 2020</w:t>
      </w:r>
      <w:r>
        <w:t>.</w:t>
      </w:r>
      <w:r w:rsidR="00BC735D">
        <w:t xml:space="preserve"> </w:t>
      </w:r>
      <w:r>
        <w:t xml:space="preserve"> We award the </w:t>
      </w:r>
      <w:r w:rsidR="001161C9">
        <w:t xml:space="preserve">Mussey Grade Road </w:t>
      </w:r>
      <w:r>
        <w:t xml:space="preserve">Alliance </w:t>
      </w:r>
      <w:r w:rsidRPr="00E24E7D">
        <w:t>$</w:t>
      </w:r>
      <w:r w:rsidR="00A51F86">
        <w:t>66,267</w:t>
      </w:r>
      <w:r>
        <w:t>, plus interest, based on its contribution to the referenced resolutions.</w:t>
      </w:r>
      <w:r w:rsidR="00A77FBB">
        <w:t xml:space="preserve"> </w:t>
      </w:r>
      <w:r>
        <w:t xml:space="preserve"> This proceeding is closed. </w:t>
      </w:r>
    </w:p>
    <w:p w:rsidRPr="00121089" w:rsidR="007A5EFD" w:rsidP="007679B0" w:rsidRDefault="007A5EFD" w14:paraId="01F94E1E" w14:textId="77777777">
      <w:pPr>
        <w:pStyle w:val="Heading1"/>
      </w:pPr>
      <w:r w:rsidRPr="007679B0">
        <w:t>Background</w:t>
      </w:r>
    </w:p>
    <w:p w:rsidR="00C837A5" w:rsidP="007679B0" w:rsidRDefault="007A5EFD" w14:paraId="015A4707" w14:textId="77777777">
      <w:pPr>
        <w:pStyle w:val="Standard"/>
        <w:sectPr w:rsidR="00C837A5" w:rsidSect="00D44DB6">
          <w:footerReference w:type="default" r:id="rId8"/>
          <w:pgSz w:w="12240" w:h="15840"/>
          <w:pgMar w:top="1728" w:right="1440" w:bottom="1440" w:left="1440" w:header="720" w:footer="720" w:gutter="0"/>
          <w:pgNumType w:start="1"/>
          <w:cols w:space="720"/>
          <w:docGrid w:linePitch="360"/>
        </w:sectPr>
      </w:pPr>
      <w:r w:rsidRPr="00166900">
        <w:t xml:space="preserve">Public </w:t>
      </w:r>
      <w:r w:rsidRPr="007679B0">
        <w:t>Utilities</w:t>
      </w:r>
      <w:r w:rsidRPr="00166900">
        <w:t xml:space="preserve"> Code Section 8386(b) requires each regulated electrical utility to annually prepare and submit a Wildfire Mitigation Plan (WMP) to the </w:t>
      </w:r>
    </w:p>
    <w:p w:rsidRPr="007B7DB3" w:rsidR="007A5EFD" w:rsidP="00BA1E7C" w:rsidRDefault="007A5EFD" w14:paraId="5436963C" w14:textId="276106A0">
      <w:pPr>
        <w:pStyle w:val="Standard"/>
        <w:ind w:firstLine="0"/>
      </w:pPr>
      <w:r w:rsidRPr="00166900">
        <w:lastRenderedPageBreak/>
        <w:t>Commission’s Wildfire Safety Division (WSD) for review and approval.</w:t>
      </w:r>
      <w:r w:rsidR="005F0294">
        <w:rPr>
          <w:rStyle w:val="FootnoteReference"/>
        </w:rPr>
        <w:footnoteReference w:id="2"/>
      </w:r>
      <w:r w:rsidRPr="00166900">
        <w:t xml:space="preserve">  Section 8386.3(a) requires WSD to review and approve or deny each WMP within three months of submittal and for the Commission to ratify the WSD’s actions.  In rendering its approval, denial, or modification of the WMPs, the WSD is required to consider public comments submitted pursuant to subdivision (d) of </w:t>
      </w:r>
      <w:r w:rsidR="009319A3">
        <w:br/>
      </w:r>
      <w:r w:rsidRPr="00166900">
        <w:t xml:space="preserve">Section 8386.  </w:t>
      </w:r>
    </w:p>
    <w:p w:rsidRPr="007B7DB3" w:rsidR="007A5EFD" w:rsidP="00565301" w:rsidRDefault="007A5EFD" w14:paraId="4D2E64A0" w14:textId="5047F766">
      <w:pPr>
        <w:pStyle w:val="Standard"/>
      </w:pPr>
      <w:r w:rsidRPr="007B7DB3">
        <w:t xml:space="preserve">On May 7, 2020, WSD issued Draft Resolution WSD-002 proposing the Division’s guidance on the evaluation of the electrical corporations’ 2020 WMPs.  That same day, WSD issued separate resolutions proposing their action on Pacific Gas and Electric Company (PG&amp;E), Southern California Edison (SCE), and San Diego Gas &amp; Electric Company (SDG&amp;E)’s WMPs in Resolutions </w:t>
      </w:r>
      <w:r w:rsidR="009319A3">
        <w:br/>
      </w:r>
      <w:r w:rsidRPr="007B7DB3">
        <w:t>WSD-003, WSD-004, and WSD-005, respectively. Comments on Draft Resolution WSD-002, WSD-003, WSD-004, and WSD-005 were due on May 27, 2020.  The Mussey Grade Road Alliance (MGRA)</w:t>
      </w:r>
      <w:r w:rsidRPr="00166900">
        <w:t xml:space="preserve"> was among several parties that provided comme</w:t>
      </w:r>
      <w:r w:rsidRPr="007B7DB3">
        <w:t xml:space="preserve">nts on the draft resolutions, which were considered by WSD in developing the final Resolutions WSD-002, WSD-003, WSD-004, and WSD-005, as adopted by the Commission on June 11, 2020. </w:t>
      </w:r>
    </w:p>
    <w:p w:rsidRPr="007B7DB3" w:rsidR="007A5EFD" w:rsidP="00565301" w:rsidRDefault="007A5EFD" w14:paraId="07D71D07" w14:textId="73EAE4A2">
      <w:pPr>
        <w:pStyle w:val="Standard"/>
      </w:pPr>
      <w:r w:rsidRPr="00565301">
        <w:t>Sections</w:t>
      </w:r>
      <w:r w:rsidRPr="007B7DB3">
        <w:t xml:space="preserve"> 1801-1812 define the requirements for compensation provided to intervenors that significantly contribute to decisions or other formal actions that are ratified by the full Commission. </w:t>
      </w:r>
      <w:r w:rsidR="009319A3">
        <w:t xml:space="preserve"> </w:t>
      </w:r>
      <w:r w:rsidRPr="007B7DB3">
        <w:t>On August 3, 2020, MGRA</w:t>
      </w:r>
      <w:r w:rsidRPr="00166900">
        <w:t xml:space="preserve"> filed Application (A.) 20-08-004</w:t>
      </w:r>
      <w:r w:rsidRPr="007B7DB3">
        <w:t xml:space="preserve"> seeking intervenor compensation (ICOMP) for its contribution to Resolutions WSD-002, WSD-003, WSD-004, and WSD-005.  </w:t>
      </w:r>
    </w:p>
    <w:p w:rsidRPr="007B7DB3" w:rsidR="007A5EFD" w:rsidP="00565301" w:rsidRDefault="007A5EFD" w14:paraId="62815348" w14:textId="77777777">
      <w:pPr>
        <w:pStyle w:val="Standard"/>
      </w:pPr>
      <w:r w:rsidRPr="007B7DB3">
        <w:lastRenderedPageBreak/>
        <w:t xml:space="preserve">A </w:t>
      </w:r>
      <w:r w:rsidRPr="00565301">
        <w:t>Prehearing</w:t>
      </w:r>
      <w:r w:rsidRPr="007B7DB3">
        <w:t xml:space="preserve"> Conference (PHC) was held on January 21, 2021, to address the issues of law and fact, determine the need for hearing, set the schedule for resolving the matter, and address other </w:t>
      </w:r>
      <w:proofErr w:type="gramStart"/>
      <w:r w:rsidRPr="007B7DB3">
        <w:t>matters</w:t>
      </w:r>
      <w:proofErr w:type="gramEnd"/>
      <w:r w:rsidRPr="007B7DB3">
        <w:t xml:space="preserve"> as necessary. </w:t>
      </w:r>
    </w:p>
    <w:p w:rsidRPr="007B7DB3" w:rsidR="007A5EFD" w:rsidP="00565301" w:rsidRDefault="007A5EFD" w14:paraId="1664E4C6" w14:textId="77777777">
      <w:pPr>
        <w:pStyle w:val="Standard"/>
      </w:pPr>
      <w:r w:rsidRPr="007B7DB3">
        <w:t>President Batjer issued a Scoping Memo and Ruling (scoping memo) defining the scope of the proceeding on January 29, 2021.</w:t>
      </w:r>
    </w:p>
    <w:p w:rsidR="007A5EFD" w:rsidP="00565301" w:rsidRDefault="007A5EFD" w14:paraId="37A93DD2" w14:textId="77777777">
      <w:pPr>
        <w:pStyle w:val="Heading1"/>
      </w:pPr>
      <w:r>
        <w:t xml:space="preserve">Issues </w:t>
      </w:r>
      <w:r w:rsidRPr="00565301">
        <w:t>Before</w:t>
      </w:r>
      <w:r>
        <w:t xml:space="preserve"> the Commission</w:t>
      </w:r>
    </w:p>
    <w:p w:rsidR="007A5EFD" w:rsidP="00565301" w:rsidRDefault="007A5EFD" w14:paraId="72B57C79" w14:textId="77777777">
      <w:pPr>
        <w:pStyle w:val="Standard"/>
      </w:pPr>
      <w:r>
        <w:t xml:space="preserve">The </w:t>
      </w:r>
      <w:r w:rsidRPr="00565301">
        <w:t>issues</w:t>
      </w:r>
      <w:r>
        <w:t xml:space="preserve"> to be determined, as set forth in the January 29, 2021, scoping memo are:</w:t>
      </w:r>
    </w:p>
    <w:p w:rsidRPr="00166900" w:rsidR="007A5EFD" w:rsidP="00565301" w:rsidRDefault="007A5EFD" w14:paraId="37753055" w14:textId="77777777">
      <w:pPr>
        <w:pStyle w:val="FoF"/>
        <w:spacing w:after="120" w:line="240" w:lineRule="auto"/>
        <w:ind w:left="1440" w:right="1440" w:hanging="180"/>
      </w:pPr>
      <w:r w:rsidRPr="00166900">
        <w:t>Does A.20-08-004 satisfy all the requirements of Sections 1801-1812?</w:t>
      </w:r>
    </w:p>
    <w:p w:rsidRPr="007B7DB3" w:rsidR="007A5EFD" w:rsidP="00565301" w:rsidRDefault="007A5EFD" w14:paraId="25CC08D1" w14:textId="32D9B670">
      <w:pPr>
        <w:pStyle w:val="FoF"/>
        <w:spacing w:after="120" w:line="240" w:lineRule="auto"/>
        <w:ind w:left="1440" w:right="1440" w:hanging="180"/>
      </w:pPr>
      <w:r w:rsidRPr="007B7DB3">
        <w:t xml:space="preserve">Did MGRA make a significant contribution to Resolutions WSD-002, WSD-003, WSD-004, and </w:t>
      </w:r>
      <w:r w:rsidR="007D58A3">
        <w:br/>
      </w:r>
      <w:r w:rsidRPr="007B7DB3">
        <w:t xml:space="preserve">WSD-005 as adopted by the Commission? </w:t>
      </w:r>
    </w:p>
    <w:p w:rsidRPr="007B7DB3" w:rsidR="007A5EFD" w:rsidP="00565301" w:rsidRDefault="007A5EFD" w14:paraId="1F7B0EE6" w14:textId="77777777">
      <w:pPr>
        <w:pStyle w:val="FoF"/>
        <w:spacing w:after="120" w:line="240" w:lineRule="auto"/>
        <w:ind w:left="1440" w:right="1440" w:hanging="180"/>
      </w:pPr>
      <w:r w:rsidRPr="007B7DB3">
        <w:t>Are MGRA’s claimed costs and expenses reasonable and comparable to market rates paid to experts and advocates having comparable training and experience and offering similar services?</w:t>
      </w:r>
    </w:p>
    <w:p w:rsidR="007A5EFD" w:rsidP="00565301" w:rsidRDefault="007A5EFD" w14:paraId="3F316140" w14:textId="77777777">
      <w:pPr>
        <w:pStyle w:val="Heading1"/>
      </w:pPr>
      <w:r w:rsidRPr="00565301">
        <w:t>Eligibility</w:t>
      </w:r>
      <w:r>
        <w:t xml:space="preserve"> for ICOMP related to Resolutions and other WSD </w:t>
      </w:r>
      <w:proofErr w:type="gramStart"/>
      <w:r>
        <w:t>actions</w:t>
      </w:r>
      <w:proofErr w:type="gramEnd"/>
    </w:p>
    <w:p w:rsidR="007A5EFD" w:rsidP="00565301" w:rsidRDefault="007A5EFD" w14:paraId="646C9ECD" w14:textId="77777777">
      <w:pPr>
        <w:pStyle w:val="Heading2"/>
      </w:pPr>
      <w:r w:rsidRPr="00565301">
        <w:t>Notice</w:t>
      </w:r>
      <w:r>
        <w:t xml:space="preserve"> of Intent and Claim of Significant Hardship</w:t>
      </w:r>
    </w:p>
    <w:p w:rsidR="007A5EFD" w:rsidP="00565301" w:rsidRDefault="007A5EFD" w14:paraId="36151469" w14:textId="65B34534">
      <w:pPr>
        <w:pStyle w:val="Standard"/>
      </w:pPr>
      <w:r>
        <w:t xml:space="preserve">As part </w:t>
      </w:r>
      <w:r w:rsidRPr="00565301">
        <w:t>of</w:t>
      </w:r>
      <w:r>
        <w:t xml:space="preserve"> A.20-08-00</w:t>
      </w:r>
      <w:r w:rsidR="007022FB">
        <w:t>4</w:t>
      </w:r>
      <w:r>
        <w:t>, MGRA filed a notice of intent (NOI) to claim ICOMP, and documentation to support its claim as a Category 3 customer, an organized group that represents the interest of residential investor-owned utility customers.</w:t>
      </w:r>
      <w:r>
        <w:rPr>
          <w:rStyle w:val="FootnoteReference"/>
        </w:rPr>
        <w:footnoteReference w:id="3"/>
      </w:r>
      <w:r>
        <w:t xml:space="preserve"> </w:t>
      </w:r>
      <w:r w:rsidR="007D58A3">
        <w:t xml:space="preserve"> </w:t>
      </w:r>
      <w:r>
        <w:t xml:space="preserve">MGRA states that it is an unincorporated association organized to advocate on behalf of rural residents of the Mussey Grade Road area, which is part of the San Diego Gas &amp; Electric Company (SDG&amp;E) service territory that has </w:t>
      </w:r>
      <w:r>
        <w:lastRenderedPageBreak/>
        <w:t>faced impacts of wildfire and de-energization events since 2003.</w:t>
      </w:r>
      <w:r>
        <w:rPr>
          <w:rStyle w:val="FootnoteReference"/>
        </w:rPr>
        <w:footnoteReference w:id="4"/>
      </w:r>
      <w:r w:rsidR="00D32810">
        <w:t xml:space="preserve"> </w:t>
      </w:r>
      <w:r>
        <w:t xml:space="preserve"> MGRA’s NOI also seeks a finding of significant financial hardship related to its contribution to the specified WSD resolutions. </w:t>
      </w:r>
      <w:r w:rsidR="00D32810">
        <w:t xml:space="preserve"> </w:t>
      </w:r>
      <w:r>
        <w:t>MGRA states that it and its members cannot afford the cost to participate in Commission proceedings without ICOMP, and that the economic interests of its members are small relative to the costs of participation.</w:t>
      </w:r>
      <w:r>
        <w:rPr>
          <w:rStyle w:val="FootnoteReference"/>
        </w:rPr>
        <w:footnoteReference w:id="5"/>
      </w:r>
      <w:r>
        <w:t xml:space="preserve"> </w:t>
      </w:r>
    </w:p>
    <w:p w:rsidR="007A5EFD" w:rsidP="00B50E64" w:rsidRDefault="007A5EFD" w14:paraId="61BCD63C" w14:textId="13473A39">
      <w:pPr>
        <w:pStyle w:val="Standard"/>
      </w:pPr>
      <w:r w:rsidRPr="00B50E64">
        <w:t>Because</w:t>
      </w:r>
      <w:r>
        <w:t xml:space="preserve"> the WSD resolutions MGRA is seeking compensation for contributing to were not separate formal proceedings, no pre-hearing conference was held and there was no deadline for filing a notice of intent to seek ICOMP. </w:t>
      </w:r>
      <w:r w:rsidR="00D32810">
        <w:t xml:space="preserve"> </w:t>
      </w:r>
      <w:r>
        <w:t xml:space="preserve">Therefore, we find that MGRA’s notice of intent and claim of significant financial hardship, which were filed jointly with its ICOMP claim in A.20-08-004, meet the requirements for ICOMP established in Sections 1801-1812. </w:t>
      </w:r>
    </w:p>
    <w:p w:rsidR="007A5EFD" w:rsidP="00B50E64" w:rsidRDefault="007A5EFD" w14:paraId="2473B0B0" w14:textId="4FEC4707">
      <w:pPr>
        <w:pStyle w:val="Standard"/>
      </w:pPr>
      <w:r w:rsidRPr="00B50E64">
        <w:t>Although</w:t>
      </w:r>
      <w:r>
        <w:t xml:space="preserve"> MGRA claims that it and its members do not have any economic interest in this proceeding, because this proceeding is solely focused on a claim for ICOMP related to its prior alleged contributions to Commission decisions, we believe it and its members are economically invested in the current proceeding, A.20-08-00</w:t>
      </w:r>
      <w:r w:rsidR="007022FB">
        <w:t>4</w:t>
      </w:r>
      <w:r>
        <w:t>.</w:t>
      </w:r>
      <w:r w:rsidRPr="003466B3">
        <w:rPr>
          <w:rStyle w:val="FootnoteReference"/>
        </w:rPr>
        <w:t xml:space="preserve"> </w:t>
      </w:r>
      <w:r>
        <w:rPr>
          <w:rStyle w:val="FootnoteReference"/>
        </w:rPr>
        <w:footnoteReference w:id="6"/>
      </w:r>
      <w:r>
        <w:t xml:space="preserve"> </w:t>
      </w:r>
      <w:r w:rsidR="00893A22">
        <w:t xml:space="preserve"> </w:t>
      </w:r>
      <w:r>
        <w:t>As stated in the scoping memo, we will not accept requests for ICOMP related to the instant proceeding.</w:t>
      </w:r>
      <w:r>
        <w:rPr>
          <w:rStyle w:val="FootnoteReference"/>
        </w:rPr>
        <w:footnoteReference w:id="7"/>
      </w:r>
      <w:r>
        <w:t xml:space="preserve"> </w:t>
      </w:r>
    </w:p>
    <w:p w:rsidR="007A5EFD" w:rsidP="00B50E64" w:rsidRDefault="007A5EFD" w14:paraId="054E1134" w14:textId="77777777">
      <w:pPr>
        <w:pStyle w:val="Heading2"/>
      </w:pPr>
      <w:r>
        <w:lastRenderedPageBreak/>
        <w:t>MGRA contribution to Resolutions WSD-002, WSD-003, WSD-004, and WSD-005</w:t>
      </w:r>
    </w:p>
    <w:p w:rsidR="007A5EFD" w:rsidP="00B50E64" w:rsidRDefault="007A5EFD" w14:paraId="1EF6B363" w14:textId="77777777">
      <w:pPr>
        <w:pStyle w:val="Standard"/>
      </w:pPr>
      <w:r w:rsidRPr="00B50E64">
        <w:t>MGRA</w:t>
      </w:r>
      <w:r>
        <w:t xml:space="preserve"> states that its comments on the draft resolutions issued by WSD led to modifications that improved the final language adopted by the Commission. Specifically, MRGA states that it:</w:t>
      </w:r>
    </w:p>
    <w:p w:rsidRPr="007B7DB3" w:rsidR="007A5EFD" w:rsidP="00B50E64" w:rsidRDefault="007A5EFD" w14:paraId="794C98FB" w14:textId="77777777">
      <w:pPr>
        <w:pStyle w:val="Standard"/>
        <w:numPr>
          <w:ilvl w:val="0"/>
          <w:numId w:val="20"/>
        </w:numPr>
        <w:spacing w:after="120" w:line="240" w:lineRule="auto"/>
        <w:ind w:right="1440"/>
      </w:pPr>
      <w:r w:rsidRPr="007B7DB3">
        <w:t>Provided considerable amounts of data and analysis to WSD and the Commission through its own work and obtaining and analyzing data provided in response to data requests to the investor-owned utilities.</w:t>
      </w:r>
    </w:p>
    <w:p w:rsidRPr="007B7DB3" w:rsidR="007A5EFD" w:rsidP="00B50E64" w:rsidRDefault="007A5EFD" w14:paraId="0A95C1FC" w14:textId="77777777">
      <w:pPr>
        <w:pStyle w:val="Standard"/>
        <w:numPr>
          <w:ilvl w:val="0"/>
          <w:numId w:val="20"/>
        </w:numPr>
        <w:spacing w:after="120" w:line="240" w:lineRule="auto"/>
        <w:ind w:right="1440"/>
      </w:pPr>
      <w:r w:rsidRPr="007B7DB3">
        <w:t>Provided observations about the electrical corporations’ 2020 WMPs, including identifying proposed new metrics for wind gust speeds and red flag warnings that were not challenged or opposed by other parties including the IOUs. MGRA claims these observations and proposals could be used to improve future WMP filings.</w:t>
      </w:r>
    </w:p>
    <w:p w:rsidRPr="007B7DB3" w:rsidR="007A5EFD" w:rsidP="00B50E64" w:rsidRDefault="007A5EFD" w14:paraId="2E3F8A22" w14:textId="77777777">
      <w:pPr>
        <w:pStyle w:val="Standard"/>
        <w:numPr>
          <w:ilvl w:val="0"/>
          <w:numId w:val="20"/>
        </w:numPr>
        <w:spacing w:after="120" w:line="240" w:lineRule="auto"/>
        <w:ind w:right="1440"/>
      </w:pPr>
      <w:r w:rsidRPr="007B7DB3">
        <w:t>Performed side-by-side analyses of utility outage and red-flag warning and wind gust data that indicated a lack of correlation.</w:t>
      </w:r>
    </w:p>
    <w:p w:rsidRPr="007B7DB3" w:rsidR="007A5EFD" w:rsidP="00B50E64" w:rsidRDefault="007A5EFD" w14:paraId="56A30CEC" w14:textId="77777777">
      <w:pPr>
        <w:pStyle w:val="Standard"/>
        <w:numPr>
          <w:ilvl w:val="0"/>
          <w:numId w:val="20"/>
        </w:numPr>
        <w:spacing w:after="120" w:line="240" w:lineRule="auto"/>
        <w:ind w:right="1440"/>
      </w:pPr>
      <w:r w:rsidRPr="007B7DB3">
        <w:t>Encouraged WSD to require more granular IOU risk spend efficiency (RSE) analyses that reflect the potential harm and costs to customers to better justify the use of public-safety power shutoffs.</w:t>
      </w:r>
    </w:p>
    <w:p w:rsidRPr="007B7DB3" w:rsidR="007A5EFD" w:rsidP="00B50E64" w:rsidRDefault="00D601DB" w14:paraId="48339A04" w14:textId="4089A207">
      <w:pPr>
        <w:pStyle w:val="Standard"/>
        <w:numPr>
          <w:ilvl w:val="0"/>
          <w:numId w:val="20"/>
        </w:numPr>
        <w:spacing w:after="120" w:line="240" w:lineRule="auto"/>
        <w:ind w:right="1440"/>
      </w:pPr>
      <w:r>
        <w:t>Encouraged WSD to r</w:t>
      </w:r>
      <w:r w:rsidRPr="007B7DB3" w:rsidR="007A5EFD">
        <w:t>equire the utilities to better utilize their respective fire potential indices when developing their WMPs, and to provide further detail on how pole material (</w:t>
      </w:r>
      <w:proofErr w:type="gramStart"/>
      <w:r w:rsidRPr="00B50E64" w:rsidR="007A5EFD">
        <w:rPr>
          <w:i/>
          <w:iCs/>
        </w:rPr>
        <w:t>e.g</w:t>
      </w:r>
      <w:r w:rsidRPr="007B7DB3" w:rsidR="007A5EFD">
        <w:t>.</w:t>
      </w:r>
      <w:proofErr w:type="gramEnd"/>
      <w:r w:rsidRPr="007B7DB3" w:rsidR="007A5EFD">
        <w:t xml:space="preserve"> steel, wood) could affect egress routes and potential risk modeling. </w:t>
      </w:r>
    </w:p>
    <w:p w:rsidR="007A5EFD" w:rsidP="00B50E64" w:rsidRDefault="007A5EFD" w14:paraId="7EA874F3" w14:textId="77777777">
      <w:pPr>
        <w:pStyle w:val="Standard"/>
      </w:pPr>
      <w:r w:rsidRPr="00B50E64">
        <w:t>We</w:t>
      </w:r>
      <w:r>
        <w:t xml:space="preserve"> find that MGRA did significantly contribute to the final resolutions, but modify the time claimed and amount awarded based on Tables 1 and 2 below.</w:t>
      </w:r>
    </w:p>
    <w:p w:rsidRPr="00E020DA" w:rsidR="007A5EFD" w:rsidP="006C1FDD" w:rsidRDefault="007A5EFD" w14:paraId="1F9B84E4" w14:textId="77777777">
      <w:pPr>
        <w:pStyle w:val="Heading2"/>
      </w:pPr>
      <w:r>
        <w:lastRenderedPageBreak/>
        <w:t xml:space="preserve">Reasonableness of MGRA’s claimed costs </w:t>
      </w:r>
      <w:r w:rsidRPr="006C1FDD">
        <w:t>relative</w:t>
      </w:r>
      <w:r>
        <w:t xml:space="preserve"> to market </w:t>
      </w:r>
      <w:proofErr w:type="gramStart"/>
      <w:r>
        <w:t>rates</w:t>
      </w:r>
      <w:proofErr w:type="gramEnd"/>
    </w:p>
    <w:p w:rsidR="007A5EFD" w:rsidP="006C1FDD" w:rsidRDefault="007A5EFD" w14:paraId="2C45E6FC" w14:textId="0A1E3BF9">
      <w:pPr>
        <w:pStyle w:val="Standard"/>
      </w:pPr>
      <w:r>
        <w:t xml:space="preserve">We </w:t>
      </w:r>
      <w:r w:rsidRPr="006C1FDD">
        <w:t>find</w:t>
      </w:r>
      <w:r>
        <w:t xml:space="preserve"> that the rates sought for MGRA’s expert, as adjusted below, align with the market rates appropriate for intervenors and are adjusted to reflect the cost-of-living (COLA) adjustments adopted by the Commission in 2019 and 2020.</w:t>
      </w:r>
      <w:r>
        <w:rPr>
          <w:rStyle w:val="FootnoteReference"/>
        </w:rPr>
        <w:footnoteReference w:id="8"/>
      </w:r>
      <w:r>
        <w:t xml:space="preserve"> </w:t>
      </w:r>
      <w:r w:rsidR="00893A22">
        <w:t xml:space="preserve"> </w:t>
      </w:r>
      <w:r>
        <w:t>We also find that MGRA made efforts to avoid duplication with other similar parties because its analysis focused on safety-related technical issues.</w:t>
      </w:r>
      <w:r>
        <w:rPr>
          <w:rStyle w:val="FootnoteReference"/>
        </w:rPr>
        <w:footnoteReference w:id="9"/>
      </w:r>
      <w:r>
        <w:t xml:space="preserve"> </w:t>
      </w:r>
    </w:p>
    <w:p w:rsidRPr="00893A22" w:rsidR="007A5EFD" w:rsidP="007A5EFD" w:rsidRDefault="007A5EFD" w14:paraId="10BB2851" w14:textId="77777777">
      <w:pPr>
        <w:pStyle w:val="Standard"/>
        <w:rPr>
          <w:sz w:val="6"/>
          <w:szCs w:val="6"/>
        </w:rPr>
      </w:pPr>
    </w:p>
    <w:p w:rsidR="007A5EFD" w:rsidP="006C1FDD" w:rsidRDefault="007A5EFD" w14:paraId="77066BF0" w14:textId="77777777">
      <w:pPr>
        <w:pStyle w:val="Heading2"/>
      </w:pPr>
      <w:r>
        <w:t xml:space="preserve">Table 1: </w:t>
      </w:r>
      <w:r w:rsidRPr="006C1FDD">
        <w:t>Claimed</w:t>
      </w:r>
      <w:r>
        <w:t xml:space="preserve"> vs. Awarded ICOMP </w:t>
      </w: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
        <w:gridCol w:w="460"/>
        <w:gridCol w:w="936"/>
        <w:gridCol w:w="11"/>
        <w:gridCol w:w="670"/>
        <w:gridCol w:w="91"/>
        <w:gridCol w:w="12"/>
        <w:gridCol w:w="818"/>
        <w:gridCol w:w="13"/>
        <w:gridCol w:w="866"/>
        <w:gridCol w:w="13"/>
        <w:gridCol w:w="1494"/>
        <w:gridCol w:w="14"/>
        <w:gridCol w:w="1358"/>
        <w:gridCol w:w="16"/>
        <w:gridCol w:w="886"/>
        <w:gridCol w:w="18"/>
        <w:gridCol w:w="1061"/>
        <w:gridCol w:w="54"/>
        <w:gridCol w:w="1716"/>
        <w:gridCol w:w="22"/>
      </w:tblGrid>
      <w:tr w:rsidR="007A5EFD" w:rsidTr="006C1FDD" w14:paraId="6DB51164" w14:textId="77777777">
        <w:trPr>
          <w:gridBefore w:val="1"/>
          <w:wBefore w:w="10" w:type="dxa"/>
          <w:trHeight w:val="393"/>
          <w:jc w:val="center"/>
        </w:trPr>
        <w:tc>
          <w:tcPr>
            <w:tcW w:w="6772" w:type="dxa"/>
            <w:gridSpan w:val="14"/>
            <w:tcBorders>
              <w:right w:val="single" w:color="000000" w:sz="24" w:space="0"/>
            </w:tcBorders>
          </w:tcPr>
          <w:p w:rsidR="007A5EFD" w:rsidP="000C5683" w:rsidRDefault="007A5EFD" w14:paraId="4C67BF16" w14:textId="77777777">
            <w:pPr>
              <w:pStyle w:val="TableParagraph"/>
              <w:spacing w:before="59"/>
              <w:ind w:left="2891" w:right="2851"/>
              <w:jc w:val="center"/>
              <w:rPr>
                <w:b/>
                <w:sz w:val="19"/>
              </w:rPr>
            </w:pPr>
            <w:bookmarkStart w:name="_Hlk65229480" w:id="2"/>
            <w:r>
              <w:rPr>
                <w:b/>
                <w:sz w:val="24"/>
              </w:rPr>
              <w:t>C</w:t>
            </w:r>
            <w:r>
              <w:rPr>
                <w:b/>
                <w:sz w:val="19"/>
              </w:rPr>
              <w:t>LAIMED</w:t>
            </w:r>
          </w:p>
        </w:tc>
        <w:tc>
          <w:tcPr>
            <w:tcW w:w="3757" w:type="dxa"/>
            <w:gridSpan w:val="6"/>
            <w:tcBorders>
              <w:left w:val="single" w:color="000000" w:sz="24" w:space="0"/>
            </w:tcBorders>
          </w:tcPr>
          <w:p w:rsidR="007A5EFD" w:rsidP="000C5683" w:rsidRDefault="007A5EFD" w14:paraId="431A9438" w14:textId="77777777">
            <w:pPr>
              <w:pStyle w:val="TableParagraph"/>
              <w:spacing w:before="59"/>
              <w:ind w:left="1106"/>
              <w:rPr>
                <w:b/>
                <w:sz w:val="19"/>
              </w:rPr>
            </w:pPr>
            <w:r>
              <w:rPr>
                <w:b/>
                <w:sz w:val="24"/>
              </w:rPr>
              <w:t>CPUC</w:t>
            </w:r>
            <w:r>
              <w:rPr>
                <w:b/>
                <w:spacing w:val="-13"/>
                <w:sz w:val="24"/>
              </w:rPr>
              <w:t xml:space="preserve"> </w:t>
            </w:r>
            <w:r>
              <w:rPr>
                <w:b/>
                <w:sz w:val="24"/>
              </w:rPr>
              <w:t>A</w:t>
            </w:r>
            <w:r>
              <w:rPr>
                <w:b/>
                <w:sz w:val="19"/>
              </w:rPr>
              <w:t>WARD</w:t>
            </w:r>
          </w:p>
        </w:tc>
      </w:tr>
      <w:tr w:rsidR="007A5EFD" w:rsidTr="006C1FDD" w14:paraId="1976EEA9" w14:textId="77777777">
        <w:trPr>
          <w:gridBefore w:val="1"/>
          <w:wBefore w:w="10" w:type="dxa"/>
          <w:trHeight w:val="398"/>
          <w:jc w:val="center"/>
        </w:trPr>
        <w:tc>
          <w:tcPr>
            <w:tcW w:w="10529" w:type="dxa"/>
            <w:gridSpan w:val="20"/>
            <w:shd w:val="clear" w:color="auto" w:fill="E6E6E6"/>
          </w:tcPr>
          <w:p w:rsidR="007A5EFD" w:rsidP="000C5683" w:rsidRDefault="007A5EFD" w14:paraId="56691C7E" w14:textId="77777777">
            <w:pPr>
              <w:pStyle w:val="TableParagraph"/>
              <w:spacing w:before="59"/>
              <w:ind w:left="619" w:right="618"/>
              <w:jc w:val="center"/>
              <w:rPr>
                <w:b/>
                <w:sz w:val="24"/>
              </w:rPr>
            </w:pPr>
            <w:r>
              <w:rPr>
                <w:b/>
                <w:sz w:val="24"/>
              </w:rPr>
              <w:t>ATTORNEY,</w:t>
            </w:r>
            <w:r>
              <w:rPr>
                <w:b/>
                <w:spacing w:val="-1"/>
                <w:sz w:val="24"/>
              </w:rPr>
              <w:t xml:space="preserve"> </w:t>
            </w:r>
            <w:r>
              <w:rPr>
                <w:b/>
                <w:sz w:val="24"/>
              </w:rPr>
              <w:t>EXPERT,</w:t>
            </w:r>
            <w:r>
              <w:rPr>
                <w:b/>
                <w:spacing w:val="-1"/>
                <w:sz w:val="24"/>
              </w:rPr>
              <w:t xml:space="preserve"> </w:t>
            </w:r>
            <w:r>
              <w:rPr>
                <w:b/>
                <w:sz w:val="24"/>
              </w:rPr>
              <w:t>AND</w:t>
            </w:r>
            <w:r>
              <w:rPr>
                <w:b/>
                <w:spacing w:val="-2"/>
                <w:sz w:val="24"/>
              </w:rPr>
              <w:t xml:space="preserve"> </w:t>
            </w:r>
            <w:r>
              <w:rPr>
                <w:b/>
                <w:sz w:val="24"/>
              </w:rPr>
              <w:t>ADVOCATE</w:t>
            </w:r>
            <w:r>
              <w:rPr>
                <w:b/>
                <w:spacing w:val="-4"/>
                <w:sz w:val="24"/>
              </w:rPr>
              <w:t xml:space="preserve"> </w:t>
            </w:r>
            <w:r>
              <w:rPr>
                <w:b/>
                <w:sz w:val="24"/>
              </w:rPr>
              <w:t>FEES</w:t>
            </w:r>
          </w:p>
        </w:tc>
      </w:tr>
      <w:tr w:rsidR="007A5EFD" w:rsidTr="006C1FDD" w14:paraId="3BB09D91" w14:textId="77777777">
        <w:trPr>
          <w:gridBefore w:val="1"/>
          <w:wBefore w:w="10" w:type="dxa"/>
          <w:trHeight w:val="623"/>
          <w:jc w:val="center"/>
        </w:trPr>
        <w:tc>
          <w:tcPr>
            <w:tcW w:w="1407" w:type="dxa"/>
            <w:gridSpan w:val="3"/>
          </w:tcPr>
          <w:p w:rsidR="007A5EFD" w:rsidP="000C5683" w:rsidRDefault="007A5EFD" w14:paraId="02AE778E" w14:textId="77777777">
            <w:pPr>
              <w:pStyle w:val="TableParagraph"/>
              <w:spacing w:before="7"/>
              <w:rPr>
                <w:b/>
                <w:sz w:val="27"/>
              </w:rPr>
            </w:pPr>
          </w:p>
          <w:p w:rsidR="007A5EFD" w:rsidP="000C5683" w:rsidRDefault="007A5EFD" w14:paraId="7A2D31DD" w14:textId="77777777">
            <w:pPr>
              <w:pStyle w:val="TableParagraph"/>
              <w:ind w:left="458" w:right="458"/>
              <w:jc w:val="center"/>
              <w:rPr>
                <w:b/>
              </w:rPr>
            </w:pPr>
            <w:r>
              <w:rPr>
                <w:b/>
              </w:rPr>
              <w:t>Item</w:t>
            </w:r>
          </w:p>
        </w:tc>
        <w:tc>
          <w:tcPr>
            <w:tcW w:w="773" w:type="dxa"/>
            <w:gridSpan w:val="3"/>
          </w:tcPr>
          <w:p w:rsidR="007A5EFD" w:rsidP="000C5683" w:rsidRDefault="007A5EFD" w14:paraId="32DEDCBB" w14:textId="77777777">
            <w:pPr>
              <w:pStyle w:val="TableParagraph"/>
              <w:spacing w:before="7"/>
              <w:rPr>
                <w:b/>
                <w:sz w:val="27"/>
              </w:rPr>
            </w:pPr>
          </w:p>
          <w:p w:rsidR="007A5EFD" w:rsidP="000C5683" w:rsidRDefault="007A5EFD" w14:paraId="2AC6BCA4" w14:textId="77777777">
            <w:pPr>
              <w:pStyle w:val="TableParagraph"/>
              <w:ind w:left="86" w:right="87"/>
              <w:jc w:val="center"/>
              <w:rPr>
                <w:b/>
              </w:rPr>
            </w:pPr>
            <w:r>
              <w:rPr>
                <w:b/>
              </w:rPr>
              <w:t>Year</w:t>
            </w:r>
          </w:p>
        </w:tc>
        <w:tc>
          <w:tcPr>
            <w:tcW w:w="831" w:type="dxa"/>
            <w:gridSpan w:val="2"/>
          </w:tcPr>
          <w:p w:rsidR="007A5EFD" w:rsidP="000C5683" w:rsidRDefault="007A5EFD" w14:paraId="253F96BA" w14:textId="77777777">
            <w:pPr>
              <w:pStyle w:val="TableParagraph"/>
              <w:spacing w:before="7"/>
              <w:rPr>
                <w:b/>
                <w:sz w:val="27"/>
              </w:rPr>
            </w:pPr>
          </w:p>
          <w:p w:rsidR="007A5EFD" w:rsidP="000C5683" w:rsidRDefault="007A5EFD" w14:paraId="13862B6D" w14:textId="77777777">
            <w:pPr>
              <w:pStyle w:val="TableParagraph"/>
              <w:ind w:left="119"/>
              <w:rPr>
                <w:b/>
              </w:rPr>
            </w:pPr>
            <w:r>
              <w:rPr>
                <w:b/>
              </w:rPr>
              <w:t>Hours</w:t>
            </w:r>
          </w:p>
        </w:tc>
        <w:tc>
          <w:tcPr>
            <w:tcW w:w="879" w:type="dxa"/>
            <w:gridSpan w:val="2"/>
          </w:tcPr>
          <w:p w:rsidR="007A5EFD" w:rsidP="000C5683" w:rsidRDefault="007A5EFD" w14:paraId="1D3C9D83" w14:textId="77777777">
            <w:pPr>
              <w:pStyle w:val="TableParagraph"/>
              <w:spacing w:before="7"/>
              <w:rPr>
                <w:b/>
                <w:sz w:val="27"/>
              </w:rPr>
            </w:pPr>
          </w:p>
          <w:p w:rsidR="007A5EFD" w:rsidP="000C5683" w:rsidRDefault="007A5EFD" w14:paraId="397364CF" w14:textId="77777777">
            <w:pPr>
              <w:pStyle w:val="TableParagraph"/>
              <w:ind w:left="138"/>
              <w:rPr>
                <w:b/>
              </w:rPr>
            </w:pPr>
            <w:r>
              <w:rPr>
                <w:b/>
              </w:rPr>
              <w:t>Rate $</w:t>
            </w:r>
          </w:p>
        </w:tc>
        <w:tc>
          <w:tcPr>
            <w:tcW w:w="1508" w:type="dxa"/>
            <w:gridSpan w:val="2"/>
          </w:tcPr>
          <w:p w:rsidR="007A5EFD" w:rsidP="000C5683" w:rsidRDefault="007A5EFD" w14:paraId="1AEF3836" w14:textId="77777777">
            <w:pPr>
              <w:pStyle w:val="TableParagraph"/>
              <w:spacing w:before="58"/>
              <w:ind w:left="479" w:right="314" w:hanging="140"/>
              <w:rPr>
                <w:b/>
              </w:rPr>
            </w:pPr>
            <w:r>
              <w:rPr>
                <w:b/>
              </w:rPr>
              <w:t>Basis for</w:t>
            </w:r>
            <w:r>
              <w:rPr>
                <w:b/>
                <w:spacing w:val="-52"/>
              </w:rPr>
              <w:t xml:space="preserve"> </w:t>
            </w:r>
            <w:r>
              <w:rPr>
                <w:b/>
              </w:rPr>
              <w:t>Rate*</w:t>
            </w:r>
          </w:p>
        </w:tc>
        <w:tc>
          <w:tcPr>
            <w:tcW w:w="1374" w:type="dxa"/>
            <w:gridSpan w:val="2"/>
            <w:tcBorders>
              <w:right w:val="single" w:color="000000" w:sz="24" w:space="0"/>
            </w:tcBorders>
          </w:tcPr>
          <w:p w:rsidR="007A5EFD" w:rsidP="000C5683" w:rsidRDefault="007A5EFD" w14:paraId="664C2F61" w14:textId="77777777">
            <w:pPr>
              <w:pStyle w:val="TableParagraph"/>
              <w:spacing w:before="7"/>
              <w:rPr>
                <w:b/>
                <w:sz w:val="27"/>
              </w:rPr>
            </w:pPr>
          </w:p>
          <w:p w:rsidR="007A5EFD" w:rsidP="000C5683" w:rsidRDefault="007A5EFD" w14:paraId="13C28C2F" w14:textId="77777777">
            <w:pPr>
              <w:pStyle w:val="TableParagraph"/>
              <w:ind w:right="311"/>
              <w:jc w:val="right"/>
              <w:rPr>
                <w:b/>
              </w:rPr>
            </w:pPr>
            <w:r>
              <w:rPr>
                <w:b/>
              </w:rPr>
              <w:t>Total</w:t>
            </w:r>
            <w:r>
              <w:rPr>
                <w:b/>
                <w:spacing w:val="3"/>
              </w:rPr>
              <w:t xml:space="preserve"> </w:t>
            </w:r>
            <w:r>
              <w:rPr>
                <w:b/>
              </w:rPr>
              <w:t>$</w:t>
            </w:r>
          </w:p>
        </w:tc>
        <w:tc>
          <w:tcPr>
            <w:tcW w:w="904" w:type="dxa"/>
            <w:gridSpan w:val="2"/>
            <w:tcBorders>
              <w:left w:val="single" w:color="000000" w:sz="24" w:space="0"/>
            </w:tcBorders>
          </w:tcPr>
          <w:p w:rsidR="007A5EFD" w:rsidP="000C5683" w:rsidRDefault="007A5EFD" w14:paraId="2988A8CA" w14:textId="77777777">
            <w:pPr>
              <w:pStyle w:val="TableParagraph"/>
              <w:spacing w:before="7"/>
              <w:rPr>
                <w:b/>
                <w:sz w:val="27"/>
              </w:rPr>
            </w:pPr>
          </w:p>
          <w:p w:rsidR="007A5EFD" w:rsidP="000C5683" w:rsidRDefault="007A5EFD" w14:paraId="7AC00C52" w14:textId="77777777">
            <w:pPr>
              <w:pStyle w:val="TableParagraph"/>
              <w:ind w:left="114" w:right="128"/>
              <w:jc w:val="center"/>
              <w:rPr>
                <w:b/>
              </w:rPr>
            </w:pPr>
            <w:r>
              <w:rPr>
                <w:b/>
              </w:rPr>
              <w:t>Hours</w:t>
            </w:r>
          </w:p>
        </w:tc>
        <w:tc>
          <w:tcPr>
            <w:tcW w:w="1115" w:type="dxa"/>
            <w:gridSpan w:val="2"/>
          </w:tcPr>
          <w:p w:rsidR="007A5EFD" w:rsidP="000C5683" w:rsidRDefault="007A5EFD" w14:paraId="34A595CF" w14:textId="77777777">
            <w:pPr>
              <w:pStyle w:val="TableParagraph"/>
              <w:spacing w:before="7"/>
              <w:rPr>
                <w:b/>
                <w:sz w:val="27"/>
              </w:rPr>
            </w:pPr>
          </w:p>
          <w:p w:rsidR="007A5EFD" w:rsidP="000C5683" w:rsidRDefault="007A5EFD" w14:paraId="4F70EEF4" w14:textId="77777777">
            <w:pPr>
              <w:pStyle w:val="TableParagraph"/>
              <w:ind w:left="213" w:right="214"/>
              <w:jc w:val="center"/>
              <w:rPr>
                <w:b/>
              </w:rPr>
            </w:pPr>
            <w:r>
              <w:rPr>
                <w:b/>
              </w:rPr>
              <w:t>Rate</w:t>
            </w:r>
            <w:r>
              <w:rPr>
                <w:b/>
                <w:spacing w:val="-1"/>
              </w:rPr>
              <w:t xml:space="preserve"> </w:t>
            </w:r>
            <w:r>
              <w:rPr>
                <w:b/>
              </w:rPr>
              <w:t>$</w:t>
            </w:r>
          </w:p>
        </w:tc>
        <w:tc>
          <w:tcPr>
            <w:tcW w:w="1738" w:type="dxa"/>
            <w:gridSpan w:val="2"/>
          </w:tcPr>
          <w:p w:rsidR="007A5EFD" w:rsidP="000C5683" w:rsidRDefault="007A5EFD" w14:paraId="3A8BEECB" w14:textId="77777777">
            <w:pPr>
              <w:pStyle w:val="TableParagraph"/>
              <w:spacing w:before="7"/>
              <w:rPr>
                <w:b/>
                <w:sz w:val="27"/>
              </w:rPr>
            </w:pPr>
          </w:p>
          <w:p w:rsidR="007A5EFD" w:rsidP="000C5683" w:rsidRDefault="007A5EFD" w14:paraId="2554A7A8" w14:textId="77777777">
            <w:pPr>
              <w:pStyle w:val="TableParagraph"/>
              <w:ind w:left="525" w:right="526"/>
              <w:jc w:val="center"/>
              <w:rPr>
                <w:b/>
              </w:rPr>
            </w:pPr>
            <w:r>
              <w:rPr>
                <w:b/>
              </w:rPr>
              <w:t>Total</w:t>
            </w:r>
            <w:r>
              <w:rPr>
                <w:b/>
                <w:spacing w:val="3"/>
              </w:rPr>
              <w:t xml:space="preserve"> </w:t>
            </w:r>
            <w:r>
              <w:rPr>
                <w:b/>
              </w:rPr>
              <w:t>$</w:t>
            </w:r>
          </w:p>
        </w:tc>
      </w:tr>
      <w:tr w:rsidR="007A5EFD" w:rsidTr="006C1FDD" w14:paraId="2C881DBF" w14:textId="77777777">
        <w:trPr>
          <w:gridBefore w:val="1"/>
          <w:wBefore w:w="10" w:type="dxa"/>
          <w:trHeight w:val="950"/>
          <w:jc w:val="center"/>
        </w:trPr>
        <w:tc>
          <w:tcPr>
            <w:tcW w:w="1407" w:type="dxa"/>
            <w:gridSpan w:val="3"/>
            <w:shd w:val="clear" w:color="auto" w:fill="CCFFCC"/>
          </w:tcPr>
          <w:p w:rsidR="007A5EFD" w:rsidP="000C5683" w:rsidRDefault="007A5EFD" w14:paraId="01998CBC" w14:textId="77777777">
            <w:pPr>
              <w:pStyle w:val="TableParagraph"/>
              <w:spacing w:before="59" w:line="242" w:lineRule="auto"/>
              <w:ind w:left="110" w:right="240"/>
              <w:rPr>
                <w:sz w:val="24"/>
              </w:rPr>
            </w:pPr>
            <w:r>
              <w:rPr>
                <w:sz w:val="24"/>
              </w:rPr>
              <w:t>Dr. Joseph</w:t>
            </w:r>
            <w:r>
              <w:rPr>
                <w:spacing w:val="-58"/>
                <w:sz w:val="24"/>
              </w:rPr>
              <w:t xml:space="preserve"> </w:t>
            </w:r>
            <w:r>
              <w:rPr>
                <w:sz w:val="24"/>
              </w:rPr>
              <w:t>Mitchell</w:t>
            </w:r>
            <w:r>
              <w:rPr>
                <w:spacing w:val="1"/>
                <w:sz w:val="24"/>
              </w:rPr>
              <w:t xml:space="preserve"> </w:t>
            </w:r>
            <w:r>
              <w:rPr>
                <w:sz w:val="24"/>
              </w:rPr>
              <w:t>(Expert)</w:t>
            </w:r>
          </w:p>
        </w:tc>
        <w:tc>
          <w:tcPr>
            <w:tcW w:w="773" w:type="dxa"/>
            <w:gridSpan w:val="3"/>
            <w:shd w:val="clear" w:color="auto" w:fill="CCFFCC"/>
          </w:tcPr>
          <w:p w:rsidR="007A5EFD" w:rsidP="000C5683" w:rsidRDefault="007A5EFD" w14:paraId="7AB8BF97" w14:textId="77777777">
            <w:pPr>
              <w:pStyle w:val="TableParagraph"/>
              <w:spacing w:before="59"/>
              <w:ind w:left="59" w:right="129"/>
              <w:jc w:val="center"/>
              <w:rPr>
                <w:sz w:val="24"/>
              </w:rPr>
            </w:pPr>
            <w:r>
              <w:rPr>
                <w:sz w:val="24"/>
              </w:rPr>
              <w:t>2020</w:t>
            </w:r>
          </w:p>
        </w:tc>
        <w:tc>
          <w:tcPr>
            <w:tcW w:w="831" w:type="dxa"/>
            <w:gridSpan w:val="2"/>
            <w:shd w:val="clear" w:color="auto" w:fill="CCFFCC"/>
          </w:tcPr>
          <w:p w:rsidR="007A5EFD" w:rsidP="000C5683" w:rsidRDefault="007A5EFD" w14:paraId="1C9B0602" w14:textId="77777777">
            <w:pPr>
              <w:pStyle w:val="TableParagraph"/>
              <w:spacing w:before="59"/>
              <w:ind w:left="105"/>
              <w:rPr>
                <w:sz w:val="24"/>
              </w:rPr>
            </w:pPr>
            <w:r>
              <w:rPr>
                <w:sz w:val="24"/>
              </w:rPr>
              <w:t>199.3</w:t>
            </w:r>
          </w:p>
        </w:tc>
        <w:tc>
          <w:tcPr>
            <w:tcW w:w="879" w:type="dxa"/>
            <w:gridSpan w:val="2"/>
            <w:shd w:val="clear" w:color="auto" w:fill="CCFFCC"/>
          </w:tcPr>
          <w:p w:rsidR="007A5EFD" w:rsidP="000C5683" w:rsidRDefault="007A5EFD" w14:paraId="02424D60" w14:textId="77777777">
            <w:pPr>
              <w:pStyle w:val="TableParagraph"/>
              <w:spacing w:before="59"/>
              <w:ind w:left="109"/>
              <w:rPr>
                <w:sz w:val="24"/>
              </w:rPr>
            </w:pPr>
            <w:r>
              <w:rPr>
                <w:sz w:val="24"/>
              </w:rPr>
              <w:t>320</w:t>
            </w:r>
          </w:p>
        </w:tc>
        <w:tc>
          <w:tcPr>
            <w:tcW w:w="1508" w:type="dxa"/>
            <w:gridSpan w:val="2"/>
            <w:shd w:val="clear" w:color="auto" w:fill="CCFFCC"/>
          </w:tcPr>
          <w:p w:rsidR="007A5EFD" w:rsidP="000C5683" w:rsidRDefault="007A5EFD" w14:paraId="449F1CC3" w14:textId="77777777">
            <w:pPr>
              <w:pStyle w:val="TableParagraph"/>
              <w:spacing w:before="59"/>
              <w:ind w:left="109"/>
              <w:rPr>
                <w:sz w:val="24"/>
              </w:rPr>
            </w:pPr>
            <w:r>
              <w:rPr>
                <w:sz w:val="24"/>
              </w:rPr>
              <w:t>D.20-06-047</w:t>
            </w:r>
          </w:p>
          <w:p w:rsidR="007A5EFD" w:rsidP="000C5683" w:rsidRDefault="007A5EFD" w14:paraId="271F4A39" w14:textId="77777777">
            <w:pPr>
              <w:pStyle w:val="TableParagraph"/>
              <w:spacing w:before="2"/>
              <w:ind w:left="109"/>
              <w:rPr>
                <w:sz w:val="24"/>
              </w:rPr>
            </w:pPr>
            <w:r>
              <w:rPr>
                <w:sz w:val="24"/>
              </w:rPr>
              <w:t>Comment #1</w:t>
            </w:r>
          </w:p>
        </w:tc>
        <w:tc>
          <w:tcPr>
            <w:tcW w:w="1374" w:type="dxa"/>
            <w:gridSpan w:val="2"/>
            <w:tcBorders>
              <w:right w:val="single" w:color="000000" w:sz="24" w:space="0"/>
            </w:tcBorders>
            <w:shd w:val="clear" w:color="auto" w:fill="CCFFCC"/>
          </w:tcPr>
          <w:p w:rsidR="007A5EFD" w:rsidP="000C5683" w:rsidRDefault="007A5EFD" w14:paraId="766F2DF7" w14:textId="77777777">
            <w:pPr>
              <w:pStyle w:val="TableParagraph"/>
              <w:spacing w:before="59"/>
              <w:ind w:left="109"/>
              <w:rPr>
                <w:sz w:val="24"/>
              </w:rPr>
            </w:pPr>
            <w:r>
              <w:rPr>
                <w:sz w:val="24"/>
              </w:rPr>
              <w:t>$63,776</w:t>
            </w:r>
          </w:p>
        </w:tc>
        <w:tc>
          <w:tcPr>
            <w:tcW w:w="904" w:type="dxa"/>
            <w:gridSpan w:val="2"/>
            <w:tcBorders>
              <w:left w:val="single" w:color="000000" w:sz="24" w:space="0"/>
            </w:tcBorders>
          </w:tcPr>
          <w:p w:rsidR="007A5EFD" w:rsidP="000C5683" w:rsidRDefault="007A5EFD" w14:paraId="224364F4" w14:textId="26FDCDAA">
            <w:pPr>
              <w:pStyle w:val="TableParagraph"/>
            </w:pPr>
            <w:r>
              <w:t>1</w:t>
            </w:r>
            <w:r w:rsidR="000F44D9">
              <w:t>88.5</w:t>
            </w:r>
            <w:r>
              <w:t xml:space="preserve"> [1]</w:t>
            </w:r>
          </w:p>
        </w:tc>
        <w:tc>
          <w:tcPr>
            <w:tcW w:w="1115" w:type="dxa"/>
            <w:gridSpan w:val="2"/>
          </w:tcPr>
          <w:p w:rsidR="007A5EFD" w:rsidP="000C5683" w:rsidRDefault="007A5EFD" w14:paraId="0E84A0D0" w14:textId="77777777">
            <w:pPr>
              <w:pStyle w:val="TableParagraph"/>
            </w:pPr>
            <w:r>
              <w:t>$315 [2]</w:t>
            </w:r>
          </w:p>
        </w:tc>
        <w:tc>
          <w:tcPr>
            <w:tcW w:w="1738" w:type="dxa"/>
            <w:gridSpan w:val="2"/>
          </w:tcPr>
          <w:p w:rsidR="007A5EFD" w:rsidP="000C5683" w:rsidRDefault="007A5EFD" w14:paraId="1119F992" w14:textId="71C7B691">
            <w:pPr>
              <w:pStyle w:val="TableParagraph"/>
            </w:pPr>
            <w:r>
              <w:t>$</w:t>
            </w:r>
            <w:r w:rsidR="000F44D9">
              <w:t>59,377.50</w:t>
            </w:r>
          </w:p>
        </w:tc>
      </w:tr>
      <w:tr w:rsidR="007A5EFD" w:rsidTr="006C1FDD" w14:paraId="7E8D21FF" w14:textId="77777777">
        <w:trPr>
          <w:gridBefore w:val="1"/>
          <w:wBefore w:w="10" w:type="dxa"/>
          <w:trHeight w:val="393"/>
          <w:jc w:val="center"/>
        </w:trPr>
        <w:tc>
          <w:tcPr>
            <w:tcW w:w="6772" w:type="dxa"/>
            <w:gridSpan w:val="14"/>
            <w:tcBorders>
              <w:right w:val="single" w:color="000000" w:sz="24" w:space="0"/>
            </w:tcBorders>
          </w:tcPr>
          <w:p w:rsidR="007A5EFD" w:rsidP="000C5683" w:rsidRDefault="007A5EFD" w14:paraId="7CE9FBB4" w14:textId="77777777">
            <w:pPr>
              <w:pStyle w:val="TableParagraph"/>
              <w:spacing w:before="59"/>
              <w:ind w:right="229"/>
              <w:jc w:val="right"/>
              <w:rPr>
                <w:b/>
                <w:i/>
                <w:sz w:val="24"/>
              </w:rPr>
            </w:pPr>
            <w:r>
              <w:rPr>
                <w:b/>
                <w:i/>
                <w:sz w:val="24"/>
              </w:rPr>
              <w:t>Subtotal: $</w:t>
            </w:r>
            <w:r>
              <w:rPr>
                <w:b/>
                <w:i/>
                <w:spacing w:val="1"/>
                <w:sz w:val="24"/>
              </w:rPr>
              <w:t xml:space="preserve"> </w:t>
            </w:r>
            <w:r>
              <w:rPr>
                <w:b/>
                <w:i/>
                <w:sz w:val="24"/>
              </w:rPr>
              <w:t>63,776</w:t>
            </w:r>
          </w:p>
        </w:tc>
        <w:tc>
          <w:tcPr>
            <w:tcW w:w="3757" w:type="dxa"/>
            <w:gridSpan w:val="6"/>
            <w:tcBorders>
              <w:left w:val="single" w:color="000000" w:sz="24" w:space="0"/>
            </w:tcBorders>
          </w:tcPr>
          <w:p w:rsidR="007A5EFD" w:rsidP="000C5683" w:rsidRDefault="007A5EFD" w14:paraId="376A27FF" w14:textId="15B3C147">
            <w:pPr>
              <w:pStyle w:val="TableParagraph"/>
              <w:spacing w:before="59"/>
              <w:rPr>
                <w:b/>
                <w:sz w:val="24"/>
              </w:rPr>
            </w:pPr>
            <w:r>
              <w:rPr>
                <w:b/>
                <w:i/>
                <w:sz w:val="24"/>
              </w:rPr>
              <w:t xml:space="preserve">                           Subtotal:</w:t>
            </w:r>
            <w:r>
              <w:rPr>
                <w:b/>
                <w:i/>
                <w:spacing w:val="1"/>
                <w:sz w:val="24"/>
              </w:rPr>
              <w:t xml:space="preserve"> </w:t>
            </w:r>
            <w:r w:rsidRPr="00AE6245">
              <w:rPr>
                <w:b/>
                <w:i/>
                <w:iCs/>
                <w:sz w:val="24"/>
              </w:rPr>
              <w:t>$</w:t>
            </w:r>
            <w:r w:rsidR="008D12A8">
              <w:rPr>
                <w:b/>
                <w:i/>
                <w:iCs/>
                <w:sz w:val="24"/>
              </w:rPr>
              <w:t>59,377</w:t>
            </w:r>
            <w:r>
              <w:rPr>
                <w:b/>
                <w:i/>
                <w:iCs/>
                <w:sz w:val="24"/>
              </w:rPr>
              <w:t>.50</w:t>
            </w:r>
          </w:p>
        </w:tc>
      </w:tr>
      <w:tr w:rsidR="007A5EFD" w:rsidTr="006C1FDD" w14:paraId="4422AEFD" w14:textId="77777777">
        <w:trPr>
          <w:gridBefore w:val="1"/>
          <w:wBefore w:w="10" w:type="dxa"/>
          <w:trHeight w:val="432"/>
          <w:jc w:val="center"/>
        </w:trPr>
        <w:tc>
          <w:tcPr>
            <w:tcW w:w="10529" w:type="dxa"/>
            <w:gridSpan w:val="20"/>
            <w:shd w:val="clear" w:color="auto" w:fill="E6E6E6"/>
          </w:tcPr>
          <w:p w:rsidR="007A5EFD" w:rsidP="000C5683" w:rsidRDefault="007A5EFD" w14:paraId="075E34F7" w14:textId="77777777">
            <w:pPr>
              <w:pStyle w:val="TableParagraph"/>
              <w:spacing w:before="63"/>
              <w:ind w:left="621" w:right="618"/>
              <w:jc w:val="center"/>
              <w:rPr>
                <w:b/>
                <w:sz w:val="24"/>
              </w:rPr>
            </w:pPr>
            <w:r>
              <w:rPr>
                <w:b/>
                <w:sz w:val="24"/>
              </w:rPr>
              <w:t>OTHER</w:t>
            </w:r>
            <w:r>
              <w:rPr>
                <w:b/>
                <w:spacing w:val="-1"/>
                <w:sz w:val="24"/>
              </w:rPr>
              <w:t xml:space="preserve"> </w:t>
            </w:r>
            <w:r>
              <w:rPr>
                <w:b/>
                <w:sz w:val="24"/>
              </w:rPr>
              <w:t>FEES</w:t>
            </w:r>
          </w:p>
        </w:tc>
      </w:tr>
      <w:tr w:rsidR="007A5EFD" w:rsidTr="006C1FDD" w14:paraId="2D5BF443" w14:textId="77777777">
        <w:trPr>
          <w:gridBefore w:val="1"/>
          <w:wBefore w:w="10" w:type="dxa"/>
          <w:trHeight w:val="628"/>
          <w:jc w:val="center"/>
        </w:trPr>
        <w:tc>
          <w:tcPr>
            <w:tcW w:w="1407" w:type="dxa"/>
            <w:gridSpan w:val="3"/>
          </w:tcPr>
          <w:p w:rsidR="007A5EFD" w:rsidP="000C5683" w:rsidRDefault="007A5EFD" w14:paraId="019FEFCA" w14:textId="77777777">
            <w:pPr>
              <w:pStyle w:val="TableParagraph"/>
              <w:spacing w:before="64"/>
              <w:ind w:left="458" w:right="458"/>
              <w:jc w:val="center"/>
              <w:rPr>
                <w:b/>
              </w:rPr>
            </w:pPr>
            <w:r>
              <w:rPr>
                <w:b/>
              </w:rPr>
              <w:t>Item</w:t>
            </w:r>
          </w:p>
        </w:tc>
        <w:tc>
          <w:tcPr>
            <w:tcW w:w="773" w:type="dxa"/>
            <w:gridSpan w:val="3"/>
          </w:tcPr>
          <w:p w:rsidR="007A5EFD" w:rsidP="000C5683" w:rsidRDefault="007A5EFD" w14:paraId="6FBEBD9F" w14:textId="77777777">
            <w:pPr>
              <w:pStyle w:val="TableParagraph"/>
              <w:spacing w:before="64"/>
              <w:ind w:left="86" w:right="87"/>
              <w:jc w:val="center"/>
              <w:rPr>
                <w:b/>
              </w:rPr>
            </w:pPr>
            <w:r>
              <w:rPr>
                <w:b/>
              </w:rPr>
              <w:t>Year</w:t>
            </w:r>
          </w:p>
        </w:tc>
        <w:tc>
          <w:tcPr>
            <w:tcW w:w="831" w:type="dxa"/>
            <w:gridSpan w:val="2"/>
          </w:tcPr>
          <w:p w:rsidR="007A5EFD" w:rsidP="000C5683" w:rsidRDefault="007A5EFD" w14:paraId="037D612C" w14:textId="77777777">
            <w:pPr>
              <w:pStyle w:val="TableParagraph"/>
              <w:spacing w:before="64"/>
              <w:ind w:left="119"/>
              <w:rPr>
                <w:b/>
              </w:rPr>
            </w:pPr>
            <w:r>
              <w:rPr>
                <w:b/>
              </w:rPr>
              <w:t>Hours</w:t>
            </w:r>
          </w:p>
        </w:tc>
        <w:tc>
          <w:tcPr>
            <w:tcW w:w="879" w:type="dxa"/>
            <w:gridSpan w:val="2"/>
          </w:tcPr>
          <w:p w:rsidR="007A5EFD" w:rsidP="000C5683" w:rsidRDefault="007A5EFD" w14:paraId="7C057CEB" w14:textId="77777777">
            <w:pPr>
              <w:pStyle w:val="TableParagraph"/>
              <w:spacing w:before="64"/>
              <w:ind w:left="138"/>
              <w:rPr>
                <w:b/>
              </w:rPr>
            </w:pPr>
            <w:r>
              <w:rPr>
                <w:b/>
              </w:rPr>
              <w:t>Rate $</w:t>
            </w:r>
          </w:p>
        </w:tc>
        <w:tc>
          <w:tcPr>
            <w:tcW w:w="1508" w:type="dxa"/>
            <w:gridSpan w:val="2"/>
          </w:tcPr>
          <w:p w:rsidR="007A5EFD" w:rsidP="000C5683" w:rsidRDefault="007A5EFD" w14:paraId="79963C74" w14:textId="77777777">
            <w:pPr>
              <w:pStyle w:val="TableParagraph"/>
              <w:spacing w:before="59"/>
              <w:ind w:left="479" w:right="314" w:hanging="140"/>
              <w:rPr>
                <w:b/>
              </w:rPr>
            </w:pPr>
            <w:r>
              <w:rPr>
                <w:b/>
              </w:rPr>
              <w:t>Basis for</w:t>
            </w:r>
            <w:r>
              <w:rPr>
                <w:b/>
                <w:spacing w:val="-52"/>
              </w:rPr>
              <w:t xml:space="preserve"> </w:t>
            </w:r>
            <w:r>
              <w:rPr>
                <w:b/>
              </w:rPr>
              <w:t>Rate*</w:t>
            </w:r>
          </w:p>
        </w:tc>
        <w:tc>
          <w:tcPr>
            <w:tcW w:w="1374" w:type="dxa"/>
            <w:gridSpan w:val="2"/>
            <w:tcBorders>
              <w:right w:val="single" w:color="000000" w:sz="24" w:space="0"/>
            </w:tcBorders>
          </w:tcPr>
          <w:p w:rsidR="007A5EFD" w:rsidP="000C5683" w:rsidRDefault="007A5EFD" w14:paraId="139A1C5D" w14:textId="77777777">
            <w:pPr>
              <w:pStyle w:val="TableParagraph"/>
              <w:spacing w:before="64"/>
              <w:ind w:right="311"/>
              <w:jc w:val="right"/>
              <w:rPr>
                <w:b/>
              </w:rPr>
            </w:pPr>
            <w:r>
              <w:rPr>
                <w:b/>
              </w:rPr>
              <w:t>Total</w:t>
            </w:r>
            <w:r>
              <w:rPr>
                <w:b/>
                <w:spacing w:val="3"/>
              </w:rPr>
              <w:t xml:space="preserve"> </w:t>
            </w:r>
            <w:r>
              <w:rPr>
                <w:b/>
              </w:rPr>
              <w:t>$</w:t>
            </w:r>
          </w:p>
        </w:tc>
        <w:tc>
          <w:tcPr>
            <w:tcW w:w="904" w:type="dxa"/>
            <w:gridSpan w:val="2"/>
            <w:tcBorders>
              <w:left w:val="single" w:color="000000" w:sz="24" w:space="0"/>
            </w:tcBorders>
          </w:tcPr>
          <w:p w:rsidR="007A5EFD" w:rsidP="000C5683" w:rsidRDefault="007A5EFD" w14:paraId="1A3ED6C2" w14:textId="77777777">
            <w:pPr>
              <w:pStyle w:val="TableParagraph"/>
              <w:spacing w:before="64"/>
              <w:ind w:left="114" w:right="128"/>
              <w:jc w:val="center"/>
              <w:rPr>
                <w:b/>
              </w:rPr>
            </w:pPr>
            <w:r>
              <w:rPr>
                <w:b/>
              </w:rPr>
              <w:t>Hours</w:t>
            </w:r>
          </w:p>
        </w:tc>
        <w:tc>
          <w:tcPr>
            <w:tcW w:w="1115" w:type="dxa"/>
            <w:gridSpan w:val="2"/>
          </w:tcPr>
          <w:p w:rsidR="007A5EFD" w:rsidP="000C5683" w:rsidRDefault="007A5EFD" w14:paraId="77C18213" w14:textId="77777777">
            <w:pPr>
              <w:pStyle w:val="TableParagraph"/>
              <w:spacing w:before="64"/>
              <w:ind w:left="212" w:right="214"/>
              <w:jc w:val="center"/>
              <w:rPr>
                <w:b/>
              </w:rPr>
            </w:pPr>
            <w:r>
              <w:rPr>
                <w:b/>
              </w:rPr>
              <w:t>Rate</w:t>
            </w:r>
          </w:p>
        </w:tc>
        <w:tc>
          <w:tcPr>
            <w:tcW w:w="1738" w:type="dxa"/>
            <w:gridSpan w:val="2"/>
          </w:tcPr>
          <w:p w:rsidR="007A5EFD" w:rsidP="000C5683" w:rsidRDefault="007A5EFD" w14:paraId="55A81C8B" w14:textId="77777777">
            <w:pPr>
              <w:pStyle w:val="TableParagraph"/>
              <w:spacing w:before="64"/>
              <w:ind w:left="525" w:right="526"/>
              <w:jc w:val="center"/>
              <w:rPr>
                <w:b/>
              </w:rPr>
            </w:pPr>
            <w:r>
              <w:rPr>
                <w:b/>
              </w:rPr>
              <w:t>Total</w:t>
            </w:r>
            <w:r>
              <w:rPr>
                <w:b/>
                <w:spacing w:val="3"/>
              </w:rPr>
              <w:t xml:space="preserve"> </w:t>
            </w:r>
            <w:r>
              <w:rPr>
                <w:b/>
              </w:rPr>
              <w:t>$</w:t>
            </w:r>
          </w:p>
        </w:tc>
      </w:tr>
      <w:tr w:rsidR="007A5EFD" w:rsidTr="006C1FDD" w14:paraId="33A78BB6" w14:textId="77777777">
        <w:trPr>
          <w:gridBefore w:val="1"/>
          <w:wBefore w:w="10" w:type="dxa"/>
          <w:trHeight w:val="671"/>
          <w:jc w:val="center"/>
        </w:trPr>
        <w:tc>
          <w:tcPr>
            <w:tcW w:w="1407" w:type="dxa"/>
            <w:gridSpan w:val="3"/>
            <w:shd w:val="clear" w:color="auto" w:fill="CCFFCC"/>
          </w:tcPr>
          <w:p w:rsidR="007A5EFD" w:rsidP="000C5683" w:rsidRDefault="007A5EFD" w14:paraId="3BB67A2B" w14:textId="77777777">
            <w:pPr>
              <w:pStyle w:val="TableParagraph"/>
              <w:spacing w:before="59" w:line="242" w:lineRule="auto"/>
              <w:ind w:left="110" w:right="240"/>
              <w:rPr>
                <w:sz w:val="24"/>
              </w:rPr>
            </w:pPr>
            <w:r>
              <w:rPr>
                <w:sz w:val="24"/>
              </w:rPr>
              <w:t>Dr. Joseph</w:t>
            </w:r>
            <w:r>
              <w:rPr>
                <w:spacing w:val="-58"/>
                <w:sz w:val="24"/>
              </w:rPr>
              <w:t xml:space="preserve"> </w:t>
            </w:r>
            <w:r>
              <w:rPr>
                <w:sz w:val="24"/>
              </w:rPr>
              <w:t>Mitchell</w:t>
            </w:r>
          </w:p>
        </w:tc>
        <w:tc>
          <w:tcPr>
            <w:tcW w:w="773" w:type="dxa"/>
            <w:gridSpan w:val="3"/>
            <w:shd w:val="clear" w:color="auto" w:fill="CCFFCC"/>
          </w:tcPr>
          <w:p w:rsidR="007A5EFD" w:rsidP="000C5683" w:rsidRDefault="007A5EFD" w14:paraId="62799691" w14:textId="77777777">
            <w:pPr>
              <w:pStyle w:val="TableParagraph"/>
              <w:spacing w:before="59"/>
              <w:ind w:left="59" w:right="129"/>
              <w:jc w:val="center"/>
              <w:rPr>
                <w:sz w:val="24"/>
              </w:rPr>
            </w:pPr>
            <w:r>
              <w:rPr>
                <w:sz w:val="24"/>
              </w:rPr>
              <w:t>2020</w:t>
            </w:r>
          </w:p>
        </w:tc>
        <w:tc>
          <w:tcPr>
            <w:tcW w:w="831" w:type="dxa"/>
            <w:gridSpan w:val="2"/>
            <w:shd w:val="clear" w:color="auto" w:fill="CCFFCC"/>
          </w:tcPr>
          <w:p w:rsidR="007A5EFD" w:rsidP="000C5683" w:rsidRDefault="007A5EFD" w14:paraId="6D92156F" w14:textId="77777777">
            <w:pPr>
              <w:pStyle w:val="TableParagraph"/>
              <w:spacing w:before="59"/>
              <w:ind w:left="105"/>
              <w:rPr>
                <w:sz w:val="24"/>
              </w:rPr>
            </w:pPr>
            <w:r>
              <w:rPr>
                <w:sz w:val="24"/>
              </w:rPr>
              <w:t>16</w:t>
            </w:r>
          </w:p>
        </w:tc>
        <w:tc>
          <w:tcPr>
            <w:tcW w:w="879" w:type="dxa"/>
            <w:gridSpan w:val="2"/>
            <w:shd w:val="clear" w:color="auto" w:fill="CCFFCC"/>
          </w:tcPr>
          <w:p w:rsidR="007A5EFD" w:rsidP="000C5683" w:rsidRDefault="007A5EFD" w14:paraId="184D3E96" w14:textId="77777777">
            <w:pPr>
              <w:pStyle w:val="TableParagraph"/>
              <w:spacing w:before="59"/>
              <w:ind w:left="109"/>
              <w:rPr>
                <w:sz w:val="24"/>
              </w:rPr>
            </w:pPr>
            <w:r>
              <w:rPr>
                <w:sz w:val="24"/>
              </w:rPr>
              <w:t>160</w:t>
            </w:r>
          </w:p>
        </w:tc>
        <w:tc>
          <w:tcPr>
            <w:tcW w:w="1508" w:type="dxa"/>
            <w:gridSpan w:val="2"/>
            <w:shd w:val="clear" w:color="auto" w:fill="CCFFCC"/>
          </w:tcPr>
          <w:p w:rsidR="007A5EFD" w:rsidP="000C5683" w:rsidRDefault="007A5EFD" w14:paraId="6666AC53" w14:textId="77777777">
            <w:pPr>
              <w:pStyle w:val="TableParagraph"/>
              <w:spacing w:before="59"/>
              <w:ind w:left="109"/>
              <w:rPr>
                <w:sz w:val="24"/>
              </w:rPr>
            </w:pPr>
            <w:r>
              <w:rPr>
                <w:sz w:val="24"/>
              </w:rPr>
              <w:t>D.20-06-047</w:t>
            </w:r>
          </w:p>
          <w:p w:rsidR="007A5EFD" w:rsidP="000C5683" w:rsidRDefault="007A5EFD" w14:paraId="0BEDCFF6" w14:textId="77777777">
            <w:pPr>
              <w:pStyle w:val="TableParagraph"/>
              <w:spacing w:before="2"/>
              <w:ind w:left="109"/>
              <w:rPr>
                <w:sz w:val="24"/>
              </w:rPr>
            </w:pPr>
            <w:r>
              <w:rPr>
                <w:sz w:val="24"/>
              </w:rPr>
              <w:t>Comment</w:t>
            </w:r>
            <w:r>
              <w:rPr>
                <w:spacing w:val="-1"/>
                <w:sz w:val="24"/>
              </w:rPr>
              <w:t xml:space="preserve"> </w:t>
            </w:r>
            <w:r>
              <w:rPr>
                <w:sz w:val="24"/>
              </w:rPr>
              <w:t>#1</w:t>
            </w:r>
          </w:p>
        </w:tc>
        <w:tc>
          <w:tcPr>
            <w:tcW w:w="1374" w:type="dxa"/>
            <w:gridSpan w:val="2"/>
            <w:tcBorders>
              <w:right w:val="single" w:color="000000" w:sz="24" w:space="0"/>
            </w:tcBorders>
            <w:shd w:val="clear" w:color="auto" w:fill="CCFFCC"/>
          </w:tcPr>
          <w:p w:rsidR="007A5EFD" w:rsidP="000C5683" w:rsidRDefault="007A5EFD" w14:paraId="3D4FC1BF" w14:textId="77777777">
            <w:pPr>
              <w:pStyle w:val="TableParagraph"/>
              <w:spacing w:before="59"/>
              <w:ind w:left="109"/>
              <w:rPr>
                <w:sz w:val="24"/>
              </w:rPr>
            </w:pPr>
            <w:r>
              <w:rPr>
                <w:sz w:val="24"/>
              </w:rPr>
              <w:t>2,560</w:t>
            </w:r>
          </w:p>
        </w:tc>
        <w:tc>
          <w:tcPr>
            <w:tcW w:w="904" w:type="dxa"/>
            <w:gridSpan w:val="2"/>
            <w:tcBorders>
              <w:left w:val="single" w:color="000000" w:sz="24" w:space="0"/>
            </w:tcBorders>
          </w:tcPr>
          <w:p w:rsidR="007A5EFD" w:rsidP="000C5683" w:rsidRDefault="007A5EFD" w14:paraId="37C88AC3" w14:textId="77777777">
            <w:pPr>
              <w:pStyle w:val="TableParagraph"/>
            </w:pPr>
            <w:r>
              <w:t>16</w:t>
            </w:r>
          </w:p>
        </w:tc>
        <w:tc>
          <w:tcPr>
            <w:tcW w:w="1115" w:type="dxa"/>
            <w:gridSpan w:val="2"/>
          </w:tcPr>
          <w:p w:rsidR="007A5EFD" w:rsidP="000C5683" w:rsidRDefault="007A5EFD" w14:paraId="23803488" w14:textId="77777777">
            <w:pPr>
              <w:pStyle w:val="TableParagraph"/>
            </w:pPr>
            <w:r>
              <w:t>$157.50 [3]</w:t>
            </w:r>
          </w:p>
        </w:tc>
        <w:tc>
          <w:tcPr>
            <w:tcW w:w="1738" w:type="dxa"/>
            <w:gridSpan w:val="2"/>
          </w:tcPr>
          <w:p w:rsidR="007A5EFD" w:rsidP="000C5683" w:rsidRDefault="007A5EFD" w14:paraId="086C0925" w14:textId="77777777">
            <w:pPr>
              <w:pStyle w:val="TableParagraph"/>
            </w:pPr>
            <w:r>
              <w:t>$2,520</w:t>
            </w:r>
          </w:p>
        </w:tc>
      </w:tr>
      <w:tr w:rsidR="007A5EFD" w:rsidTr="006C1FDD" w14:paraId="4D33FC47" w14:textId="77777777">
        <w:trPr>
          <w:gridBefore w:val="1"/>
          <w:wBefore w:w="10" w:type="dxa"/>
          <w:trHeight w:val="671"/>
          <w:jc w:val="center"/>
        </w:trPr>
        <w:tc>
          <w:tcPr>
            <w:tcW w:w="6772" w:type="dxa"/>
            <w:gridSpan w:val="14"/>
            <w:tcBorders>
              <w:right w:val="single" w:color="000000" w:sz="24" w:space="0"/>
            </w:tcBorders>
            <w:shd w:val="clear" w:color="auto" w:fill="CCFFCC"/>
          </w:tcPr>
          <w:p w:rsidR="007A5EFD" w:rsidP="000C5683" w:rsidRDefault="007A5EFD" w14:paraId="3DA79298" w14:textId="77777777">
            <w:pPr>
              <w:pStyle w:val="TableParagraph"/>
              <w:spacing w:before="59"/>
              <w:ind w:left="109"/>
              <w:jc w:val="right"/>
              <w:rPr>
                <w:sz w:val="24"/>
              </w:rPr>
            </w:pPr>
            <w:r>
              <w:rPr>
                <w:b/>
                <w:i/>
                <w:sz w:val="24"/>
              </w:rPr>
              <w:t>Subtotal:</w:t>
            </w:r>
            <w:r>
              <w:rPr>
                <w:b/>
                <w:i/>
                <w:spacing w:val="-1"/>
                <w:sz w:val="24"/>
              </w:rPr>
              <w:t xml:space="preserve"> </w:t>
            </w:r>
            <w:r>
              <w:rPr>
                <w:b/>
                <w:i/>
                <w:sz w:val="24"/>
              </w:rPr>
              <w:t>$</w:t>
            </w:r>
            <w:r>
              <w:rPr>
                <w:b/>
                <w:i/>
                <w:spacing w:val="1"/>
                <w:sz w:val="24"/>
              </w:rPr>
              <w:t xml:space="preserve"> </w:t>
            </w:r>
            <w:r>
              <w:rPr>
                <w:b/>
                <w:i/>
                <w:sz w:val="24"/>
              </w:rPr>
              <w:t>2,560</w:t>
            </w:r>
          </w:p>
        </w:tc>
        <w:tc>
          <w:tcPr>
            <w:tcW w:w="3757" w:type="dxa"/>
            <w:gridSpan w:val="6"/>
            <w:tcBorders>
              <w:left w:val="single" w:color="000000" w:sz="24" w:space="0"/>
            </w:tcBorders>
          </w:tcPr>
          <w:p w:rsidR="007A5EFD" w:rsidP="000C5683" w:rsidRDefault="007A5EFD" w14:paraId="60AFA403" w14:textId="77777777">
            <w:pPr>
              <w:pStyle w:val="TableParagraph"/>
              <w:jc w:val="right"/>
            </w:pPr>
            <w:r>
              <w:rPr>
                <w:b/>
                <w:i/>
                <w:sz w:val="24"/>
              </w:rPr>
              <w:t>Subtotal:</w:t>
            </w:r>
            <w:r>
              <w:rPr>
                <w:b/>
                <w:i/>
                <w:spacing w:val="4"/>
                <w:sz w:val="24"/>
              </w:rPr>
              <w:t xml:space="preserve"> </w:t>
            </w:r>
            <w:r>
              <w:rPr>
                <w:b/>
                <w:i/>
                <w:sz w:val="24"/>
              </w:rPr>
              <w:t>$2,520</w:t>
            </w:r>
          </w:p>
        </w:tc>
      </w:tr>
      <w:tr w:rsidR="007A5EFD" w:rsidTr="006C1FDD" w14:paraId="7296D7D5" w14:textId="77777777">
        <w:trPr>
          <w:gridBefore w:val="1"/>
          <w:wBefore w:w="10" w:type="dxa"/>
          <w:trHeight w:val="432"/>
          <w:jc w:val="center"/>
        </w:trPr>
        <w:tc>
          <w:tcPr>
            <w:tcW w:w="10529" w:type="dxa"/>
            <w:gridSpan w:val="20"/>
            <w:shd w:val="clear" w:color="auto" w:fill="E7E6E6" w:themeFill="background2"/>
          </w:tcPr>
          <w:p w:rsidR="007A5EFD" w:rsidP="005745E6" w:rsidRDefault="007A5EFD" w14:paraId="5E620CED" w14:textId="123346B9">
            <w:pPr>
              <w:pStyle w:val="TableParagraph"/>
              <w:keepNext/>
              <w:keepLines/>
              <w:widowControl/>
              <w:jc w:val="center"/>
              <w:rPr>
                <w:b/>
                <w:i/>
                <w:sz w:val="24"/>
              </w:rPr>
            </w:pPr>
            <w:bookmarkStart w:name="_Hlk65245546" w:id="3"/>
            <w:r>
              <w:rPr>
                <w:b/>
                <w:sz w:val="24"/>
              </w:rPr>
              <w:t>INTERVENOR</w:t>
            </w:r>
            <w:r>
              <w:rPr>
                <w:b/>
                <w:spacing w:val="-4"/>
                <w:sz w:val="24"/>
              </w:rPr>
              <w:t xml:space="preserve"> </w:t>
            </w:r>
            <w:r>
              <w:rPr>
                <w:b/>
                <w:sz w:val="24"/>
              </w:rPr>
              <w:t>COMPENSATION</w:t>
            </w:r>
            <w:r>
              <w:rPr>
                <w:b/>
                <w:spacing w:val="-2"/>
                <w:sz w:val="24"/>
              </w:rPr>
              <w:t xml:space="preserve"> </w:t>
            </w:r>
            <w:r>
              <w:rPr>
                <w:b/>
                <w:sz w:val="24"/>
              </w:rPr>
              <w:t>CLAIM</w:t>
            </w:r>
            <w:r>
              <w:rPr>
                <w:b/>
                <w:spacing w:val="-3"/>
                <w:sz w:val="24"/>
              </w:rPr>
              <w:t xml:space="preserve"> </w:t>
            </w:r>
            <w:r>
              <w:rPr>
                <w:b/>
                <w:sz w:val="24"/>
              </w:rPr>
              <w:t>PREPARATION</w:t>
            </w:r>
          </w:p>
        </w:tc>
      </w:tr>
      <w:bookmarkEnd w:id="2"/>
      <w:tr w:rsidR="007A5EFD" w:rsidTr="006C1FDD" w14:paraId="5F3F406D" w14:textId="77777777">
        <w:trPr>
          <w:gridAfter w:val="1"/>
          <w:wAfter w:w="22" w:type="dxa"/>
          <w:trHeight w:val="623"/>
          <w:jc w:val="center"/>
        </w:trPr>
        <w:tc>
          <w:tcPr>
            <w:tcW w:w="1406" w:type="dxa"/>
            <w:gridSpan w:val="3"/>
          </w:tcPr>
          <w:p w:rsidR="007A5EFD" w:rsidP="000C5683" w:rsidRDefault="007A5EFD" w14:paraId="1FE2EA43" w14:textId="77777777">
            <w:pPr>
              <w:pStyle w:val="TableParagraph"/>
              <w:spacing w:before="63"/>
              <w:ind w:left="458" w:right="457"/>
              <w:jc w:val="center"/>
              <w:rPr>
                <w:b/>
              </w:rPr>
            </w:pPr>
            <w:r>
              <w:rPr>
                <w:b/>
              </w:rPr>
              <w:t>Item</w:t>
            </w:r>
          </w:p>
        </w:tc>
        <w:tc>
          <w:tcPr>
            <w:tcW w:w="772" w:type="dxa"/>
            <w:gridSpan w:val="3"/>
          </w:tcPr>
          <w:p w:rsidR="007A5EFD" w:rsidP="000C5683" w:rsidRDefault="007A5EFD" w14:paraId="5F41C4C2" w14:textId="77777777">
            <w:pPr>
              <w:pStyle w:val="TableParagraph"/>
              <w:spacing w:before="63"/>
              <w:ind w:left="149"/>
              <w:rPr>
                <w:b/>
              </w:rPr>
            </w:pPr>
            <w:r>
              <w:rPr>
                <w:b/>
              </w:rPr>
              <w:t>Year</w:t>
            </w:r>
          </w:p>
        </w:tc>
        <w:tc>
          <w:tcPr>
            <w:tcW w:w="830" w:type="dxa"/>
            <w:gridSpan w:val="2"/>
          </w:tcPr>
          <w:p w:rsidR="007A5EFD" w:rsidP="000C5683" w:rsidRDefault="007A5EFD" w14:paraId="79263E0F" w14:textId="77777777">
            <w:pPr>
              <w:pStyle w:val="TableParagraph"/>
              <w:spacing w:before="63"/>
              <w:ind w:left="121"/>
              <w:rPr>
                <w:b/>
              </w:rPr>
            </w:pPr>
            <w:r>
              <w:rPr>
                <w:b/>
              </w:rPr>
              <w:t>Hours</w:t>
            </w:r>
          </w:p>
        </w:tc>
        <w:tc>
          <w:tcPr>
            <w:tcW w:w="879" w:type="dxa"/>
            <w:gridSpan w:val="2"/>
          </w:tcPr>
          <w:p w:rsidR="007A5EFD" w:rsidP="005745E6" w:rsidRDefault="007A5EFD" w14:paraId="4B27C1C1" w14:textId="77777777">
            <w:pPr>
              <w:pStyle w:val="TableParagraph"/>
              <w:keepNext/>
              <w:keepLines/>
              <w:widowControl/>
              <w:spacing w:before="63"/>
              <w:ind w:left="141"/>
              <w:rPr>
                <w:b/>
              </w:rPr>
            </w:pPr>
            <w:r>
              <w:rPr>
                <w:b/>
              </w:rPr>
              <w:t>Rate $</w:t>
            </w:r>
          </w:p>
        </w:tc>
        <w:tc>
          <w:tcPr>
            <w:tcW w:w="1507" w:type="dxa"/>
            <w:gridSpan w:val="2"/>
          </w:tcPr>
          <w:p w:rsidR="007A5EFD" w:rsidP="005745E6" w:rsidRDefault="007A5EFD" w14:paraId="4F40F024" w14:textId="77777777">
            <w:pPr>
              <w:pStyle w:val="TableParagraph"/>
              <w:keepNext/>
              <w:keepLines/>
              <w:widowControl/>
              <w:spacing w:before="58"/>
              <w:ind w:left="482" w:right="310" w:hanging="140"/>
              <w:rPr>
                <w:b/>
              </w:rPr>
            </w:pPr>
            <w:r>
              <w:rPr>
                <w:b/>
              </w:rPr>
              <w:t>Basis for</w:t>
            </w:r>
            <w:r>
              <w:rPr>
                <w:b/>
                <w:spacing w:val="-52"/>
              </w:rPr>
              <w:t xml:space="preserve"> </w:t>
            </w:r>
            <w:r>
              <w:rPr>
                <w:b/>
              </w:rPr>
              <w:t>Rate*</w:t>
            </w:r>
          </w:p>
        </w:tc>
        <w:tc>
          <w:tcPr>
            <w:tcW w:w="1372" w:type="dxa"/>
            <w:gridSpan w:val="2"/>
            <w:tcBorders>
              <w:right w:val="single" w:color="000000" w:sz="24" w:space="0"/>
            </w:tcBorders>
          </w:tcPr>
          <w:p w:rsidR="007A5EFD" w:rsidP="005745E6" w:rsidRDefault="007A5EFD" w14:paraId="0949658E" w14:textId="77777777">
            <w:pPr>
              <w:pStyle w:val="TableParagraph"/>
              <w:keepNext/>
              <w:keepLines/>
              <w:widowControl/>
              <w:spacing w:before="63"/>
              <w:ind w:left="358"/>
              <w:rPr>
                <w:b/>
              </w:rPr>
            </w:pPr>
            <w:r>
              <w:rPr>
                <w:b/>
              </w:rPr>
              <w:t>Total</w:t>
            </w:r>
            <w:r>
              <w:rPr>
                <w:b/>
                <w:spacing w:val="3"/>
              </w:rPr>
              <w:t xml:space="preserve"> </w:t>
            </w:r>
            <w:r>
              <w:rPr>
                <w:b/>
              </w:rPr>
              <w:t>$</w:t>
            </w:r>
          </w:p>
        </w:tc>
        <w:tc>
          <w:tcPr>
            <w:tcW w:w="902" w:type="dxa"/>
            <w:gridSpan w:val="2"/>
            <w:tcBorders>
              <w:left w:val="single" w:color="000000" w:sz="24" w:space="0"/>
            </w:tcBorders>
          </w:tcPr>
          <w:p w:rsidR="007A5EFD" w:rsidP="005745E6" w:rsidRDefault="007A5EFD" w14:paraId="5FC9AF35" w14:textId="77777777">
            <w:pPr>
              <w:pStyle w:val="TableParagraph"/>
              <w:keepNext/>
              <w:keepLines/>
              <w:widowControl/>
              <w:spacing w:before="63"/>
              <w:ind w:left="137"/>
              <w:rPr>
                <w:b/>
              </w:rPr>
            </w:pPr>
            <w:r>
              <w:rPr>
                <w:b/>
              </w:rPr>
              <w:t>Hours</w:t>
            </w:r>
          </w:p>
        </w:tc>
        <w:tc>
          <w:tcPr>
            <w:tcW w:w="1079" w:type="dxa"/>
            <w:gridSpan w:val="2"/>
          </w:tcPr>
          <w:p w:rsidR="007A5EFD" w:rsidP="005745E6" w:rsidRDefault="007A5EFD" w14:paraId="57536E0D" w14:textId="77777777">
            <w:pPr>
              <w:pStyle w:val="TableParagraph"/>
              <w:keepNext/>
              <w:keepLines/>
              <w:widowControl/>
              <w:spacing w:before="63"/>
              <w:ind w:left="321"/>
              <w:rPr>
                <w:b/>
              </w:rPr>
            </w:pPr>
            <w:r>
              <w:rPr>
                <w:b/>
              </w:rPr>
              <w:t>Rate</w:t>
            </w:r>
          </w:p>
        </w:tc>
        <w:tc>
          <w:tcPr>
            <w:tcW w:w="1770" w:type="dxa"/>
            <w:gridSpan w:val="2"/>
          </w:tcPr>
          <w:p w:rsidR="007A5EFD" w:rsidP="005745E6" w:rsidRDefault="007A5EFD" w14:paraId="36B1D4D8" w14:textId="77777777">
            <w:pPr>
              <w:pStyle w:val="TableParagraph"/>
              <w:keepNext/>
              <w:keepLines/>
              <w:widowControl/>
              <w:spacing w:before="63"/>
              <w:ind w:left="553"/>
              <w:rPr>
                <w:b/>
              </w:rPr>
            </w:pPr>
            <w:r>
              <w:rPr>
                <w:b/>
              </w:rPr>
              <w:t>Total</w:t>
            </w:r>
            <w:r>
              <w:rPr>
                <w:b/>
                <w:spacing w:val="3"/>
              </w:rPr>
              <w:t xml:space="preserve"> </w:t>
            </w:r>
            <w:r>
              <w:rPr>
                <w:b/>
              </w:rPr>
              <w:t>$</w:t>
            </w:r>
          </w:p>
        </w:tc>
      </w:tr>
      <w:tr w:rsidR="007A5EFD" w:rsidTr="006C1FDD" w14:paraId="5DDE9016" w14:textId="77777777">
        <w:trPr>
          <w:gridAfter w:val="1"/>
          <w:wAfter w:w="22" w:type="dxa"/>
          <w:trHeight w:val="672"/>
          <w:jc w:val="center"/>
        </w:trPr>
        <w:tc>
          <w:tcPr>
            <w:tcW w:w="1406" w:type="dxa"/>
            <w:gridSpan w:val="3"/>
            <w:shd w:val="clear" w:color="auto" w:fill="CCFFCC"/>
          </w:tcPr>
          <w:p w:rsidR="007A5EFD" w:rsidP="000C5683" w:rsidRDefault="007A5EFD" w14:paraId="18978D43" w14:textId="77777777">
            <w:pPr>
              <w:pStyle w:val="TableParagraph"/>
              <w:spacing w:before="59" w:line="242" w:lineRule="auto"/>
              <w:ind w:left="110" w:right="239"/>
              <w:rPr>
                <w:sz w:val="24"/>
              </w:rPr>
            </w:pPr>
            <w:r>
              <w:rPr>
                <w:sz w:val="24"/>
              </w:rPr>
              <w:lastRenderedPageBreak/>
              <w:t>Dr. Joseph</w:t>
            </w:r>
            <w:r>
              <w:rPr>
                <w:spacing w:val="-58"/>
                <w:sz w:val="24"/>
              </w:rPr>
              <w:t xml:space="preserve"> </w:t>
            </w:r>
            <w:r>
              <w:rPr>
                <w:sz w:val="24"/>
              </w:rPr>
              <w:t>Mitchell</w:t>
            </w:r>
          </w:p>
        </w:tc>
        <w:tc>
          <w:tcPr>
            <w:tcW w:w="772" w:type="dxa"/>
            <w:gridSpan w:val="3"/>
            <w:shd w:val="clear" w:color="auto" w:fill="CCFFCC"/>
          </w:tcPr>
          <w:p w:rsidR="007A5EFD" w:rsidP="000C5683" w:rsidRDefault="007A5EFD" w14:paraId="0912F9E4" w14:textId="77777777">
            <w:pPr>
              <w:pStyle w:val="TableParagraph"/>
              <w:spacing w:before="59"/>
              <w:ind w:left="106"/>
              <w:rPr>
                <w:sz w:val="24"/>
              </w:rPr>
            </w:pPr>
            <w:r>
              <w:rPr>
                <w:sz w:val="24"/>
              </w:rPr>
              <w:t>2020</w:t>
            </w:r>
          </w:p>
        </w:tc>
        <w:tc>
          <w:tcPr>
            <w:tcW w:w="830" w:type="dxa"/>
            <w:gridSpan w:val="2"/>
            <w:shd w:val="clear" w:color="auto" w:fill="CCFFCC"/>
          </w:tcPr>
          <w:p w:rsidR="007A5EFD" w:rsidP="000C5683" w:rsidRDefault="007A5EFD" w14:paraId="38095C4C" w14:textId="77777777">
            <w:pPr>
              <w:pStyle w:val="TableParagraph"/>
              <w:spacing w:before="59"/>
              <w:ind w:left="107"/>
              <w:rPr>
                <w:sz w:val="24"/>
              </w:rPr>
            </w:pPr>
            <w:r>
              <w:rPr>
                <w:sz w:val="24"/>
              </w:rPr>
              <w:t>17.5</w:t>
            </w:r>
          </w:p>
        </w:tc>
        <w:tc>
          <w:tcPr>
            <w:tcW w:w="879" w:type="dxa"/>
            <w:gridSpan w:val="2"/>
            <w:shd w:val="clear" w:color="auto" w:fill="CCFFCC"/>
          </w:tcPr>
          <w:p w:rsidR="007A5EFD" w:rsidP="005745E6" w:rsidRDefault="007A5EFD" w14:paraId="5A26997D" w14:textId="77777777">
            <w:pPr>
              <w:pStyle w:val="TableParagraph"/>
              <w:keepNext/>
              <w:keepLines/>
              <w:widowControl/>
              <w:spacing w:before="59"/>
              <w:ind w:left="112"/>
              <w:rPr>
                <w:sz w:val="24"/>
              </w:rPr>
            </w:pPr>
            <w:r>
              <w:rPr>
                <w:sz w:val="24"/>
              </w:rPr>
              <w:t>160</w:t>
            </w:r>
          </w:p>
        </w:tc>
        <w:tc>
          <w:tcPr>
            <w:tcW w:w="1507" w:type="dxa"/>
            <w:gridSpan w:val="2"/>
            <w:shd w:val="clear" w:color="auto" w:fill="CCFFCC"/>
          </w:tcPr>
          <w:p w:rsidR="007A5EFD" w:rsidP="005745E6" w:rsidRDefault="007A5EFD" w14:paraId="15DB2E00" w14:textId="77777777">
            <w:pPr>
              <w:pStyle w:val="TableParagraph"/>
              <w:keepNext/>
              <w:keepLines/>
              <w:widowControl/>
              <w:spacing w:before="59"/>
              <w:ind w:left="112"/>
              <w:rPr>
                <w:sz w:val="24"/>
              </w:rPr>
            </w:pPr>
            <w:r>
              <w:rPr>
                <w:sz w:val="24"/>
              </w:rPr>
              <w:t>D.20-06-047</w:t>
            </w:r>
          </w:p>
          <w:p w:rsidR="007A5EFD" w:rsidP="005745E6" w:rsidRDefault="007A5EFD" w14:paraId="14806475" w14:textId="77777777">
            <w:pPr>
              <w:pStyle w:val="TableParagraph"/>
              <w:keepNext/>
              <w:keepLines/>
              <w:widowControl/>
              <w:spacing w:before="2"/>
              <w:ind w:left="112"/>
              <w:rPr>
                <w:sz w:val="24"/>
              </w:rPr>
            </w:pPr>
            <w:r>
              <w:rPr>
                <w:sz w:val="24"/>
              </w:rPr>
              <w:t>Comment #1</w:t>
            </w:r>
          </w:p>
        </w:tc>
        <w:tc>
          <w:tcPr>
            <w:tcW w:w="1372" w:type="dxa"/>
            <w:gridSpan w:val="2"/>
            <w:tcBorders>
              <w:right w:val="single" w:color="000000" w:sz="24" w:space="0"/>
            </w:tcBorders>
            <w:shd w:val="clear" w:color="auto" w:fill="CCFFCC"/>
          </w:tcPr>
          <w:p w:rsidR="007A5EFD" w:rsidP="005745E6" w:rsidRDefault="007A5EFD" w14:paraId="1C9AA7A9" w14:textId="77777777">
            <w:pPr>
              <w:pStyle w:val="TableParagraph"/>
              <w:keepNext/>
              <w:keepLines/>
              <w:widowControl/>
              <w:spacing w:before="59"/>
              <w:ind w:left="113"/>
              <w:rPr>
                <w:sz w:val="24"/>
              </w:rPr>
            </w:pPr>
            <w:r>
              <w:rPr>
                <w:sz w:val="24"/>
              </w:rPr>
              <w:t>$</w:t>
            </w:r>
            <w:r>
              <w:rPr>
                <w:spacing w:val="2"/>
                <w:sz w:val="24"/>
              </w:rPr>
              <w:t xml:space="preserve"> </w:t>
            </w:r>
            <w:r>
              <w:rPr>
                <w:sz w:val="24"/>
              </w:rPr>
              <w:t>2,800</w:t>
            </w:r>
          </w:p>
        </w:tc>
        <w:tc>
          <w:tcPr>
            <w:tcW w:w="902" w:type="dxa"/>
            <w:gridSpan w:val="2"/>
            <w:tcBorders>
              <w:left w:val="single" w:color="000000" w:sz="24" w:space="0"/>
            </w:tcBorders>
          </w:tcPr>
          <w:p w:rsidR="007A5EFD" w:rsidP="005745E6" w:rsidRDefault="007A5EFD" w14:paraId="741EB8FC" w14:textId="77777777">
            <w:pPr>
              <w:pStyle w:val="TableParagraph"/>
              <w:keepNext/>
              <w:keepLines/>
              <w:widowControl/>
            </w:pPr>
            <w:r>
              <w:t>11 [5]</w:t>
            </w:r>
          </w:p>
        </w:tc>
        <w:tc>
          <w:tcPr>
            <w:tcW w:w="1079" w:type="dxa"/>
            <w:gridSpan w:val="2"/>
          </w:tcPr>
          <w:p w:rsidR="007A5EFD" w:rsidP="005745E6" w:rsidRDefault="007A5EFD" w14:paraId="59AB9D65" w14:textId="77777777">
            <w:pPr>
              <w:pStyle w:val="TableParagraph"/>
              <w:keepNext/>
              <w:keepLines/>
              <w:widowControl/>
            </w:pPr>
            <w:r>
              <w:t>$157.50 [6]</w:t>
            </w:r>
          </w:p>
        </w:tc>
        <w:tc>
          <w:tcPr>
            <w:tcW w:w="1770" w:type="dxa"/>
            <w:gridSpan w:val="2"/>
          </w:tcPr>
          <w:p w:rsidR="007A5EFD" w:rsidP="005745E6" w:rsidRDefault="007A5EFD" w14:paraId="27C223A7" w14:textId="77777777">
            <w:pPr>
              <w:pStyle w:val="TableParagraph"/>
              <w:keepNext/>
              <w:keepLines/>
              <w:widowControl/>
            </w:pPr>
            <w:r>
              <w:t>$1,732.50</w:t>
            </w:r>
          </w:p>
        </w:tc>
      </w:tr>
      <w:tr w:rsidR="007A5EFD" w:rsidTr="006C1FDD" w14:paraId="4386BD11" w14:textId="77777777">
        <w:trPr>
          <w:gridAfter w:val="1"/>
          <w:wAfter w:w="22" w:type="dxa"/>
          <w:trHeight w:val="397"/>
          <w:jc w:val="center"/>
        </w:trPr>
        <w:tc>
          <w:tcPr>
            <w:tcW w:w="6766" w:type="dxa"/>
            <w:gridSpan w:val="14"/>
            <w:tcBorders>
              <w:right w:val="single" w:color="000000" w:sz="24" w:space="0"/>
            </w:tcBorders>
          </w:tcPr>
          <w:p w:rsidR="007A5EFD" w:rsidP="005745E6" w:rsidRDefault="007A5EFD" w14:paraId="3E4A94B4" w14:textId="77777777">
            <w:pPr>
              <w:pStyle w:val="TableParagraph"/>
              <w:keepNext/>
              <w:keepLines/>
              <w:widowControl/>
              <w:spacing w:before="59"/>
              <w:ind w:right="223"/>
              <w:jc w:val="right"/>
              <w:rPr>
                <w:b/>
                <w:i/>
                <w:sz w:val="24"/>
              </w:rPr>
            </w:pPr>
            <w:r>
              <w:rPr>
                <w:b/>
                <w:i/>
                <w:sz w:val="24"/>
              </w:rPr>
              <w:t>Subtotal:</w:t>
            </w:r>
            <w:r>
              <w:rPr>
                <w:b/>
                <w:i/>
                <w:spacing w:val="-1"/>
                <w:sz w:val="24"/>
              </w:rPr>
              <w:t xml:space="preserve"> </w:t>
            </w:r>
            <w:r>
              <w:rPr>
                <w:b/>
                <w:i/>
                <w:sz w:val="24"/>
              </w:rPr>
              <w:t>$</w:t>
            </w:r>
            <w:r>
              <w:rPr>
                <w:b/>
                <w:i/>
                <w:spacing w:val="1"/>
                <w:sz w:val="24"/>
              </w:rPr>
              <w:t xml:space="preserve"> </w:t>
            </w:r>
            <w:r>
              <w:rPr>
                <w:b/>
                <w:i/>
                <w:sz w:val="24"/>
              </w:rPr>
              <w:t>2,800</w:t>
            </w:r>
          </w:p>
        </w:tc>
        <w:tc>
          <w:tcPr>
            <w:tcW w:w="3751" w:type="dxa"/>
            <w:gridSpan w:val="6"/>
            <w:tcBorders>
              <w:left w:val="single" w:color="000000" w:sz="24" w:space="0"/>
            </w:tcBorders>
          </w:tcPr>
          <w:p w:rsidR="007A5EFD" w:rsidP="005745E6" w:rsidRDefault="007A5EFD" w14:paraId="4E3788C5" w14:textId="77777777">
            <w:pPr>
              <w:pStyle w:val="TableParagraph"/>
              <w:keepNext/>
              <w:keepLines/>
              <w:widowControl/>
              <w:spacing w:before="59"/>
              <w:rPr>
                <w:b/>
                <w:i/>
                <w:sz w:val="24"/>
              </w:rPr>
            </w:pPr>
            <w:r>
              <w:rPr>
                <w:b/>
                <w:i/>
                <w:sz w:val="24"/>
              </w:rPr>
              <w:t xml:space="preserve">                             Subtotal:</w:t>
            </w:r>
            <w:r>
              <w:rPr>
                <w:b/>
                <w:i/>
                <w:spacing w:val="1"/>
                <w:sz w:val="24"/>
              </w:rPr>
              <w:t xml:space="preserve"> </w:t>
            </w:r>
            <w:r>
              <w:rPr>
                <w:b/>
                <w:i/>
                <w:sz w:val="24"/>
              </w:rPr>
              <w:t>$1,732.50</w:t>
            </w:r>
          </w:p>
        </w:tc>
      </w:tr>
      <w:bookmarkEnd w:id="3"/>
      <w:tr w:rsidR="007A5EFD" w:rsidTr="006C1FDD" w14:paraId="3881D09F" w14:textId="77777777">
        <w:trPr>
          <w:gridAfter w:val="1"/>
          <w:wAfter w:w="22" w:type="dxa"/>
          <w:trHeight w:val="397"/>
          <w:jc w:val="center"/>
        </w:trPr>
        <w:tc>
          <w:tcPr>
            <w:tcW w:w="10517" w:type="dxa"/>
            <w:gridSpan w:val="20"/>
            <w:shd w:val="clear" w:color="auto" w:fill="E7E6E6" w:themeFill="background2"/>
          </w:tcPr>
          <w:p w:rsidR="007A5EFD" w:rsidP="000C5683" w:rsidRDefault="007A5EFD" w14:paraId="2310044D" w14:textId="77777777">
            <w:pPr>
              <w:pStyle w:val="TableParagraph"/>
              <w:spacing w:before="59"/>
              <w:jc w:val="center"/>
              <w:rPr>
                <w:b/>
                <w:i/>
                <w:sz w:val="24"/>
              </w:rPr>
            </w:pPr>
            <w:r>
              <w:rPr>
                <w:b/>
                <w:sz w:val="24"/>
              </w:rPr>
              <w:t>COSTS</w:t>
            </w:r>
          </w:p>
        </w:tc>
      </w:tr>
      <w:tr w:rsidR="007A5EFD" w:rsidTr="006C1FDD" w14:paraId="67220CBA" w14:textId="77777777">
        <w:trPr>
          <w:gridAfter w:val="1"/>
          <w:wAfter w:w="22" w:type="dxa"/>
          <w:trHeight w:val="398"/>
          <w:jc w:val="center"/>
        </w:trPr>
        <w:tc>
          <w:tcPr>
            <w:tcW w:w="470" w:type="dxa"/>
            <w:gridSpan w:val="2"/>
          </w:tcPr>
          <w:p w:rsidR="007A5EFD" w:rsidP="000C5683" w:rsidRDefault="007A5EFD" w14:paraId="672D24A6" w14:textId="77777777">
            <w:pPr>
              <w:pStyle w:val="TableParagraph"/>
              <w:spacing w:before="63"/>
              <w:ind w:left="177"/>
              <w:rPr>
                <w:b/>
                <w:sz w:val="24"/>
              </w:rPr>
            </w:pPr>
            <w:r>
              <w:rPr>
                <w:b/>
                <w:sz w:val="24"/>
              </w:rPr>
              <w:t>#</w:t>
            </w:r>
          </w:p>
        </w:tc>
        <w:tc>
          <w:tcPr>
            <w:tcW w:w="1617" w:type="dxa"/>
            <w:gridSpan w:val="3"/>
          </w:tcPr>
          <w:p w:rsidR="007A5EFD" w:rsidP="000C5683" w:rsidRDefault="007A5EFD" w14:paraId="49E3D9AF" w14:textId="77777777">
            <w:pPr>
              <w:pStyle w:val="TableParagraph"/>
              <w:spacing w:before="63"/>
              <w:ind w:left="546" w:right="541"/>
              <w:jc w:val="center"/>
              <w:rPr>
                <w:b/>
                <w:sz w:val="24"/>
              </w:rPr>
            </w:pPr>
            <w:r>
              <w:rPr>
                <w:b/>
                <w:sz w:val="24"/>
              </w:rPr>
              <w:t>Item</w:t>
            </w:r>
          </w:p>
        </w:tc>
        <w:tc>
          <w:tcPr>
            <w:tcW w:w="3307" w:type="dxa"/>
            <w:gridSpan w:val="7"/>
          </w:tcPr>
          <w:p w:rsidR="007A5EFD" w:rsidP="000C5683" w:rsidRDefault="007A5EFD" w14:paraId="4522DF32" w14:textId="77777777">
            <w:pPr>
              <w:pStyle w:val="TableParagraph"/>
              <w:spacing w:before="63"/>
              <w:ind w:left="1330" w:right="1313"/>
              <w:jc w:val="center"/>
              <w:rPr>
                <w:b/>
                <w:sz w:val="24"/>
              </w:rPr>
            </w:pPr>
            <w:r>
              <w:rPr>
                <w:b/>
                <w:sz w:val="24"/>
              </w:rPr>
              <w:t>Detail</w:t>
            </w:r>
          </w:p>
        </w:tc>
        <w:tc>
          <w:tcPr>
            <w:tcW w:w="1372" w:type="dxa"/>
            <w:gridSpan w:val="2"/>
            <w:tcBorders>
              <w:right w:val="single" w:color="000000" w:sz="24" w:space="0"/>
            </w:tcBorders>
          </w:tcPr>
          <w:p w:rsidR="007A5EFD" w:rsidP="000C5683" w:rsidRDefault="007A5EFD" w14:paraId="65D96C16" w14:textId="77777777">
            <w:pPr>
              <w:pStyle w:val="TableParagraph"/>
              <w:spacing w:before="63"/>
              <w:ind w:left="271"/>
              <w:rPr>
                <w:b/>
                <w:sz w:val="24"/>
              </w:rPr>
            </w:pPr>
            <w:r>
              <w:rPr>
                <w:b/>
                <w:sz w:val="24"/>
              </w:rPr>
              <w:t>Amount</w:t>
            </w:r>
          </w:p>
        </w:tc>
        <w:tc>
          <w:tcPr>
            <w:tcW w:w="3751" w:type="dxa"/>
            <w:gridSpan w:val="6"/>
            <w:tcBorders>
              <w:left w:val="single" w:color="000000" w:sz="24" w:space="0"/>
            </w:tcBorders>
          </w:tcPr>
          <w:p w:rsidR="007A5EFD" w:rsidP="000C5683" w:rsidRDefault="007A5EFD" w14:paraId="6114698C" w14:textId="77777777">
            <w:pPr>
              <w:pStyle w:val="TableParagraph"/>
              <w:spacing w:before="63"/>
              <w:ind w:left="1419" w:right="1415"/>
              <w:jc w:val="center"/>
              <w:rPr>
                <w:b/>
                <w:sz w:val="24"/>
              </w:rPr>
            </w:pPr>
            <w:r>
              <w:rPr>
                <w:b/>
                <w:sz w:val="24"/>
              </w:rPr>
              <w:t>Amount</w:t>
            </w:r>
          </w:p>
        </w:tc>
      </w:tr>
      <w:tr w:rsidR="007A5EFD" w:rsidTr="006C1FDD" w14:paraId="559B81F5" w14:textId="77777777">
        <w:trPr>
          <w:gridAfter w:val="1"/>
          <w:wAfter w:w="22" w:type="dxa"/>
          <w:trHeight w:val="672"/>
          <w:jc w:val="center"/>
        </w:trPr>
        <w:tc>
          <w:tcPr>
            <w:tcW w:w="470" w:type="dxa"/>
            <w:gridSpan w:val="2"/>
            <w:shd w:val="clear" w:color="auto" w:fill="CCFFCC"/>
          </w:tcPr>
          <w:p w:rsidR="007A5EFD" w:rsidP="000C5683" w:rsidRDefault="007A5EFD" w14:paraId="204F38DA" w14:textId="77777777">
            <w:pPr>
              <w:pStyle w:val="TableParagraph"/>
              <w:spacing w:before="59"/>
              <w:ind w:left="110"/>
              <w:rPr>
                <w:sz w:val="24"/>
              </w:rPr>
            </w:pPr>
            <w:r>
              <w:rPr>
                <w:sz w:val="24"/>
              </w:rPr>
              <w:t>1.</w:t>
            </w:r>
          </w:p>
        </w:tc>
        <w:tc>
          <w:tcPr>
            <w:tcW w:w="1617" w:type="dxa"/>
            <w:gridSpan w:val="3"/>
            <w:shd w:val="clear" w:color="auto" w:fill="CCFFCC"/>
          </w:tcPr>
          <w:p w:rsidR="007A5EFD" w:rsidP="000C5683" w:rsidRDefault="007A5EFD" w14:paraId="1A44D1A6" w14:textId="77777777">
            <w:pPr>
              <w:pStyle w:val="TableParagraph"/>
              <w:spacing w:before="59" w:line="242" w:lineRule="auto"/>
              <w:ind w:left="105" w:right="583"/>
              <w:rPr>
                <w:sz w:val="24"/>
              </w:rPr>
            </w:pPr>
            <w:r>
              <w:rPr>
                <w:sz w:val="24"/>
              </w:rPr>
              <w:t xml:space="preserve">Travel </w:t>
            </w:r>
            <w:r>
              <w:rPr>
                <w:spacing w:val="-1"/>
                <w:sz w:val="24"/>
              </w:rPr>
              <w:t>Expenses</w:t>
            </w:r>
          </w:p>
        </w:tc>
        <w:tc>
          <w:tcPr>
            <w:tcW w:w="3307" w:type="dxa"/>
            <w:gridSpan w:val="7"/>
            <w:shd w:val="clear" w:color="auto" w:fill="CCFFCC"/>
          </w:tcPr>
          <w:p w:rsidR="007A5EFD" w:rsidP="000C5683" w:rsidRDefault="007A5EFD" w14:paraId="5D2B8799" w14:textId="77777777">
            <w:pPr>
              <w:pStyle w:val="TableParagraph"/>
              <w:spacing w:before="59" w:line="242" w:lineRule="auto"/>
              <w:ind w:left="111" w:right="149"/>
              <w:rPr>
                <w:sz w:val="24"/>
              </w:rPr>
            </w:pPr>
            <w:r>
              <w:rPr>
                <w:sz w:val="24"/>
              </w:rPr>
              <w:t>Travel</w:t>
            </w:r>
            <w:r>
              <w:rPr>
                <w:spacing w:val="-2"/>
                <w:sz w:val="24"/>
              </w:rPr>
              <w:t xml:space="preserve"> </w:t>
            </w:r>
            <w:r>
              <w:rPr>
                <w:sz w:val="24"/>
              </w:rPr>
              <w:t>to</w:t>
            </w:r>
            <w:r>
              <w:rPr>
                <w:spacing w:val="-6"/>
                <w:sz w:val="24"/>
              </w:rPr>
              <w:t xml:space="preserve"> </w:t>
            </w:r>
            <w:r>
              <w:rPr>
                <w:sz w:val="24"/>
              </w:rPr>
              <w:t>two</w:t>
            </w:r>
            <w:r>
              <w:rPr>
                <w:spacing w:val="-1"/>
                <w:sz w:val="24"/>
              </w:rPr>
              <w:t xml:space="preserve"> </w:t>
            </w:r>
            <w:r>
              <w:rPr>
                <w:sz w:val="24"/>
              </w:rPr>
              <w:t>WMP</w:t>
            </w:r>
            <w:r>
              <w:rPr>
                <w:spacing w:val="-1"/>
                <w:sz w:val="24"/>
              </w:rPr>
              <w:t xml:space="preserve"> </w:t>
            </w:r>
            <w:r>
              <w:rPr>
                <w:sz w:val="24"/>
              </w:rPr>
              <w:t>workshops</w:t>
            </w:r>
            <w:r>
              <w:rPr>
                <w:spacing w:val="-57"/>
                <w:sz w:val="24"/>
              </w:rPr>
              <w:t xml:space="preserve"> </w:t>
            </w:r>
            <w:r>
              <w:rPr>
                <w:sz w:val="24"/>
              </w:rPr>
              <w:t>in</w:t>
            </w:r>
            <w:r>
              <w:rPr>
                <w:spacing w:val="1"/>
                <w:sz w:val="24"/>
              </w:rPr>
              <w:t xml:space="preserve"> </w:t>
            </w:r>
            <w:r>
              <w:rPr>
                <w:sz w:val="24"/>
              </w:rPr>
              <w:t>February,</w:t>
            </w:r>
            <w:r>
              <w:rPr>
                <w:spacing w:val="4"/>
                <w:sz w:val="24"/>
              </w:rPr>
              <w:t xml:space="preserve"> </w:t>
            </w:r>
            <w:r>
              <w:rPr>
                <w:sz w:val="24"/>
              </w:rPr>
              <w:t>2020</w:t>
            </w:r>
          </w:p>
        </w:tc>
        <w:tc>
          <w:tcPr>
            <w:tcW w:w="1372" w:type="dxa"/>
            <w:gridSpan w:val="2"/>
            <w:tcBorders>
              <w:right w:val="single" w:color="000000" w:sz="24" w:space="0"/>
            </w:tcBorders>
            <w:shd w:val="clear" w:color="auto" w:fill="CCFFCC"/>
          </w:tcPr>
          <w:p w:rsidR="007A5EFD" w:rsidP="000C5683" w:rsidRDefault="007A5EFD" w14:paraId="69FDDE8F" w14:textId="77777777">
            <w:pPr>
              <w:pStyle w:val="TableParagraph"/>
              <w:spacing w:before="59"/>
              <w:ind w:left="113"/>
              <w:rPr>
                <w:sz w:val="24"/>
              </w:rPr>
            </w:pPr>
            <w:r>
              <w:rPr>
                <w:sz w:val="24"/>
              </w:rPr>
              <w:t>$</w:t>
            </w:r>
            <w:r>
              <w:rPr>
                <w:spacing w:val="2"/>
                <w:sz w:val="24"/>
              </w:rPr>
              <w:t xml:space="preserve"> </w:t>
            </w:r>
            <w:r>
              <w:rPr>
                <w:sz w:val="24"/>
              </w:rPr>
              <w:t>2,637</w:t>
            </w:r>
          </w:p>
        </w:tc>
        <w:tc>
          <w:tcPr>
            <w:tcW w:w="3751" w:type="dxa"/>
            <w:gridSpan w:val="6"/>
            <w:tcBorders>
              <w:left w:val="single" w:color="000000" w:sz="24" w:space="0"/>
            </w:tcBorders>
          </w:tcPr>
          <w:p w:rsidR="007A5EFD" w:rsidP="000C5683" w:rsidRDefault="007A5EFD" w14:paraId="4B4FF5F4" w14:textId="77777777">
            <w:pPr>
              <w:pStyle w:val="TableParagraph"/>
            </w:pPr>
            <w:r>
              <w:t xml:space="preserve">$2,637 [4] </w:t>
            </w:r>
          </w:p>
        </w:tc>
      </w:tr>
      <w:tr w:rsidR="007A5EFD" w:rsidTr="006C1FDD" w14:paraId="25FD69D6" w14:textId="77777777">
        <w:trPr>
          <w:gridAfter w:val="1"/>
          <w:wAfter w:w="22" w:type="dxa"/>
          <w:trHeight w:val="393"/>
          <w:jc w:val="center"/>
        </w:trPr>
        <w:tc>
          <w:tcPr>
            <w:tcW w:w="6766" w:type="dxa"/>
            <w:gridSpan w:val="14"/>
            <w:tcBorders>
              <w:right w:val="single" w:color="000000" w:sz="24" w:space="0"/>
            </w:tcBorders>
          </w:tcPr>
          <w:p w:rsidR="007A5EFD" w:rsidP="000C5683" w:rsidRDefault="007A5EFD" w14:paraId="49D5788F" w14:textId="77777777">
            <w:pPr>
              <w:pStyle w:val="TableParagraph"/>
              <w:spacing w:before="59"/>
              <w:ind w:right="223"/>
              <w:jc w:val="right"/>
              <w:rPr>
                <w:b/>
                <w:i/>
                <w:sz w:val="24"/>
              </w:rPr>
            </w:pPr>
            <w:r>
              <w:rPr>
                <w:b/>
                <w:i/>
                <w:sz w:val="24"/>
              </w:rPr>
              <w:t>Subtotal:</w:t>
            </w:r>
            <w:r>
              <w:rPr>
                <w:b/>
                <w:i/>
                <w:spacing w:val="-1"/>
                <w:sz w:val="24"/>
              </w:rPr>
              <w:t xml:space="preserve"> </w:t>
            </w:r>
            <w:r>
              <w:rPr>
                <w:b/>
                <w:i/>
                <w:sz w:val="24"/>
              </w:rPr>
              <w:t>$</w:t>
            </w:r>
            <w:r>
              <w:rPr>
                <w:b/>
                <w:i/>
                <w:spacing w:val="1"/>
                <w:sz w:val="24"/>
              </w:rPr>
              <w:t xml:space="preserve"> </w:t>
            </w:r>
            <w:r>
              <w:rPr>
                <w:b/>
                <w:i/>
                <w:sz w:val="24"/>
              </w:rPr>
              <w:t>2,637</w:t>
            </w:r>
          </w:p>
        </w:tc>
        <w:tc>
          <w:tcPr>
            <w:tcW w:w="3751" w:type="dxa"/>
            <w:gridSpan w:val="6"/>
            <w:tcBorders>
              <w:left w:val="single" w:color="000000" w:sz="24" w:space="0"/>
            </w:tcBorders>
          </w:tcPr>
          <w:p w:rsidR="007A5EFD" w:rsidP="000C5683" w:rsidRDefault="007A5EFD" w14:paraId="1D7ED6A6" w14:textId="77777777">
            <w:pPr>
              <w:pStyle w:val="TableParagraph"/>
              <w:spacing w:before="59"/>
              <w:rPr>
                <w:b/>
                <w:i/>
                <w:sz w:val="24"/>
              </w:rPr>
            </w:pPr>
            <w:r>
              <w:rPr>
                <w:b/>
                <w:i/>
                <w:sz w:val="24"/>
              </w:rPr>
              <w:t xml:space="preserve">                                 Subtotal:</w:t>
            </w:r>
            <w:r>
              <w:rPr>
                <w:b/>
                <w:i/>
                <w:spacing w:val="1"/>
                <w:sz w:val="24"/>
              </w:rPr>
              <w:t xml:space="preserve"> </w:t>
            </w:r>
            <w:r>
              <w:rPr>
                <w:b/>
                <w:i/>
                <w:sz w:val="24"/>
              </w:rPr>
              <w:t>$2,637</w:t>
            </w:r>
          </w:p>
        </w:tc>
      </w:tr>
      <w:tr w:rsidR="007A5EFD" w:rsidTr="006C1FDD" w14:paraId="668CA598" w14:textId="77777777">
        <w:trPr>
          <w:gridAfter w:val="1"/>
          <w:wAfter w:w="22" w:type="dxa"/>
          <w:trHeight w:val="398"/>
          <w:jc w:val="center"/>
        </w:trPr>
        <w:tc>
          <w:tcPr>
            <w:tcW w:w="6766" w:type="dxa"/>
            <w:gridSpan w:val="14"/>
            <w:tcBorders>
              <w:right w:val="single" w:color="000000" w:sz="24" w:space="0"/>
            </w:tcBorders>
            <w:shd w:val="clear" w:color="auto" w:fill="E6E6E6"/>
          </w:tcPr>
          <w:p w:rsidR="007A5EFD" w:rsidP="000C5683" w:rsidRDefault="007A5EFD" w14:paraId="05D1EDD2" w14:textId="77777777">
            <w:pPr>
              <w:pStyle w:val="TableParagraph"/>
              <w:spacing w:before="59"/>
              <w:ind w:left="3673"/>
              <w:rPr>
                <w:b/>
                <w:i/>
                <w:sz w:val="24"/>
              </w:rPr>
            </w:pPr>
            <w:r>
              <w:rPr>
                <w:b/>
                <w:i/>
                <w:sz w:val="24"/>
              </w:rPr>
              <w:t>TOTAL</w:t>
            </w:r>
            <w:r>
              <w:rPr>
                <w:b/>
                <w:i/>
                <w:spacing w:val="2"/>
                <w:sz w:val="24"/>
              </w:rPr>
              <w:t xml:space="preserve"> </w:t>
            </w:r>
            <w:r>
              <w:rPr>
                <w:b/>
                <w:i/>
                <w:sz w:val="24"/>
              </w:rPr>
              <w:t>REQUEST:</w:t>
            </w:r>
            <w:r>
              <w:rPr>
                <w:b/>
                <w:i/>
                <w:spacing w:val="-3"/>
                <w:sz w:val="24"/>
              </w:rPr>
              <w:t xml:space="preserve"> </w:t>
            </w:r>
            <w:r>
              <w:rPr>
                <w:b/>
                <w:i/>
                <w:sz w:val="24"/>
              </w:rPr>
              <w:t>$</w:t>
            </w:r>
            <w:r>
              <w:rPr>
                <w:b/>
                <w:i/>
                <w:spacing w:val="1"/>
                <w:sz w:val="24"/>
              </w:rPr>
              <w:t xml:space="preserve"> </w:t>
            </w:r>
            <w:r>
              <w:rPr>
                <w:b/>
                <w:i/>
                <w:sz w:val="24"/>
              </w:rPr>
              <w:t>71,773</w:t>
            </w:r>
          </w:p>
        </w:tc>
        <w:tc>
          <w:tcPr>
            <w:tcW w:w="3751" w:type="dxa"/>
            <w:gridSpan w:val="6"/>
            <w:tcBorders>
              <w:left w:val="single" w:color="000000" w:sz="24" w:space="0"/>
            </w:tcBorders>
            <w:shd w:val="clear" w:color="auto" w:fill="E6E6E6"/>
          </w:tcPr>
          <w:p w:rsidR="007A5EFD" w:rsidP="000C5683" w:rsidRDefault="007A5EFD" w14:paraId="619D31CE" w14:textId="0E970AE4">
            <w:pPr>
              <w:pStyle w:val="TableParagraph"/>
              <w:spacing w:before="59"/>
              <w:rPr>
                <w:b/>
                <w:i/>
                <w:sz w:val="24"/>
              </w:rPr>
            </w:pPr>
            <w:r>
              <w:rPr>
                <w:b/>
                <w:i/>
                <w:sz w:val="24"/>
              </w:rPr>
              <w:t xml:space="preserve">                TOTAL</w:t>
            </w:r>
            <w:r>
              <w:rPr>
                <w:b/>
                <w:i/>
                <w:spacing w:val="1"/>
                <w:sz w:val="24"/>
              </w:rPr>
              <w:t xml:space="preserve"> </w:t>
            </w:r>
            <w:r>
              <w:rPr>
                <w:b/>
                <w:i/>
                <w:sz w:val="24"/>
              </w:rPr>
              <w:t>AWARD:</w:t>
            </w:r>
            <w:r>
              <w:rPr>
                <w:b/>
                <w:i/>
                <w:spacing w:val="1"/>
                <w:sz w:val="24"/>
              </w:rPr>
              <w:t xml:space="preserve"> </w:t>
            </w:r>
            <w:r>
              <w:rPr>
                <w:b/>
                <w:i/>
                <w:sz w:val="24"/>
              </w:rPr>
              <w:t>$</w:t>
            </w:r>
            <w:r w:rsidR="008D12A8">
              <w:rPr>
                <w:b/>
                <w:i/>
                <w:sz w:val="24"/>
              </w:rPr>
              <w:t>66,267</w:t>
            </w:r>
          </w:p>
        </w:tc>
      </w:tr>
    </w:tbl>
    <w:p w:rsidRPr="00A42931" w:rsidR="007A5EFD" w:rsidP="007A5EFD" w:rsidRDefault="007A5EFD" w14:paraId="37197021" w14:textId="77777777">
      <w:pPr>
        <w:pStyle w:val="Standard"/>
        <w:ind w:firstLine="0"/>
        <w:rPr>
          <w:sz w:val="6"/>
          <w:szCs w:val="6"/>
        </w:rPr>
      </w:pPr>
    </w:p>
    <w:p w:rsidR="007A5EFD" w:rsidP="00A42931" w:rsidRDefault="007A5EFD" w14:paraId="65EF765B" w14:textId="77777777">
      <w:pPr>
        <w:pStyle w:val="Heading2"/>
      </w:pPr>
      <w:r w:rsidRPr="00A42931">
        <w:t>Table</w:t>
      </w:r>
      <w:r>
        <w:t xml:space="preserve"> 2: Commission C</w:t>
      </w:r>
      <w:r w:rsidRPr="00A55CD2">
        <w:t>omments, Disallowances, and Adjustments</w:t>
      </w:r>
    </w:p>
    <w:tbl>
      <w:tblPr>
        <w:tblStyle w:val="TableGrid"/>
        <w:tblW w:w="0" w:type="auto"/>
        <w:jc w:val="center"/>
        <w:tblLook w:val="04A0" w:firstRow="1" w:lastRow="0" w:firstColumn="1" w:lastColumn="0" w:noHBand="0" w:noVBand="1"/>
      </w:tblPr>
      <w:tblGrid>
        <w:gridCol w:w="3055"/>
        <w:gridCol w:w="6295"/>
      </w:tblGrid>
      <w:tr w:rsidR="007A5EFD" w:rsidTr="00A42931" w14:paraId="7B9167EF" w14:textId="77777777">
        <w:trPr>
          <w:jc w:val="center"/>
        </w:trPr>
        <w:tc>
          <w:tcPr>
            <w:tcW w:w="3055" w:type="dxa"/>
          </w:tcPr>
          <w:p w:rsidR="007A5EFD" w:rsidP="000C5683" w:rsidRDefault="007A5EFD" w14:paraId="2E9C6F21" w14:textId="77777777">
            <w:pPr>
              <w:pStyle w:val="Standard"/>
              <w:ind w:firstLine="0"/>
            </w:pPr>
            <w:r>
              <w:rPr>
                <w:rFonts w:ascii="Times New Roman" w:hAnsi="Times New Roman" w:eastAsia="Times New Roman" w:cs="Times New Roman"/>
                <w:sz w:val="24"/>
                <w:szCs w:val="24"/>
              </w:rPr>
              <w:t>[1] Mitchell hours claimed</w:t>
            </w:r>
          </w:p>
        </w:tc>
        <w:tc>
          <w:tcPr>
            <w:tcW w:w="6295" w:type="dxa"/>
          </w:tcPr>
          <w:p w:rsidR="007A5EFD" w:rsidP="000C5683" w:rsidRDefault="000F44D9" w14:paraId="0DCAF398" w14:textId="366DA4F1">
            <w:pPr>
              <w:pStyle w:val="Standard"/>
              <w:spacing w:line="240" w:lineRule="auto"/>
              <w:ind w:firstLine="0"/>
              <w:rPr>
                <w:rFonts w:ascii="Times New Roman" w:hAnsi="Times New Roman" w:cs="Times New Roman"/>
                <w:sz w:val="24"/>
                <w:szCs w:val="20"/>
              </w:rPr>
            </w:pPr>
            <w:r>
              <w:rPr>
                <w:rFonts w:ascii="Times New Roman" w:hAnsi="Times New Roman" w:cs="Times New Roman"/>
                <w:sz w:val="24"/>
                <w:szCs w:val="20"/>
              </w:rPr>
              <w:t xml:space="preserve">In the proposed decision, </w:t>
            </w:r>
            <w:r w:rsidR="007A5EFD">
              <w:rPr>
                <w:rFonts w:ascii="Times New Roman" w:hAnsi="Times New Roman" w:cs="Times New Roman"/>
                <w:sz w:val="24"/>
                <w:szCs w:val="20"/>
              </w:rPr>
              <w:t xml:space="preserve">Dr. Mitchell’s hours claimed </w:t>
            </w:r>
            <w:r>
              <w:rPr>
                <w:rFonts w:ascii="Times New Roman" w:hAnsi="Times New Roman" w:cs="Times New Roman"/>
                <w:sz w:val="24"/>
                <w:szCs w:val="20"/>
              </w:rPr>
              <w:t>we</w:t>
            </w:r>
            <w:r w:rsidR="007A5EFD">
              <w:rPr>
                <w:rFonts w:ascii="Times New Roman" w:hAnsi="Times New Roman" w:cs="Times New Roman"/>
                <w:sz w:val="24"/>
                <w:szCs w:val="20"/>
              </w:rPr>
              <w:t>re reduced by 69 hours to better reflect MGRA’s contribution to the WSD resolutions. As noted throughout MGRA’s application, many of the issues it raised and analyses it conducted were not addressed in the final WSD resolutions adopted by the Commission. Additionally, the timesheet included with A.20-08-004 refers to time spent on “OIR 18” which</w:t>
            </w:r>
            <w:r w:rsidR="00811623">
              <w:rPr>
                <w:rFonts w:ascii="Times New Roman" w:hAnsi="Times New Roman" w:cs="Times New Roman"/>
                <w:sz w:val="24"/>
                <w:szCs w:val="20"/>
              </w:rPr>
              <w:t xml:space="preserve"> we assumed was</w:t>
            </w:r>
            <w:r w:rsidR="007A5EFD">
              <w:rPr>
                <w:rFonts w:ascii="Times New Roman" w:hAnsi="Times New Roman" w:cs="Times New Roman"/>
                <w:sz w:val="24"/>
                <w:szCs w:val="20"/>
              </w:rPr>
              <w:t xml:space="preserve"> likely associated with work conducted in R.18-10-007 for which MGRA has </w:t>
            </w:r>
            <w:r w:rsidR="00811623">
              <w:rPr>
                <w:rFonts w:ascii="Times New Roman" w:hAnsi="Times New Roman" w:cs="Times New Roman"/>
                <w:sz w:val="24"/>
                <w:szCs w:val="20"/>
              </w:rPr>
              <w:t xml:space="preserve">separately </w:t>
            </w:r>
            <w:r w:rsidR="007A5EFD">
              <w:rPr>
                <w:rFonts w:ascii="Times New Roman" w:hAnsi="Times New Roman" w:cs="Times New Roman"/>
                <w:sz w:val="24"/>
                <w:szCs w:val="20"/>
              </w:rPr>
              <w:t>sought ICOMP. A.20-08-00</w:t>
            </w:r>
            <w:r w:rsidR="00487AD9">
              <w:rPr>
                <w:rFonts w:ascii="Times New Roman" w:hAnsi="Times New Roman" w:cs="Times New Roman"/>
                <w:sz w:val="24"/>
                <w:szCs w:val="20"/>
              </w:rPr>
              <w:t>4</w:t>
            </w:r>
            <w:r w:rsidR="007A5EFD">
              <w:rPr>
                <w:rFonts w:ascii="Times New Roman" w:hAnsi="Times New Roman" w:cs="Times New Roman"/>
                <w:sz w:val="24"/>
                <w:szCs w:val="20"/>
              </w:rPr>
              <w:t xml:space="preserve"> itself cites Dr. Mitchell’s work on the Rulemaking, and neither the timesheet nor the application describes how the time logged related to “OIR 18” in A.20-08-004 differs from work MGRA is seeking compensation for under R.18-10-007.</w:t>
            </w:r>
            <w:r w:rsidR="007A5EFD">
              <w:rPr>
                <w:rStyle w:val="FootnoteReference"/>
                <w:rFonts w:ascii="Times New Roman" w:hAnsi="Times New Roman" w:cs="Times New Roman"/>
                <w:sz w:val="24"/>
                <w:szCs w:val="20"/>
              </w:rPr>
              <w:footnoteReference w:id="10"/>
            </w:r>
            <w:r w:rsidR="007F0653">
              <w:rPr>
                <w:rFonts w:ascii="Times New Roman" w:hAnsi="Times New Roman" w:cs="Times New Roman"/>
                <w:sz w:val="24"/>
                <w:szCs w:val="20"/>
              </w:rPr>
              <w:t xml:space="preserve"> In comments on the proposed decision, MGRA explained that this was a timekeeping strategy used internally by Dr. Mitchell. MGRA explained and illustrated in its comments that none of the line items included in the timesheets filed with its other ICOMP claims in R.18-10-007 are duplicative with the hours claimed for the WSD Resolution process that resulted in the adoption of Resolutions WSD-002, WSD-003, WSD-004, and WSD-005.</w:t>
            </w:r>
          </w:p>
          <w:p w:rsidR="000F44D9" w:rsidP="000C5683" w:rsidRDefault="000F44D9" w14:paraId="0B9DB1FD" w14:textId="22D56867">
            <w:pPr>
              <w:pStyle w:val="Standard"/>
              <w:spacing w:line="240" w:lineRule="auto"/>
              <w:ind w:firstLine="0"/>
              <w:rPr>
                <w:rFonts w:ascii="Times New Roman" w:hAnsi="Times New Roman" w:cs="Times New Roman"/>
                <w:sz w:val="24"/>
                <w:szCs w:val="20"/>
              </w:rPr>
            </w:pPr>
            <w:r>
              <w:rPr>
                <w:rFonts w:ascii="Times New Roman" w:hAnsi="Times New Roman" w:cs="Times New Roman"/>
                <w:sz w:val="24"/>
                <w:szCs w:val="20"/>
              </w:rPr>
              <w:lastRenderedPageBreak/>
              <w:t>Because of this clari</w:t>
            </w:r>
            <w:r w:rsidR="00E166C5">
              <w:rPr>
                <w:rFonts w:ascii="Times New Roman" w:hAnsi="Times New Roman" w:cs="Times New Roman"/>
                <w:sz w:val="24"/>
                <w:szCs w:val="20"/>
              </w:rPr>
              <w:t xml:space="preserve">fication </w:t>
            </w:r>
            <w:r>
              <w:rPr>
                <w:rFonts w:ascii="Times New Roman" w:hAnsi="Times New Roman" w:cs="Times New Roman"/>
                <w:sz w:val="24"/>
                <w:szCs w:val="20"/>
              </w:rPr>
              <w:t xml:space="preserve">of the timesheet filed for Dr. Morris, we adjust the award as illustrated in Table 1 above to award </w:t>
            </w:r>
            <w:proofErr w:type="gramStart"/>
            <w:r>
              <w:rPr>
                <w:rFonts w:ascii="Times New Roman" w:hAnsi="Times New Roman" w:cs="Times New Roman"/>
                <w:sz w:val="24"/>
                <w:szCs w:val="20"/>
              </w:rPr>
              <w:t>all</w:t>
            </w:r>
            <w:proofErr w:type="gramEnd"/>
            <w:r>
              <w:rPr>
                <w:rFonts w:ascii="Times New Roman" w:hAnsi="Times New Roman" w:cs="Times New Roman"/>
                <w:sz w:val="24"/>
                <w:szCs w:val="20"/>
              </w:rPr>
              <w:t xml:space="preserve"> but 10.8 hours of time claimed as follows:</w:t>
            </w:r>
          </w:p>
          <w:p w:rsidR="000618C3" w:rsidP="000F44D9" w:rsidRDefault="000F44D9" w14:paraId="4BE96563" w14:textId="6712FD53">
            <w:pPr>
              <w:pStyle w:val="ListNum"/>
              <w:rPr>
                <w:rFonts w:ascii="Times New Roman" w:hAnsi="Times New Roman" w:cs="Times New Roman"/>
                <w:sz w:val="24"/>
                <w:szCs w:val="20"/>
              </w:rPr>
            </w:pPr>
            <w:r w:rsidRPr="00AF7FEA">
              <w:rPr>
                <w:rFonts w:ascii="Times New Roman" w:hAnsi="Times New Roman" w:cs="Times New Roman"/>
                <w:sz w:val="24"/>
                <w:szCs w:val="20"/>
              </w:rPr>
              <w:t xml:space="preserve">1.7 hours disallowed </w:t>
            </w:r>
            <w:r w:rsidR="000618C3">
              <w:rPr>
                <w:rFonts w:ascii="Times New Roman" w:hAnsi="Times New Roman" w:cs="Times New Roman"/>
                <w:sz w:val="24"/>
                <w:szCs w:val="20"/>
              </w:rPr>
              <w:t xml:space="preserve">on 2/23/2020 and 2/24/2020 related to “Review 2020 WMP workshops questions. 2.8 additional hours for “workshop prep” and “review workshops questions” were logged and approved, as were several hours of time spent </w:t>
            </w:r>
            <w:r w:rsidR="00811623">
              <w:rPr>
                <w:rFonts w:ascii="Times New Roman" w:hAnsi="Times New Roman" w:cs="Times New Roman"/>
                <w:sz w:val="24"/>
                <w:szCs w:val="20"/>
              </w:rPr>
              <w:t>attending</w:t>
            </w:r>
            <w:r w:rsidR="000618C3">
              <w:rPr>
                <w:rFonts w:ascii="Times New Roman" w:hAnsi="Times New Roman" w:cs="Times New Roman"/>
                <w:sz w:val="24"/>
                <w:szCs w:val="20"/>
              </w:rPr>
              <w:t xml:space="preserve"> the workshops, but</w:t>
            </w:r>
            <w:r w:rsidR="00811623">
              <w:rPr>
                <w:rFonts w:ascii="Times New Roman" w:hAnsi="Times New Roman" w:cs="Times New Roman"/>
                <w:sz w:val="24"/>
                <w:szCs w:val="20"/>
              </w:rPr>
              <w:t xml:space="preserve"> we find</w:t>
            </w:r>
            <w:r w:rsidR="000618C3">
              <w:rPr>
                <w:rFonts w:ascii="Times New Roman" w:hAnsi="Times New Roman" w:cs="Times New Roman"/>
                <w:sz w:val="24"/>
                <w:szCs w:val="20"/>
              </w:rPr>
              <w:t xml:space="preserve"> the additional 1.7 hours claimed to review or prepare for the workshops is excessive.</w:t>
            </w:r>
          </w:p>
          <w:p w:rsidR="000F44D9" w:rsidP="000F44D9" w:rsidRDefault="000618C3" w14:paraId="1C042A37" w14:textId="197D52F9">
            <w:pPr>
              <w:pStyle w:val="ListNum"/>
              <w:rPr>
                <w:rFonts w:ascii="Times New Roman" w:hAnsi="Times New Roman" w:cs="Times New Roman"/>
                <w:sz w:val="24"/>
                <w:szCs w:val="20"/>
              </w:rPr>
            </w:pPr>
            <w:r>
              <w:rPr>
                <w:rFonts w:ascii="Times New Roman" w:hAnsi="Times New Roman" w:cs="Times New Roman"/>
                <w:sz w:val="24"/>
                <w:szCs w:val="20"/>
              </w:rPr>
              <w:t>On 4/5/2020</w:t>
            </w:r>
            <w:r w:rsidR="00324513">
              <w:rPr>
                <w:rFonts w:ascii="Times New Roman" w:hAnsi="Times New Roman" w:cs="Times New Roman"/>
                <w:sz w:val="24"/>
                <w:szCs w:val="20"/>
              </w:rPr>
              <w:t xml:space="preserve">, </w:t>
            </w:r>
            <w:r>
              <w:rPr>
                <w:rFonts w:ascii="Times New Roman" w:hAnsi="Times New Roman" w:cs="Times New Roman"/>
                <w:sz w:val="24"/>
                <w:szCs w:val="20"/>
              </w:rPr>
              <w:t xml:space="preserve">4/6/2020, </w:t>
            </w:r>
            <w:r w:rsidR="00324513">
              <w:rPr>
                <w:rFonts w:ascii="Times New Roman" w:hAnsi="Times New Roman" w:cs="Times New Roman"/>
                <w:sz w:val="24"/>
                <w:szCs w:val="20"/>
              </w:rPr>
              <w:t xml:space="preserve">and 4/7/2020, </w:t>
            </w:r>
            <w:r>
              <w:rPr>
                <w:rFonts w:ascii="Times New Roman" w:hAnsi="Times New Roman" w:cs="Times New Roman"/>
                <w:sz w:val="24"/>
                <w:szCs w:val="20"/>
              </w:rPr>
              <w:t xml:space="preserve">Dr. Mitchell claims </w:t>
            </w:r>
            <w:r w:rsidR="00324513">
              <w:rPr>
                <w:rFonts w:ascii="Times New Roman" w:hAnsi="Times New Roman" w:cs="Times New Roman"/>
                <w:sz w:val="24"/>
                <w:szCs w:val="20"/>
              </w:rPr>
              <w:t>7</w:t>
            </w:r>
            <w:r>
              <w:rPr>
                <w:rFonts w:ascii="Times New Roman" w:hAnsi="Times New Roman" w:cs="Times New Roman"/>
                <w:sz w:val="24"/>
                <w:szCs w:val="20"/>
              </w:rPr>
              <w:t>.1 hours for “Revision</w:t>
            </w:r>
            <w:r w:rsidR="00324513">
              <w:rPr>
                <w:rFonts w:ascii="Times New Roman" w:hAnsi="Times New Roman" w:cs="Times New Roman"/>
                <w:sz w:val="24"/>
                <w:szCs w:val="20"/>
              </w:rPr>
              <w:t>”</w:t>
            </w:r>
            <w:r>
              <w:rPr>
                <w:rFonts w:ascii="Times New Roman" w:hAnsi="Times New Roman" w:cs="Times New Roman"/>
                <w:sz w:val="24"/>
                <w:szCs w:val="20"/>
              </w:rPr>
              <w:t xml:space="preserve"> of WMP. It is unclear what work these line items are referencing, </w:t>
            </w:r>
            <w:r w:rsidR="00324513">
              <w:rPr>
                <w:rFonts w:ascii="Times New Roman" w:hAnsi="Times New Roman" w:cs="Times New Roman"/>
                <w:sz w:val="24"/>
                <w:szCs w:val="20"/>
              </w:rPr>
              <w:t>or</w:t>
            </w:r>
            <w:r>
              <w:rPr>
                <w:rFonts w:ascii="Times New Roman" w:hAnsi="Times New Roman" w:cs="Times New Roman"/>
                <w:sz w:val="24"/>
                <w:szCs w:val="20"/>
              </w:rPr>
              <w:t xml:space="preserve"> how that work relates to the development of MGRA’s comments or contributions to Resolutions WSD-002, WSD-003, WSD-004, and WSD-005. </w:t>
            </w:r>
          </w:p>
          <w:p w:rsidRPr="00AF7FEA" w:rsidR="000F44D9" w:rsidP="00AF7FEA" w:rsidRDefault="000618C3" w14:paraId="751D48CE" w14:textId="7D052CB3">
            <w:pPr>
              <w:pStyle w:val="ListNum"/>
              <w:rPr>
                <w:rFonts w:ascii="Times New Roman" w:hAnsi="Times New Roman" w:cs="Times New Roman"/>
                <w:sz w:val="24"/>
                <w:szCs w:val="20"/>
              </w:rPr>
            </w:pPr>
            <w:r>
              <w:rPr>
                <w:rFonts w:ascii="Times New Roman" w:hAnsi="Times New Roman" w:cs="Times New Roman"/>
                <w:sz w:val="24"/>
                <w:szCs w:val="20"/>
              </w:rPr>
              <w:t>2 hours disallowed on</w:t>
            </w:r>
            <w:r w:rsidR="00324513">
              <w:rPr>
                <w:rFonts w:ascii="Times New Roman" w:hAnsi="Times New Roman" w:cs="Times New Roman"/>
                <w:sz w:val="24"/>
                <w:szCs w:val="20"/>
              </w:rPr>
              <w:t xml:space="preserve"> 5/27/20</w:t>
            </w:r>
            <w:r>
              <w:rPr>
                <w:rFonts w:ascii="Times New Roman" w:hAnsi="Times New Roman" w:cs="Times New Roman"/>
                <w:sz w:val="24"/>
                <w:szCs w:val="20"/>
              </w:rPr>
              <w:t xml:space="preserve"> for “</w:t>
            </w:r>
            <w:r w:rsidR="00324513">
              <w:rPr>
                <w:rFonts w:ascii="Times New Roman" w:hAnsi="Times New Roman" w:cs="Times New Roman"/>
                <w:sz w:val="24"/>
                <w:szCs w:val="20"/>
              </w:rPr>
              <w:t>Review party resolution comments.” It is unclear what work th</w:t>
            </w:r>
            <w:r w:rsidR="00811623">
              <w:rPr>
                <w:rFonts w:ascii="Times New Roman" w:hAnsi="Times New Roman" w:cs="Times New Roman"/>
                <w:sz w:val="24"/>
                <w:szCs w:val="20"/>
              </w:rPr>
              <w:t>is</w:t>
            </w:r>
            <w:r w:rsidR="00324513">
              <w:rPr>
                <w:rFonts w:ascii="Times New Roman" w:hAnsi="Times New Roman" w:cs="Times New Roman"/>
                <w:sz w:val="24"/>
                <w:szCs w:val="20"/>
              </w:rPr>
              <w:t xml:space="preserve"> line items </w:t>
            </w:r>
            <w:proofErr w:type="gramStart"/>
            <w:r w:rsidR="00811623">
              <w:rPr>
                <w:rFonts w:ascii="Times New Roman" w:hAnsi="Times New Roman" w:cs="Times New Roman"/>
                <w:sz w:val="24"/>
                <w:szCs w:val="20"/>
              </w:rPr>
              <w:t>is</w:t>
            </w:r>
            <w:proofErr w:type="gramEnd"/>
            <w:r w:rsidR="00324513">
              <w:rPr>
                <w:rFonts w:ascii="Times New Roman" w:hAnsi="Times New Roman" w:cs="Times New Roman"/>
                <w:sz w:val="24"/>
                <w:szCs w:val="20"/>
              </w:rPr>
              <w:t xml:space="preserve"> referencing, or how that work relates to the development of MGRA’s comments or contributions to Resolutions WSD-002, WSD-003, WSD-004, and WSD-005.  </w:t>
            </w:r>
          </w:p>
          <w:p w:rsidR="000F44D9" w:rsidP="000C5683" w:rsidRDefault="000F44D9" w14:paraId="435E2912" w14:textId="77777777">
            <w:pPr>
              <w:pStyle w:val="Standard"/>
              <w:spacing w:line="240" w:lineRule="auto"/>
              <w:ind w:firstLine="0"/>
              <w:rPr>
                <w:rFonts w:ascii="Times New Roman" w:hAnsi="Times New Roman" w:cs="Times New Roman"/>
                <w:sz w:val="24"/>
                <w:szCs w:val="20"/>
              </w:rPr>
            </w:pPr>
          </w:p>
          <w:p w:rsidRPr="00000753" w:rsidR="000F44D9" w:rsidP="000C5683" w:rsidRDefault="000F44D9" w14:paraId="4260184F" w14:textId="4080E29C">
            <w:pPr>
              <w:pStyle w:val="Standard"/>
              <w:spacing w:line="240" w:lineRule="auto"/>
              <w:ind w:firstLine="0"/>
              <w:rPr>
                <w:rFonts w:ascii="Times New Roman" w:hAnsi="Times New Roman" w:cs="Times New Roman"/>
                <w:sz w:val="24"/>
                <w:szCs w:val="20"/>
              </w:rPr>
            </w:pPr>
            <w:r>
              <w:rPr>
                <w:rFonts w:ascii="Times New Roman" w:hAnsi="Times New Roman" w:cs="Times New Roman"/>
                <w:sz w:val="24"/>
                <w:szCs w:val="20"/>
              </w:rPr>
              <w:t>MGRA is reminded that each ICOMP claim should</w:t>
            </w:r>
            <w:r w:rsidR="00811623">
              <w:rPr>
                <w:rFonts w:ascii="Times New Roman" w:hAnsi="Times New Roman" w:cs="Times New Roman"/>
                <w:sz w:val="24"/>
                <w:szCs w:val="20"/>
              </w:rPr>
              <w:t xml:space="preserve"> include documentation to fully</w:t>
            </w:r>
            <w:r>
              <w:rPr>
                <w:rFonts w:ascii="Times New Roman" w:hAnsi="Times New Roman" w:cs="Times New Roman"/>
                <w:sz w:val="24"/>
                <w:szCs w:val="20"/>
              </w:rPr>
              <w:t xml:space="preserve"> support the time spent on the issues in the instant claim, and that the claimant is responsible for providing clear documentation tying the hours claimed with the Commission action(s) for which it is seeking compensation. MGRA should not expect the Commission to evaluate timesheets filed with other outstanding ICOMP claims to determine the appropriateness of the hours claimed</w:t>
            </w:r>
            <w:r w:rsidR="00324513">
              <w:rPr>
                <w:rFonts w:ascii="Times New Roman" w:hAnsi="Times New Roman" w:cs="Times New Roman"/>
                <w:sz w:val="24"/>
                <w:szCs w:val="20"/>
              </w:rPr>
              <w:t xml:space="preserve"> in individuals’ timesheets</w:t>
            </w:r>
            <w:r>
              <w:rPr>
                <w:rFonts w:ascii="Times New Roman" w:hAnsi="Times New Roman" w:cs="Times New Roman"/>
                <w:sz w:val="24"/>
                <w:szCs w:val="20"/>
              </w:rPr>
              <w:t xml:space="preserve">. </w:t>
            </w:r>
          </w:p>
        </w:tc>
      </w:tr>
      <w:tr w:rsidR="007A5EFD" w:rsidTr="00A42931" w14:paraId="6111546A" w14:textId="77777777">
        <w:trPr>
          <w:jc w:val="center"/>
        </w:trPr>
        <w:tc>
          <w:tcPr>
            <w:tcW w:w="3055" w:type="dxa"/>
          </w:tcPr>
          <w:p w:rsidR="007A5EFD" w:rsidP="000C5683" w:rsidRDefault="007A5EFD" w14:paraId="144D48D8" w14:textId="77777777">
            <w:pPr>
              <w:pStyle w:val="Standard"/>
              <w:ind w:firstLine="0"/>
            </w:pPr>
            <w:r>
              <w:rPr>
                <w:rFonts w:ascii="Times New Roman" w:hAnsi="Times New Roman" w:eastAsia="Times New Roman" w:cs="Times New Roman"/>
                <w:sz w:val="24"/>
                <w:szCs w:val="24"/>
              </w:rPr>
              <w:lastRenderedPageBreak/>
              <w:t>[2] Approved 2020 rate</w:t>
            </w:r>
          </w:p>
        </w:tc>
        <w:tc>
          <w:tcPr>
            <w:tcW w:w="6295" w:type="dxa"/>
          </w:tcPr>
          <w:p w:rsidRPr="00000753" w:rsidR="007A5EFD" w:rsidP="000C5683" w:rsidRDefault="007A5EFD" w14:paraId="73F0343F" w14:textId="77777777">
            <w:pPr>
              <w:pStyle w:val="Standard"/>
              <w:spacing w:line="240" w:lineRule="auto"/>
              <w:ind w:firstLine="0"/>
              <w:rPr>
                <w:rFonts w:ascii="Times New Roman" w:hAnsi="Times New Roman" w:cs="Times New Roman"/>
                <w:sz w:val="24"/>
                <w:szCs w:val="20"/>
              </w:rPr>
            </w:pPr>
            <w:r>
              <w:rPr>
                <w:rFonts w:ascii="Times New Roman" w:hAnsi="Times New Roman" w:cs="Times New Roman"/>
                <w:sz w:val="24"/>
                <w:szCs w:val="20"/>
              </w:rPr>
              <w:t xml:space="preserve">The rate approved in Table 1 above reflects the application of the 2020 COLA ALJ-387, respectively, to the $305 hourly rate approved in D.20-06-047 for Dr. Mitchell’s work conducted in 2019. Applying the 2020 COLA of 2.55% to the approved 2019 rate of $305 results in $315/hour when rounding to the nearest $5 increment. </w:t>
            </w:r>
          </w:p>
        </w:tc>
      </w:tr>
      <w:tr w:rsidR="007A5EFD" w:rsidTr="00A42931" w14:paraId="3AD0DF28" w14:textId="77777777">
        <w:trPr>
          <w:jc w:val="center"/>
        </w:trPr>
        <w:tc>
          <w:tcPr>
            <w:tcW w:w="3055" w:type="dxa"/>
          </w:tcPr>
          <w:p w:rsidRPr="00ED0C98" w:rsidR="007A5EFD" w:rsidP="000C5683" w:rsidRDefault="007A5EFD" w14:paraId="70E04657" w14:textId="77777777">
            <w:pPr>
              <w:pStyle w:val="Standard"/>
              <w:ind w:firstLine="0"/>
              <w:rPr>
                <w:rFonts w:ascii="Times New Roman" w:hAnsi="Times New Roman" w:cs="Times New Roman"/>
              </w:rPr>
            </w:pPr>
            <w:r>
              <w:rPr>
                <w:rFonts w:ascii="Times New Roman" w:hAnsi="Times New Roman" w:cs="Times New Roman"/>
                <w:sz w:val="24"/>
                <w:szCs w:val="20"/>
              </w:rPr>
              <w:t>[3] Approved 2020 travel rate</w:t>
            </w:r>
          </w:p>
        </w:tc>
        <w:tc>
          <w:tcPr>
            <w:tcW w:w="6295" w:type="dxa"/>
          </w:tcPr>
          <w:p w:rsidR="007A5EFD" w:rsidP="000C5683" w:rsidRDefault="007A5EFD" w14:paraId="66F75DA8" w14:textId="77777777">
            <w:pPr>
              <w:pStyle w:val="Standard"/>
              <w:spacing w:line="240" w:lineRule="auto"/>
              <w:ind w:firstLine="0"/>
            </w:pPr>
            <w:r>
              <w:rPr>
                <w:rFonts w:ascii="Times New Roman" w:hAnsi="Times New Roman" w:cs="Times New Roman"/>
                <w:sz w:val="24"/>
                <w:szCs w:val="20"/>
              </w:rPr>
              <w:t>The rate approved for Dr. Mitchell’s travel time is 50% of the hourly rate described in [2] above.</w:t>
            </w:r>
          </w:p>
        </w:tc>
      </w:tr>
      <w:tr w:rsidR="007A5EFD" w:rsidTr="00A42931" w14:paraId="08446C66" w14:textId="77777777">
        <w:trPr>
          <w:jc w:val="center"/>
        </w:trPr>
        <w:tc>
          <w:tcPr>
            <w:tcW w:w="3055" w:type="dxa"/>
          </w:tcPr>
          <w:p w:rsidR="007A5EFD" w:rsidP="000C5683" w:rsidRDefault="007A5EFD" w14:paraId="7A0DD54C" w14:textId="77777777">
            <w:pPr>
              <w:pStyle w:val="Standard"/>
              <w:ind w:firstLine="0"/>
              <w:rPr>
                <w:rFonts w:ascii="Times New Roman" w:hAnsi="Times New Roman" w:cs="Times New Roman"/>
                <w:sz w:val="24"/>
                <w:szCs w:val="20"/>
              </w:rPr>
            </w:pPr>
            <w:r>
              <w:rPr>
                <w:rFonts w:ascii="Times New Roman" w:hAnsi="Times New Roman" w:cs="Times New Roman"/>
                <w:sz w:val="24"/>
                <w:szCs w:val="20"/>
              </w:rPr>
              <w:t>[4] Travel costs</w:t>
            </w:r>
          </w:p>
        </w:tc>
        <w:tc>
          <w:tcPr>
            <w:tcW w:w="6295" w:type="dxa"/>
          </w:tcPr>
          <w:p w:rsidR="007A5EFD" w:rsidP="000C5683" w:rsidRDefault="007A5EFD" w14:paraId="7FBCC7A8" w14:textId="77777777">
            <w:pPr>
              <w:pStyle w:val="Standard"/>
              <w:spacing w:line="240" w:lineRule="auto"/>
              <w:ind w:firstLine="0"/>
              <w:rPr>
                <w:rFonts w:ascii="Times New Roman" w:hAnsi="Times New Roman" w:cs="Times New Roman"/>
                <w:sz w:val="24"/>
                <w:szCs w:val="20"/>
              </w:rPr>
            </w:pPr>
            <w:r w:rsidRPr="00B74ED4">
              <w:rPr>
                <w:rFonts w:ascii="Times New Roman" w:hAnsi="Times New Roman" w:cs="Times New Roman"/>
                <w:sz w:val="24"/>
                <w:szCs w:val="20"/>
              </w:rPr>
              <w:t>MGRA provided documentation</w:t>
            </w:r>
            <w:r>
              <w:rPr>
                <w:rFonts w:ascii="Times New Roman" w:hAnsi="Times New Roman" w:cs="Times New Roman"/>
                <w:sz w:val="24"/>
                <w:szCs w:val="20"/>
              </w:rPr>
              <w:t xml:space="preserve"> and receipts</w:t>
            </w:r>
            <w:r w:rsidRPr="00B74ED4">
              <w:rPr>
                <w:rFonts w:ascii="Times New Roman" w:hAnsi="Times New Roman" w:cs="Times New Roman"/>
                <w:sz w:val="24"/>
                <w:szCs w:val="20"/>
              </w:rPr>
              <w:t xml:space="preserve"> to support the amount claimed in travel costs. While we approve these costs</w:t>
            </w:r>
            <w:r>
              <w:rPr>
                <w:rFonts w:ascii="Times New Roman" w:hAnsi="Times New Roman" w:cs="Times New Roman"/>
                <w:sz w:val="24"/>
                <w:szCs w:val="20"/>
              </w:rPr>
              <w:t>,</w:t>
            </w:r>
            <w:r w:rsidRPr="00B74ED4">
              <w:rPr>
                <w:rFonts w:ascii="Times New Roman" w:hAnsi="Times New Roman" w:cs="Times New Roman"/>
                <w:sz w:val="24"/>
                <w:szCs w:val="20"/>
              </w:rPr>
              <w:t xml:space="preserve"> </w:t>
            </w:r>
            <w:r w:rsidRPr="00B74ED4">
              <w:rPr>
                <w:rFonts w:ascii="Times New Roman" w:hAnsi="Times New Roman" w:cs="Times New Roman"/>
                <w:sz w:val="24"/>
                <w:szCs w:val="20"/>
              </w:rPr>
              <w:lastRenderedPageBreak/>
              <w:t xml:space="preserve">MGRA representatives are encouraged to </w:t>
            </w:r>
            <w:r>
              <w:rPr>
                <w:rFonts w:ascii="Times New Roman" w:hAnsi="Times New Roman" w:cs="Times New Roman"/>
                <w:sz w:val="24"/>
                <w:szCs w:val="20"/>
              </w:rPr>
              <w:t>minimize their travel costs to ratepayers</w:t>
            </w:r>
            <w:r w:rsidRPr="00B74ED4">
              <w:rPr>
                <w:rFonts w:ascii="Times New Roman" w:hAnsi="Times New Roman" w:cs="Times New Roman"/>
                <w:sz w:val="24"/>
                <w:szCs w:val="20"/>
              </w:rPr>
              <w:t xml:space="preserve">.  </w:t>
            </w:r>
          </w:p>
        </w:tc>
      </w:tr>
      <w:tr w:rsidR="007A5EFD" w:rsidTr="00A42931" w14:paraId="4C135EA0" w14:textId="77777777">
        <w:trPr>
          <w:jc w:val="center"/>
        </w:trPr>
        <w:tc>
          <w:tcPr>
            <w:tcW w:w="3055" w:type="dxa"/>
          </w:tcPr>
          <w:p w:rsidRPr="00ED0C98" w:rsidR="007A5EFD" w:rsidP="000C5683" w:rsidRDefault="007A5EFD" w14:paraId="43FF3BFA" w14:textId="77777777">
            <w:pPr>
              <w:pStyle w:val="Standard"/>
              <w:spacing w:line="240" w:lineRule="auto"/>
              <w:ind w:firstLine="0"/>
              <w:rPr>
                <w:rFonts w:ascii="Times New Roman" w:hAnsi="Times New Roman" w:cs="Times New Roman"/>
              </w:rPr>
            </w:pPr>
            <w:r>
              <w:rPr>
                <w:rFonts w:ascii="Times New Roman" w:hAnsi="Times New Roman" w:cs="Times New Roman"/>
                <w:sz w:val="24"/>
                <w:szCs w:val="20"/>
              </w:rPr>
              <w:lastRenderedPageBreak/>
              <w:t>[5] Mitchell</w:t>
            </w:r>
            <w:r w:rsidRPr="00ED0C98">
              <w:rPr>
                <w:rFonts w:ascii="Times New Roman" w:hAnsi="Times New Roman" w:cs="Times New Roman"/>
                <w:sz w:val="24"/>
                <w:szCs w:val="20"/>
              </w:rPr>
              <w:t xml:space="preserve"> ICOMP preparation hours claimed</w:t>
            </w:r>
          </w:p>
        </w:tc>
        <w:tc>
          <w:tcPr>
            <w:tcW w:w="6295" w:type="dxa"/>
          </w:tcPr>
          <w:p w:rsidR="007A5EFD" w:rsidP="000C5683" w:rsidRDefault="007A5EFD" w14:paraId="31ACC521" w14:textId="77777777">
            <w:pPr>
              <w:pStyle w:val="Standard"/>
              <w:spacing w:line="240" w:lineRule="auto"/>
              <w:ind w:firstLine="0"/>
            </w:pPr>
            <w:r>
              <w:rPr>
                <w:rFonts w:ascii="Times New Roman" w:hAnsi="Times New Roman" w:cs="Times New Roman"/>
                <w:sz w:val="24"/>
                <w:szCs w:val="20"/>
              </w:rPr>
              <w:t xml:space="preserve">Dr. Mitchell’s time claimed for preparing A.20-08-004 is reduced by 6.5 hours to disallow any timesheet preparation time, which is routine business work, and any time reviewing other party comments, which would have already occurred during MGRA’s participation in the WSD resolution process. </w:t>
            </w:r>
          </w:p>
        </w:tc>
      </w:tr>
      <w:tr w:rsidR="007A5EFD" w:rsidTr="00A42931" w14:paraId="34F7309C" w14:textId="77777777">
        <w:trPr>
          <w:jc w:val="center"/>
        </w:trPr>
        <w:tc>
          <w:tcPr>
            <w:tcW w:w="3055" w:type="dxa"/>
          </w:tcPr>
          <w:p w:rsidRPr="00000753" w:rsidR="007A5EFD" w:rsidP="000C5683" w:rsidRDefault="007A5EFD" w14:paraId="1E21FF96" w14:textId="77777777">
            <w:pPr>
              <w:pStyle w:val="Standard"/>
              <w:spacing w:line="240" w:lineRule="auto"/>
              <w:ind w:firstLine="0"/>
              <w:rPr>
                <w:rFonts w:ascii="Times New Roman" w:hAnsi="Times New Roman" w:cs="Times New Roman"/>
                <w:sz w:val="24"/>
                <w:szCs w:val="20"/>
              </w:rPr>
            </w:pPr>
            <w:r>
              <w:rPr>
                <w:rFonts w:ascii="Times New Roman" w:hAnsi="Times New Roman" w:cs="Times New Roman"/>
                <w:sz w:val="24"/>
                <w:szCs w:val="20"/>
              </w:rPr>
              <w:t>[6] Approved 2020 ICOMP preparation rates</w:t>
            </w:r>
          </w:p>
        </w:tc>
        <w:tc>
          <w:tcPr>
            <w:tcW w:w="6295" w:type="dxa"/>
          </w:tcPr>
          <w:p w:rsidR="007A5EFD" w:rsidP="000C5683" w:rsidRDefault="007A5EFD" w14:paraId="1956E0B5" w14:textId="77777777">
            <w:pPr>
              <w:pStyle w:val="Standard"/>
              <w:spacing w:line="240" w:lineRule="auto"/>
              <w:ind w:firstLine="0"/>
            </w:pPr>
            <w:r>
              <w:rPr>
                <w:rFonts w:ascii="Times New Roman" w:hAnsi="Times New Roman" w:cs="Times New Roman"/>
                <w:sz w:val="24"/>
                <w:szCs w:val="20"/>
              </w:rPr>
              <w:t>The rate approved for Dr. Mitchell’s ICOMP preparation time is 50% of the hourly rate described in [2] above.</w:t>
            </w:r>
          </w:p>
        </w:tc>
      </w:tr>
    </w:tbl>
    <w:p w:rsidRPr="00A42931" w:rsidR="007A5EFD" w:rsidP="007A5EFD" w:rsidRDefault="007A5EFD" w14:paraId="0A1094A3" w14:textId="77777777">
      <w:pPr>
        <w:pStyle w:val="Standard"/>
        <w:rPr>
          <w:sz w:val="6"/>
          <w:szCs w:val="6"/>
        </w:rPr>
      </w:pPr>
    </w:p>
    <w:p w:rsidR="007A5EFD" w:rsidP="00A42931" w:rsidRDefault="007A5EFD" w14:paraId="3922DB07" w14:textId="77777777">
      <w:pPr>
        <w:pStyle w:val="Heading1"/>
      </w:pPr>
      <w:r w:rsidRPr="00A42931">
        <w:t>Conclusion</w:t>
      </w:r>
    </w:p>
    <w:p w:rsidRPr="00343E5C" w:rsidR="007A5EFD" w:rsidP="00A42931" w:rsidRDefault="007A5EFD" w14:paraId="09395CA9" w14:textId="477A9260">
      <w:pPr>
        <w:pStyle w:val="Standard"/>
      </w:pPr>
      <w:r>
        <w:t xml:space="preserve">Upon review of the final WSD resolutions, MGRA’s comments, and the other documents filed with A.20-08-004, we find the appropriate compensation for MGRA’s contribution to be </w:t>
      </w:r>
      <w:r w:rsidRPr="00E24E7D">
        <w:t>$</w:t>
      </w:r>
      <w:r w:rsidR="00D9180D">
        <w:t>66,267</w:t>
      </w:r>
      <w:r>
        <w:t>, plus interest, recoverable from PG&amp;E, SCE, and SDG&amp;E’s ratepayers.</w:t>
      </w:r>
    </w:p>
    <w:p w:rsidRPr="00320682" w:rsidR="007A5EFD" w:rsidP="00A42931" w:rsidRDefault="007A5EFD" w14:paraId="56F490E6" w14:textId="77777777">
      <w:pPr>
        <w:pStyle w:val="Heading1"/>
      </w:pPr>
      <w:r>
        <w:t xml:space="preserve">Comments on </w:t>
      </w:r>
      <w:r w:rsidRPr="00A42931">
        <w:t>Proposed</w:t>
      </w:r>
      <w:r>
        <w:t xml:space="preserve"> Decision</w:t>
      </w:r>
    </w:p>
    <w:p w:rsidRPr="00EA0D21" w:rsidR="007A5EFD" w:rsidP="00A42931" w:rsidRDefault="007A5EFD" w14:paraId="7F67B3AC" w14:textId="4931A650">
      <w:pPr>
        <w:pStyle w:val="Standard"/>
      </w:pPr>
      <w:r>
        <w:t xml:space="preserve">The proposed decision of Administrative Law Judge (ALJ) Sisto in this matter was mailed </w:t>
      </w:r>
      <w:r w:rsidRPr="00606AC7">
        <w:t>to</w:t>
      </w:r>
      <w:r>
        <w:t xml:space="preserve"> the parties in accordance with Section 311 of the Pub.</w:t>
      </w:r>
      <w:r w:rsidR="003875CB">
        <w:t xml:space="preserve">  </w:t>
      </w:r>
      <w:r>
        <w:t>Util. Code and comments were allowed under Rule 14.3 of the Rules.  Comments were filed by</w:t>
      </w:r>
      <w:r w:rsidR="00451025">
        <w:t xml:space="preserve"> MGRA</w:t>
      </w:r>
      <w:r>
        <w:t xml:space="preserve"> on</w:t>
      </w:r>
      <w:r w:rsidR="00451025">
        <w:t xml:space="preserve"> April 12,</w:t>
      </w:r>
      <w:r w:rsidR="007022FB">
        <w:t xml:space="preserve"> 2021</w:t>
      </w:r>
      <w:r>
        <w:t>.</w:t>
      </w:r>
      <w:r w:rsidR="00451025">
        <w:t xml:space="preserve"> As noted in Section 3 above, changes to the proposed decision were made to reflect clarifying information that was provided by MGRA related to its timekeeping documentation.</w:t>
      </w:r>
    </w:p>
    <w:p w:rsidR="007A5EFD" w:rsidP="00A42931" w:rsidRDefault="007A5EFD" w14:paraId="4864D1CF" w14:textId="77777777">
      <w:pPr>
        <w:pStyle w:val="Heading1"/>
      </w:pPr>
      <w:r w:rsidRPr="00A42931">
        <w:t>Assignment</w:t>
      </w:r>
      <w:r>
        <w:t xml:space="preserve"> of Proceeding</w:t>
      </w:r>
    </w:p>
    <w:p w:rsidR="007A5EFD" w:rsidP="00A42931" w:rsidRDefault="007A5EFD" w14:paraId="5ED1C3A5" w14:textId="4CE72344">
      <w:pPr>
        <w:pStyle w:val="Standard"/>
      </w:pPr>
      <w:r w:rsidRPr="00A42931">
        <w:t>Marybel</w:t>
      </w:r>
      <w:r>
        <w:t xml:space="preserve"> Batjer is the assigned Commissioner and Carolyn Sisto is the assigned A</w:t>
      </w:r>
      <w:r w:rsidR="009F188D">
        <w:t xml:space="preserve">dministrative </w:t>
      </w:r>
      <w:r>
        <w:t>L</w:t>
      </w:r>
      <w:r w:rsidR="009F188D">
        <w:t xml:space="preserve">aw </w:t>
      </w:r>
      <w:r>
        <w:t>J</w:t>
      </w:r>
      <w:r w:rsidR="009F188D">
        <w:t>udge</w:t>
      </w:r>
      <w:r>
        <w:t xml:space="preserve"> in this proceeding.</w:t>
      </w:r>
    </w:p>
    <w:p w:rsidR="007A5EFD" w:rsidP="00A42931" w:rsidRDefault="007A5EFD" w14:paraId="304B7BCA" w14:textId="77777777">
      <w:pPr>
        <w:pStyle w:val="Dummy"/>
      </w:pPr>
      <w:r w:rsidRPr="00A42931">
        <w:t>Findings</w:t>
      </w:r>
      <w:r>
        <w:t xml:space="preserve"> of Fact</w:t>
      </w:r>
    </w:p>
    <w:p w:rsidRPr="00A42931" w:rsidR="007A5EFD" w:rsidP="00A42931" w:rsidRDefault="007A5EFD" w14:paraId="5AD8CEF8" w14:textId="77777777">
      <w:pPr>
        <w:pStyle w:val="FoF"/>
        <w:numPr>
          <w:ilvl w:val="0"/>
          <w:numId w:val="21"/>
        </w:numPr>
      </w:pPr>
      <w:r w:rsidRPr="00A42931">
        <w:t>WSD received comments from MGRA related to Resolutions WSD-002, WSD-003, WSD-004, and WSD-005 that resulted in some modifications in the final resolution language as adopted by the Commission on June 11, 2020.</w:t>
      </w:r>
    </w:p>
    <w:p w:rsidRPr="00A42931" w:rsidR="007A5EFD" w:rsidP="00A42931" w:rsidRDefault="007A5EFD" w14:paraId="4A88F116" w14:textId="77777777">
      <w:pPr>
        <w:pStyle w:val="FoF"/>
      </w:pPr>
      <w:r w:rsidRPr="00A42931">
        <w:t>MGRA’s technical analyses significantly contributed to portions of the final resolution language.</w:t>
      </w:r>
    </w:p>
    <w:p w:rsidRPr="00A42931" w:rsidR="007A5EFD" w:rsidP="00A42931" w:rsidRDefault="007A5EFD" w14:paraId="0295AF8A" w14:textId="77777777">
      <w:pPr>
        <w:pStyle w:val="FoF"/>
      </w:pPr>
      <w:r w:rsidRPr="00A42931">
        <w:lastRenderedPageBreak/>
        <w:t xml:space="preserve">The hours claimed in A.20-08-004 for Dr. Mitchell do not accurately reflect the contribution MGRA made to WSD’s resolution process and are reduced, as described in Section 3.5 above, to align with MGRA’s contribution to the four resolutions. </w:t>
      </w:r>
    </w:p>
    <w:p w:rsidRPr="00A42931" w:rsidR="007A5EFD" w:rsidP="00A42931" w:rsidRDefault="007A5EFD" w14:paraId="437BECBE" w14:textId="77777777">
      <w:pPr>
        <w:pStyle w:val="FoF"/>
      </w:pPr>
      <w:r w:rsidRPr="00A42931">
        <w:t>Resolution ALJ-387, adopted by the Commission on October 8, 2020, grants a COLA for work conducted 2020 of 2.55% above the rate approved for Dr. Mitchell in 2019 in D.20-06-047.</w:t>
      </w:r>
    </w:p>
    <w:p w:rsidRPr="00A42931" w:rsidR="007A5EFD" w:rsidP="00A42931" w:rsidRDefault="007A5EFD" w14:paraId="043603EE" w14:textId="77777777">
      <w:pPr>
        <w:pStyle w:val="FoF"/>
      </w:pPr>
      <w:r w:rsidRPr="00A42931">
        <w:t>The rates claimed by MGRA’s expert, as adjusted above, align with market rates paid to experts and advocates with comparable expertise conducting similar work.</w:t>
      </w:r>
    </w:p>
    <w:p w:rsidRPr="00A42931" w:rsidR="007A5EFD" w:rsidP="00A42931" w:rsidRDefault="007A5EFD" w14:paraId="27416FD8" w14:textId="26B141AB">
      <w:pPr>
        <w:pStyle w:val="FoF"/>
      </w:pPr>
      <w:r w:rsidRPr="00A42931">
        <w:t>The reasonable amount of compensation for MGRA’s contribution to Resolutions WSD-002, WSD-003, WSD-004, and WSD-005 is $</w:t>
      </w:r>
      <w:r w:rsidR="00A51F86">
        <w:t>66,267.</w:t>
      </w:r>
    </w:p>
    <w:p w:rsidR="007A5EFD" w:rsidP="00A42931" w:rsidRDefault="007A5EFD" w14:paraId="146C75A8" w14:textId="77777777">
      <w:pPr>
        <w:pStyle w:val="Dummy"/>
      </w:pPr>
      <w:r w:rsidRPr="00A42931">
        <w:t>Conclusions</w:t>
      </w:r>
      <w:r>
        <w:t xml:space="preserve"> of Law</w:t>
      </w:r>
    </w:p>
    <w:p w:rsidRPr="00A42931" w:rsidR="007A5EFD" w:rsidP="00A42931" w:rsidRDefault="007A5EFD" w14:paraId="1FEA6CC0" w14:textId="77777777">
      <w:pPr>
        <w:pStyle w:val="CoL"/>
      </w:pPr>
      <w:r w:rsidRPr="00A42931">
        <w:t>MGRA’s claim, with the adjustments established in Section 3 above, satisfies the requirements of Sections 1801-1812.</w:t>
      </w:r>
    </w:p>
    <w:p w:rsidR="007A5EFD" w:rsidP="00A42931" w:rsidRDefault="007A5EFD" w14:paraId="7F5AB67F" w14:textId="77777777">
      <w:pPr>
        <w:pStyle w:val="Mainex"/>
      </w:pPr>
      <w:r w:rsidRPr="00A42931">
        <w:t>ORDER</w:t>
      </w:r>
    </w:p>
    <w:p w:rsidR="007A5EFD" w:rsidP="00A42931" w:rsidRDefault="007A5EFD" w14:paraId="5618218B" w14:textId="77777777">
      <w:r w:rsidRPr="00A42931">
        <w:rPr>
          <w:b/>
          <w:bCs/>
        </w:rPr>
        <w:t>IT IS ORDERED</w:t>
      </w:r>
      <w:r>
        <w:t xml:space="preserve"> that:</w:t>
      </w:r>
    </w:p>
    <w:p w:rsidRPr="00A42931" w:rsidR="007A5EFD" w:rsidP="00A42931" w:rsidRDefault="007A5EFD" w14:paraId="76CBB1A0" w14:textId="79310EDD">
      <w:pPr>
        <w:pStyle w:val="OP"/>
      </w:pPr>
      <w:r w:rsidRPr="00A42931">
        <w:t>The Mussey Grade Road Alliance shall be awarded $</w:t>
      </w:r>
      <w:r w:rsidR="00A51F86">
        <w:t>66,267</w:t>
      </w:r>
      <w:r w:rsidRPr="00A42931">
        <w:t>.</w:t>
      </w:r>
    </w:p>
    <w:p w:rsidRPr="00A42931" w:rsidR="007A5EFD" w:rsidP="00A42931" w:rsidRDefault="007A5EFD" w14:paraId="7F6A490C" w14:textId="1C226B83">
      <w:pPr>
        <w:pStyle w:val="OP"/>
      </w:pPr>
      <w:r w:rsidRPr="00A42931">
        <w:t xml:space="preserve">Within 30 days of the effective date of this decision, Pacific Gas and Electric Company, Southern California Edison Company, and San Diego Gas &amp; Electric Company shall pay the Mussey Grade Road Alliance their respective shares of the award, based on their California-jurisdictional electric revenues for the 2020 calendar year, to reflect the year in which the proceedings were primarily litigated. Payment of the award shall include compound interest at the rate earned on prime, three-month non-financial commercial paper as reported in Federal Reserve Statistical Release H.15, beginning October 18, 2020, the </w:t>
      </w:r>
      <w:r w:rsidR="00367B1A">
        <w:br/>
      </w:r>
      <w:r w:rsidRPr="00A42931">
        <w:lastRenderedPageBreak/>
        <w:t>75th day after the filing of Application 20-08-004, and continuing until full payment is made.</w:t>
      </w:r>
    </w:p>
    <w:p w:rsidRPr="00A42931" w:rsidR="007A5EFD" w:rsidP="00A42931" w:rsidRDefault="007A5EFD" w14:paraId="2B81505D" w14:textId="37A3A1CA">
      <w:pPr>
        <w:pStyle w:val="OP"/>
      </w:pPr>
      <w:r w:rsidRPr="00A42931">
        <w:t xml:space="preserve">The comment period for today’s decision is </w:t>
      </w:r>
      <w:r w:rsidR="00BA3602">
        <w:t xml:space="preserve">not </w:t>
      </w:r>
      <w:r w:rsidRPr="00A42931">
        <w:t>waived.</w:t>
      </w:r>
    </w:p>
    <w:p w:rsidRPr="00A42931" w:rsidR="007A5EFD" w:rsidP="00A42931" w:rsidRDefault="007A5EFD" w14:paraId="1AF4D522" w14:textId="77777777">
      <w:pPr>
        <w:pStyle w:val="OP"/>
      </w:pPr>
      <w:r w:rsidRPr="00A42931">
        <w:t>Application 20-08-004 is closed.</w:t>
      </w:r>
    </w:p>
    <w:p w:rsidR="007A5EFD" w:rsidP="00A42931" w:rsidRDefault="007A5EFD" w14:paraId="3DA1288F" w14:textId="77777777">
      <w:pPr>
        <w:pStyle w:val="Standard"/>
      </w:pPr>
      <w:r>
        <w:t>This order is effective today.</w:t>
      </w:r>
    </w:p>
    <w:p w:rsidR="00714CF2" w:rsidP="00A42931" w:rsidRDefault="008F0116" w14:paraId="554EF14B" w14:textId="5589FBD6">
      <w:pPr>
        <w:pStyle w:val="Standard"/>
      </w:pPr>
      <w:r>
        <w:t xml:space="preserve">Dated </w:t>
      </w:r>
      <w:r w:rsidR="00A23894">
        <w:t>May 6, 2021</w:t>
      </w:r>
      <w:r>
        <w:t>, at San Francisco, California</w:t>
      </w:r>
      <w:r w:rsidR="004F505C">
        <w:t>.</w:t>
      </w:r>
    </w:p>
    <w:p w:rsidR="00A23894" w:rsidP="00A42931" w:rsidRDefault="00A23894" w14:paraId="298F2CF1" w14:textId="74BBD81D">
      <w:pPr>
        <w:pStyle w:val="Standard"/>
      </w:pPr>
    </w:p>
    <w:p w:rsidRPr="00AE0DE2" w:rsidR="00A23894" w:rsidP="00A23894" w:rsidRDefault="00A23894" w14:paraId="4B985A0E" w14:textId="77777777">
      <w:pPr>
        <w:autoSpaceDE w:val="0"/>
        <w:autoSpaceDN w:val="0"/>
        <w:adjustRightInd w:val="0"/>
        <w:spacing w:line="240" w:lineRule="auto"/>
        <w:ind w:left="4320"/>
        <w:jc w:val="both"/>
        <w:rPr>
          <w:rFonts w:cs="Times New Roman"/>
          <w:szCs w:val="20"/>
        </w:rPr>
      </w:pPr>
      <w:bookmarkStart w:name="_Hlk17215919" w:id="4"/>
      <w:r w:rsidRPr="00AE0DE2">
        <w:rPr>
          <w:rFonts w:cs="Times New Roman"/>
          <w:szCs w:val="20"/>
        </w:rPr>
        <w:t>MARYBEL BATJER</w:t>
      </w:r>
    </w:p>
    <w:p w:rsidR="00A23894" w:rsidP="00A23894" w:rsidRDefault="00A23894" w14:paraId="2EC3B57C" w14:textId="77777777">
      <w:pPr>
        <w:autoSpaceDE w:val="0"/>
        <w:autoSpaceDN w:val="0"/>
        <w:adjustRightInd w:val="0"/>
        <w:spacing w:line="240" w:lineRule="auto"/>
        <w:ind w:firstLine="6210"/>
        <w:jc w:val="both"/>
        <w:rPr>
          <w:rFonts w:cs="Times New Roman"/>
          <w:szCs w:val="20"/>
        </w:rPr>
      </w:pPr>
      <w:r w:rsidRPr="00AE0DE2">
        <w:rPr>
          <w:rFonts w:cs="Times New Roman"/>
          <w:szCs w:val="20"/>
        </w:rPr>
        <w:t>President</w:t>
      </w:r>
    </w:p>
    <w:p w:rsidRPr="00AE0DE2" w:rsidR="00A23894" w:rsidP="00A23894" w:rsidRDefault="00A23894" w14:paraId="25162D31" w14:textId="77777777">
      <w:pPr>
        <w:autoSpaceDE w:val="0"/>
        <w:autoSpaceDN w:val="0"/>
        <w:adjustRightInd w:val="0"/>
        <w:spacing w:line="240" w:lineRule="auto"/>
        <w:ind w:left="4320"/>
        <w:jc w:val="both"/>
        <w:rPr>
          <w:rFonts w:cs="Times New Roman"/>
          <w:szCs w:val="20"/>
        </w:rPr>
      </w:pPr>
      <w:r w:rsidRPr="00AE0DE2">
        <w:rPr>
          <w:rFonts w:cs="Times New Roman"/>
          <w:szCs w:val="20"/>
        </w:rPr>
        <w:t>MARTHA GUZMAN ACEVES</w:t>
      </w:r>
    </w:p>
    <w:p w:rsidRPr="00AE0DE2" w:rsidR="00A23894" w:rsidP="00A23894" w:rsidRDefault="00A23894" w14:paraId="5ED06DCA" w14:textId="77777777">
      <w:pPr>
        <w:autoSpaceDE w:val="0"/>
        <w:autoSpaceDN w:val="0"/>
        <w:adjustRightInd w:val="0"/>
        <w:spacing w:line="240" w:lineRule="auto"/>
        <w:ind w:left="4320"/>
        <w:jc w:val="both"/>
        <w:rPr>
          <w:rFonts w:cs="Times New Roman"/>
          <w:szCs w:val="20"/>
        </w:rPr>
      </w:pPr>
      <w:r w:rsidRPr="00AE0DE2">
        <w:rPr>
          <w:rFonts w:cs="Times New Roman"/>
          <w:szCs w:val="20"/>
        </w:rPr>
        <w:t>CLIFFORD RECHTSCHAFFEN</w:t>
      </w:r>
    </w:p>
    <w:p w:rsidR="00A23894" w:rsidP="00A23894" w:rsidRDefault="00A23894" w14:paraId="7D10D909" w14:textId="77777777">
      <w:pPr>
        <w:autoSpaceDE w:val="0"/>
        <w:autoSpaceDN w:val="0"/>
        <w:adjustRightInd w:val="0"/>
        <w:spacing w:line="240" w:lineRule="auto"/>
        <w:ind w:left="4320"/>
        <w:jc w:val="both"/>
        <w:rPr>
          <w:rFonts w:cs="Times New Roman"/>
          <w:szCs w:val="20"/>
        </w:rPr>
      </w:pPr>
      <w:r w:rsidRPr="00AE0DE2">
        <w:rPr>
          <w:rFonts w:cs="Times New Roman"/>
          <w:szCs w:val="20"/>
        </w:rPr>
        <w:t>GENEVIEVE SHIROMA</w:t>
      </w:r>
    </w:p>
    <w:p w:rsidRPr="00AE0DE2" w:rsidR="00A23894" w:rsidP="00A23894" w:rsidRDefault="00A23894" w14:paraId="0A633BBD" w14:textId="77777777">
      <w:pPr>
        <w:autoSpaceDE w:val="0"/>
        <w:autoSpaceDN w:val="0"/>
        <w:adjustRightInd w:val="0"/>
        <w:spacing w:line="240" w:lineRule="auto"/>
        <w:ind w:left="3600" w:firstLine="1530"/>
        <w:jc w:val="both"/>
        <w:rPr>
          <w:rFonts w:cs="Times New Roman"/>
          <w:szCs w:val="20"/>
        </w:rPr>
      </w:pPr>
      <w:r>
        <w:rPr>
          <w:rFonts w:cs="Times New Roman"/>
          <w:szCs w:val="20"/>
        </w:rPr>
        <w:t>DARCIE HOUCK</w:t>
      </w:r>
    </w:p>
    <w:p w:rsidRPr="00AE0DE2" w:rsidR="00A23894" w:rsidP="00A23894" w:rsidRDefault="00A23894" w14:paraId="1BF772BE" w14:textId="77777777">
      <w:pPr>
        <w:autoSpaceDE w:val="0"/>
        <w:autoSpaceDN w:val="0"/>
        <w:adjustRightInd w:val="0"/>
        <w:spacing w:line="240" w:lineRule="auto"/>
        <w:ind w:left="4320" w:firstLine="1080"/>
        <w:jc w:val="both"/>
        <w:rPr>
          <w:rFonts w:cs="Times New Roman"/>
          <w:szCs w:val="20"/>
        </w:rPr>
      </w:pPr>
      <w:r w:rsidRPr="00AE0DE2">
        <w:rPr>
          <w:rFonts w:cs="Times New Roman"/>
          <w:szCs w:val="20"/>
        </w:rPr>
        <w:t>Commissioners</w:t>
      </w:r>
    </w:p>
    <w:bookmarkEnd w:id="4"/>
    <w:p w:rsidRPr="00714CF2" w:rsidR="00A23894" w:rsidP="00A42931" w:rsidRDefault="00A23894" w14:paraId="655EC413" w14:textId="77777777">
      <w:pPr>
        <w:pStyle w:val="Standard"/>
      </w:pPr>
    </w:p>
    <w:sectPr w:rsidRPr="00714CF2" w:rsidR="00A23894" w:rsidSect="008E7E3A">
      <w:headerReference w:type="default" r:id="rId9"/>
      <w:footerReference w:type="default" r:id="rId10"/>
      <w:pgSz w:w="12240" w:h="15840"/>
      <w:pgMar w:top="1728"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7F924" w14:textId="77777777" w:rsidR="00696E38" w:rsidRDefault="00696E38" w:rsidP="0098138E">
      <w:pPr>
        <w:spacing w:line="240" w:lineRule="auto"/>
      </w:pPr>
      <w:r>
        <w:separator/>
      </w:r>
    </w:p>
  </w:endnote>
  <w:endnote w:type="continuationSeparator" w:id="0">
    <w:p w14:paraId="4DA88C9C" w14:textId="77777777" w:rsidR="00696E38" w:rsidRDefault="00696E38"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33712" w14:textId="7B1EAEBF" w:rsidR="00422044" w:rsidRDefault="009437F8" w:rsidP="00785FBB">
    <w:pPr>
      <w:ind w:firstLine="0"/>
    </w:pPr>
    <w:proofErr w:type="gramStart"/>
    <w:r w:rsidRPr="009437F8">
      <w:rPr>
        <w:sz w:val="16"/>
        <w:szCs w:val="16"/>
      </w:rPr>
      <w:t>383062460</w:t>
    </w:r>
    <w:r w:rsidR="00422044" w:rsidRPr="009437F8">
      <w:rPr>
        <w:sz w:val="16"/>
        <w:szCs w:val="16"/>
      </w:rPr>
      <w:t xml:space="preserve"> </w:t>
    </w:r>
    <w:r w:rsidR="00422044">
      <w:t xml:space="preserve"> </w:t>
    </w:r>
    <w:r w:rsidR="00422044">
      <w:tab/>
    </w:r>
    <w:proofErr w:type="gramEnd"/>
    <w:r w:rsidR="00422044">
      <w:tab/>
    </w:r>
    <w:r w:rsidR="00422044">
      <w:tab/>
    </w:r>
    <w:r w:rsidR="00422044">
      <w:tab/>
    </w:r>
    <w:r w:rsidR="00422044">
      <w:tab/>
      <w:t>-</w:t>
    </w:r>
    <w:sdt>
      <w:sdtPr>
        <w:id w:val="1456061551"/>
        <w:docPartObj>
          <w:docPartGallery w:val="Page Numbers (Bottom of Page)"/>
          <w:docPartUnique/>
        </w:docPartObj>
      </w:sdtPr>
      <w:sdtEndPr>
        <w:rPr>
          <w:noProof/>
        </w:rPr>
      </w:sdtEndPr>
      <w:sdtContent>
        <w:r w:rsidR="00422044">
          <w:t xml:space="preserve"> </w:t>
        </w:r>
        <w:r w:rsidR="00422044">
          <w:fldChar w:fldCharType="begin"/>
        </w:r>
        <w:r w:rsidR="00422044">
          <w:instrText xml:space="preserve"> PAGE   \* MERGEFORMAT </w:instrText>
        </w:r>
        <w:r w:rsidR="00422044">
          <w:fldChar w:fldCharType="separate"/>
        </w:r>
        <w:r w:rsidR="00422044">
          <w:rPr>
            <w:noProof/>
          </w:rPr>
          <w:t>2</w:t>
        </w:r>
        <w:r w:rsidR="00422044">
          <w:rPr>
            <w:noProof/>
          </w:rPr>
          <w:fldChar w:fldCharType="end"/>
        </w:r>
        <w:r w:rsidR="00422044">
          <w:rPr>
            <w:noProof/>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E3542" w14:textId="14939B71" w:rsidR="00C837A5" w:rsidRDefault="008E7E3A" w:rsidP="008E7E3A">
    <w:pPr>
      <w:ind w:firstLine="0"/>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7C503" w14:textId="77777777" w:rsidR="00696E38" w:rsidRDefault="00696E38" w:rsidP="00DF58E7">
      <w:pPr>
        <w:spacing w:line="240" w:lineRule="auto"/>
        <w:ind w:firstLine="0"/>
      </w:pPr>
      <w:r>
        <w:separator/>
      </w:r>
    </w:p>
  </w:footnote>
  <w:footnote w:type="continuationSeparator" w:id="0">
    <w:p w14:paraId="36BA753E" w14:textId="77777777" w:rsidR="00696E38" w:rsidRDefault="00696E38" w:rsidP="00DF58E7">
      <w:pPr>
        <w:spacing w:line="240" w:lineRule="auto"/>
        <w:ind w:firstLine="0"/>
      </w:pPr>
      <w:r>
        <w:continuationSeparator/>
      </w:r>
    </w:p>
  </w:footnote>
  <w:footnote w:type="continuationNotice" w:id="1">
    <w:p w14:paraId="26F9F5D2" w14:textId="77777777" w:rsidR="00696E38" w:rsidRPr="00DF58E7" w:rsidRDefault="00696E38"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2FD324F1" w14:textId="68F98A42" w:rsidR="005F0294" w:rsidRDefault="005F0294">
      <w:pPr>
        <w:pStyle w:val="FootnoteText"/>
      </w:pPr>
      <w:r>
        <w:rPr>
          <w:rStyle w:val="FootnoteReference"/>
        </w:rPr>
        <w:footnoteRef/>
      </w:r>
      <w:r>
        <w:t xml:space="preserve"> All code references herein refer to the Public Utilities Code unless otherwise specified.</w:t>
      </w:r>
    </w:p>
  </w:footnote>
  <w:footnote w:id="3">
    <w:p w14:paraId="3FF7AF8F" w14:textId="61B8142C" w:rsidR="007A5EFD" w:rsidRDefault="007A5EFD" w:rsidP="007A5EFD">
      <w:pPr>
        <w:pStyle w:val="FootnoteText"/>
      </w:pPr>
      <w:r>
        <w:rPr>
          <w:rStyle w:val="FootnoteReference"/>
        </w:rPr>
        <w:footnoteRef/>
      </w:r>
      <w:r>
        <w:t xml:space="preserve"> MGRA NOI filed along with A.20-08-00</w:t>
      </w:r>
      <w:r w:rsidR="007022FB">
        <w:t>4</w:t>
      </w:r>
      <w:r>
        <w:t xml:space="preserve"> at 4.</w:t>
      </w:r>
    </w:p>
  </w:footnote>
  <w:footnote w:id="4">
    <w:p w14:paraId="1C16E030" w14:textId="255702B6" w:rsidR="007A5EFD" w:rsidRDefault="007A5EFD" w:rsidP="007A5EFD">
      <w:pPr>
        <w:pStyle w:val="FootnoteText"/>
      </w:pPr>
      <w:r>
        <w:rPr>
          <w:rStyle w:val="FootnoteReference"/>
        </w:rPr>
        <w:footnoteRef/>
      </w:r>
      <w:r>
        <w:t xml:space="preserve"> MGRA’s bylaws were filed in an amended NOI to claim ICOMP in the R.18-12-005 docket on December 30, 2019. The area represented by MGRA was significantly impacted by the Cedar Fire in 2003 and Witch Fire in 2007.</w:t>
      </w:r>
    </w:p>
  </w:footnote>
  <w:footnote w:id="5">
    <w:p w14:paraId="34A33FBF" w14:textId="77777777" w:rsidR="007A5EFD" w:rsidRDefault="007A5EFD" w:rsidP="007A5EFD">
      <w:pPr>
        <w:pStyle w:val="FootnoteText"/>
      </w:pPr>
      <w:r>
        <w:rPr>
          <w:rStyle w:val="FootnoteReference"/>
        </w:rPr>
        <w:footnoteRef/>
      </w:r>
      <w:r>
        <w:t xml:space="preserve"> MGRA NOI Part III B.</w:t>
      </w:r>
    </w:p>
  </w:footnote>
  <w:footnote w:id="6">
    <w:p w14:paraId="75D13F9A" w14:textId="56B857B9" w:rsidR="007A5EFD" w:rsidRDefault="007A5EFD" w:rsidP="007A5EFD">
      <w:pPr>
        <w:pStyle w:val="FootnoteText"/>
      </w:pPr>
      <w:r>
        <w:rPr>
          <w:rStyle w:val="FootnoteReference"/>
        </w:rPr>
        <w:footnoteRef/>
      </w:r>
      <w:r>
        <w:t xml:space="preserve"> </w:t>
      </w:r>
      <w:r w:rsidR="00A66B8A">
        <w:t>MGRA NOI Part I 4</w:t>
      </w:r>
      <w:r>
        <w:t>.</w:t>
      </w:r>
    </w:p>
  </w:footnote>
  <w:footnote w:id="7">
    <w:p w14:paraId="7781E024" w14:textId="77777777" w:rsidR="007A5EFD" w:rsidRDefault="007A5EFD" w:rsidP="007A5EFD">
      <w:pPr>
        <w:pStyle w:val="FootnoteText"/>
      </w:pPr>
      <w:r>
        <w:rPr>
          <w:rStyle w:val="FootnoteReference"/>
        </w:rPr>
        <w:footnoteRef/>
      </w:r>
      <w:r>
        <w:t xml:space="preserve"> Scoping Memo at 4. </w:t>
      </w:r>
    </w:p>
  </w:footnote>
  <w:footnote w:id="8">
    <w:p w14:paraId="4C80C62E" w14:textId="77777777" w:rsidR="007A5EFD" w:rsidRDefault="007A5EFD" w:rsidP="007A5EFD">
      <w:pPr>
        <w:pStyle w:val="FootnoteText"/>
      </w:pPr>
      <w:r>
        <w:rPr>
          <w:rStyle w:val="FootnoteReference"/>
        </w:rPr>
        <w:footnoteRef/>
      </w:r>
      <w:r>
        <w:t xml:space="preserve"> The 2019 COLA adopted in Resolution ALJ-357 was 2.35%. The 2020 COLA adopted in Resolution ALJ-387 was 2.55%.</w:t>
      </w:r>
    </w:p>
  </w:footnote>
  <w:footnote w:id="9">
    <w:p w14:paraId="033FAB5B" w14:textId="64FF905C" w:rsidR="007A5EFD" w:rsidRDefault="007A5EFD" w:rsidP="007A5EFD">
      <w:pPr>
        <w:pStyle w:val="FootnoteText"/>
      </w:pPr>
      <w:r>
        <w:rPr>
          <w:rStyle w:val="FootnoteReference"/>
        </w:rPr>
        <w:footnoteRef/>
      </w:r>
      <w:r>
        <w:t xml:space="preserve"> Part II, B of A.20-08-004. MGRA</w:t>
      </w:r>
      <w:r w:rsidR="00D8212B">
        <w:t xml:space="preserve"> </w:t>
      </w:r>
      <w:r w:rsidR="00BD2F50">
        <w:t xml:space="preserve">explains </w:t>
      </w:r>
      <w:r>
        <w:t xml:space="preserve">that several other parties contributed on behalf of residential ratepayers but states that the other intervenors’ positions were not as </w:t>
      </w:r>
      <w:proofErr w:type="gramStart"/>
      <w:r>
        <w:t>data-</w:t>
      </w:r>
      <w:r w:rsidR="00D8212B">
        <w:t>driven</w:t>
      </w:r>
      <w:proofErr w:type="gramEnd"/>
      <w:r w:rsidR="00D8212B">
        <w:t xml:space="preserve"> </w:t>
      </w:r>
      <w:r>
        <w:t>as MGRA’s technical analyses.</w:t>
      </w:r>
      <w:r w:rsidR="00BD2F50">
        <w:t xml:space="preserve"> We agree that MGRA avoided duplicative efforts in its contribution to the four WSD Resolutions.</w:t>
      </w:r>
    </w:p>
  </w:footnote>
  <w:footnote w:id="10">
    <w:p w14:paraId="3C9D70F7" w14:textId="73D997F9" w:rsidR="007A5EFD" w:rsidRDefault="007A5EFD" w:rsidP="007A5EFD">
      <w:pPr>
        <w:pStyle w:val="FootnoteText"/>
      </w:pPr>
      <w:r>
        <w:rPr>
          <w:rStyle w:val="FootnoteReference"/>
        </w:rPr>
        <w:footnoteRef/>
      </w:r>
      <w:r>
        <w:t xml:space="preserve"> MGRA filed an NOI to claim ICOMP related to Phase 2 of R.18-10-007 on September 24, 2019 and has an outstanding claim for ICOMP related to Phase 1 Decisions 19-05-036, 19-05-039, 19-05-073, and 19-05-038, which was filed on July 24, 2019. The timesheet abbreviation of “OIR18” is used in the outstanding ICOMP request, as well as in the timesheet filed for Dr. Mitchell in A.20-08-00</w:t>
      </w:r>
      <w:r w:rsidR="007F0653">
        <w:t>4</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CC0C6" w14:textId="653422A8" w:rsidR="00C837A5" w:rsidRDefault="005745E6" w:rsidP="00EE4315">
    <w:pPr>
      <w:pStyle w:val="Header"/>
      <w:tabs>
        <w:tab w:val="clear" w:pos="4680"/>
      </w:tabs>
      <w:ind w:firstLine="0"/>
      <w:rPr>
        <w:b/>
      </w:rPr>
    </w:pPr>
    <w:r>
      <w:t>A.20-08-</w:t>
    </w:r>
    <w:proofErr w:type="gramStart"/>
    <w:r>
      <w:t>004  ALJ</w:t>
    </w:r>
    <w:proofErr w:type="gramEnd"/>
    <w:r>
      <w:t>/CS8/mph</w:t>
    </w:r>
    <w:r w:rsidR="00C837A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8E1469"/>
    <w:multiLevelType w:val="hybridMultilevel"/>
    <w:tmpl w:val="7F9E2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15F056CB"/>
    <w:multiLevelType w:val="multilevel"/>
    <w:tmpl w:val="18F4A5AC"/>
    <w:numStyleLink w:val="FoFCoLOP"/>
  </w:abstractNum>
  <w:abstractNum w:abstractNumId="4"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70038F"/>
    <w:multiLevelType w:val="multilevel"/>
    <w:tmpl w:val="3C526EDE"/>
    <w:numStyleLink w:val="Headings"/>
  </w:abstractNum>
  <w:abstractNum w:abstractNumId="6" w15:restartNumberingAfterBreak="0">
    <w:nsid w:val="1E2242C9"/>
    <w:multiLevelType w:val="multilevel"/>
    <w:tmpl w:val="3C526EDE"/>
    <w:numStyleLink w:val="Headings"/>
  </w:abstractNum>
  <w:abstractNum w:abstractNumId="7" w15:restartNumberingAfterBreak="0">
    <w:nsid w:val="21976938"/>
    <w:multiLevelType w:val="multilevel"/>
    <w:tmpl w:val="0DCA65A4"/>
    <w:lvl w:ilvl="0">
      <w:start w:val="3"/>
      <w:numFmt w:val="decimal"/>
      <w:lvlText w:val="%1."/>
      <w:lvlJc w:val="left"/>
      <w:pPr>
        <w:ind w:left="360" w:hanging="36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ind w:left="144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792"/>
        </w:tabs>
        <w:ind w:left="1440" w:hanging="720"/>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4."/>
      <w:lvlJc w:val="left"/>
      <w:pPr>
        <w:ind w:left="1440" w:hanging="720"/>
      </w:pPr>
      <w:rPr>
        <w:rFonts w:hint="default"/>
        <w:b w:val="0"/>
        <w:bCs/>
        <w:i w:val="0"/>
        <w:caps w:val="0"/>
        <w:strike w:val="0"/>
        <w:dstrike w:val="0"/>
        <w:vanish w:val="0"/>
        <w:kern w:val="0"/>
        <w:sz w:val="26"/>
        <w:vertAlign w:val="baseline"/>
        <w14:cntxtAlts w14: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1FB58FE"/>
    <w:multiLevelType w:val="multilevel"/>
    <w:tmpl w:val="3C526EDE"/>
    <w:numStyleLink w:val="Headings"/>
  </w:abstractNum>
  <w:abstractNum w:abstractNumId="9" w15:restartNumberingAfterBreak="0">
    <w:nsid w:val="243663A0"/>
    <w:multiLevelType w:val="multilevel"/>
    <w:tmpl w:val="3C526EDE"/>
    <w:numStyleLink w:val="Headings"/>
  </w:abstractNum>
  <w:abstractNum w:abstractNumId="10" w15:restartNumberingAfterBreak="0">
    <w:nsid w:val="2A292B6C"/>
    <w:multiLevelType w:val="multilevel"/>
    <w:tmpl w:val="B30AF5C0"/>
    <w:lvl w:ilvl="0">
      <w:start w:val="6"/>
      <w:numFmt w:val="decimal"/>
      <w:lvlText w:val="%1."/>
      <w:lvlJc w:val="left"/>
      <w:pPr>
        <w:ind w:left="360" w:hanging="36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ind w:left="144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792"/>
        </w:tabs>
        <w:ind w:left="1440" w:hanging="720"/>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3.%2.%1.%4."/>
      <w:lvlJc w:val="left"/>
      <w:pPr>
        <w:ind w:left="1440" w:hanging="720"/>
      </w:pPr>
      <w:rPr>
        <w:rFonts w:ascii="Arial" w:hAnsi="Arial" w:hint="default"/>
        <w:b/>
        <w:i w:val="0"/>
        <w:caps w:val="0"/>
        <w:strike w:val="0"/>
        <w:dstrike w:val="0"/>
        <w:vanish w:val="0"/>
        <w:kern w:val="0"/>
        <w:sz w:val="26"/>
        <w:vertAlign w:val="baseline"/>
        <w14:cntxtAlts w14: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B8124D7"/>
    <w:multiLevelType w:val="multilevel"/>
    <w:tmpl w:val="3C526EDE"/>
    <w:numStyleLink w:val="Headings"/>
  </w:abstractNum>
  <w:abstractNum w:abstractNumId="12"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3" w15:restartNumberingAfterBreak="0">
    <w:nsid w:val="59D042D7"/>
    <w:multiLevelType w:val="multilevel"/>
    <w:tmpl w:val="18F4A5AC"/>
    <w:numStyleLink w:val="FoFCoLOP"/>
  </w:abstractNum>
  <w:abstractNum w:abstractNumId="14" w15:restartNumberingAfterBreak="0">
    <w:nsid w:val="5A9E2171"/>
    <w:multiLevelType w:val="multilevel"/>
    <w:tmpl w:val="3C526EDE"/>
    <w:numStyleLink w:val="Headings"/>
  </w:abstractNum>
  <w:abstractNum w:abstractNumId="15" w15:restartNumberingAfterBreak="0">
    <w:nsid w:val="61A25780"/>
    <w:multiLevelType w:val="multilevel"/>
    <w:tmpl w:val="3C526EDE"/>
    <w:numStyleLink w:val="Headings"/>
  </w:abstractNum>
  <w:abstractNum w:abstractNumId="16" w15:restartNumberingAfterBreak="0">
    <w:nsid w:val="69012507"/>
    <w:multiLevelType w:val="multilevel"/>
    <w:tmpl w:val="DDB4CDAC"/>
    <w:lvl w:ilvl="0">
      <w:start w:val="5"/>
      <w:numFmt w:val="decimal"/>
      <w:lvlText w:val="%1."/>
      <w:lvlJc w:val="left"/>
      <w:pPr>
        <w:ind w:left="360" w:hanging="36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ind w:left="144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792"/>
        </w:tabs>
        <w:ind w:left="1440" w:hanging="720"/>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3.%2.%1.%4."/>
      <w:lvlJc w:val="left"/>
      <w:pPr>
        <w:ind w:left="1440" w:hanging="720"/>
      </w:pPr>
      <w:rPr>
        <w:rFonts w:ascii="Arial" w:hAnsi="Arial" w:hint="default"/>
        <w:b/>
        <w:i w:val="0"/>
        <w:caps w:val="0"/>
        <w:strike w:val="0"/>
        <w:dstrike w:val="0"/>
        <w:vanish w:val="0"/>
        <w:kern w:val="0"/>
        <w:sz w:val="26"/>
        <w:vertAlign w:val="baseline"/>
        <w14:cntxtAlts w14: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89A0AFE"/>
    <w:multiLevelType w:val="multilevel"/>
    <w:tmpl w:val="18F4A5AC"/>
    <w:numStyleLink w:val="FoFCoLOP"/>
  </w:abstractNum>
  <w:num w:numId="1">
    <w:abstractNumId w:val="14"/>
  </w:num>
  <w:num w:numId="2">
    <w:abstractNumId w:val="2"/>
  </w:num>
  <w:num w:numId="3">
    <w:abstractNumId w:val="13"/>
    <w:lvlOverride w:ilvl="0">
      <w:lvl w:ilvl="0">
        <w:start w:val="1"/>
        <w:numFmt w:val="decimal"/>
        <w:pStyle w:val="FoF"/>
        <w:lvlText w:val="%1."/>
        <w:lvlJc w:val="right"/>
        <w:pPr>
          <w:ind w:left="0" w:firstLine="540"/>
        </w:pPr>
        <w:rPr>
          <w:rFonts w:hint="default"/>
        </w:rPr>
      </w:lvl>
    </w:lvlOverride>
  </w:num>
  <w:num w:numId="4">
    <w:abstractNumId w:val="3"/>
  </w:num>
  <w:num w:numId="5">
    <w:abstractNumId w:val="18"/>
  </w:num>
  <w:num w:numId="6">
    <w:abstractNumId w:val="12"/>
  </w:num>
  <w:num w:numId="7">
    <w:abstractNumId w:val="6"/>
  </w:num>
  <w:num w:numId="8">
    <w:abstractNumId w:val="17"/>
  </w:num>
  <w:num w:numId="9">
    <w:abstractNumId w:val="0"/>
  </w:num>
  <w:num w:numId="10">
    <w:abstractNumId w:val="5"/>
  </w:num>
  <w:num w:numId="11">
    <w:abstractNumId w:val="8"/>
  </w:num>
  <w:num w:numId="12">
    <w:abstractNumId w:val="4"/>
  </w:num>
  <w:num w:numId="13">
    <w:abstractNumId w:val="9"/>
  </w:num>
  <w:num w:numId="14">
    <w:abstractNumId w:val="11"/>
  </w:num>
  <w:num w:numId="15">
    <w:abstractNumId w:val="15"/>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0"/>
  </w:num>
  <w:num w:numId="19">
    <w:abstractNumId w:val="16"/>
  </w:num>
  <w:num w:numId="20">
    <w:abstractNumId w:val="1"/>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EFD"/>
    <w:rsid w:val="00000EB5"/>
    <w:rsid w:val="00000F6A"/>
    <w:rsid w:val="00014422"/>
    <w:rsid w:val="00030F6C"/>
    <w:rsid w:val="00054CF9"/>
    <w:rsid w:val="000618C3"/>
    <w:rsid w:val="00063D79"/>
    <w:rsid w:val="0007115A"/>
    <w:rsid w:val="000973C8"/>
    <w:rsid w:val="000A2AA9"/>
    <w:rsid w:val="000A56F2"/>
    <w:rsid w:val="000A6E05"/>
    <w:rsid w:val="000B12FA"/>
    <w:rsid w:val="000C08BF"/>
    <w:rsid w:val="000C3B9A"/>
    <w:rsid w:val="000D25A8"/>
    <w:rsid w:val="000D6295"/>
    <w:rsid w:val="000E270A"/>
    <w:rsid w:val="000E4C53"/>
    <w:rsid w:val="000F2634"/>
    <w:rsid w:val="000F44D9"/>
    <w:rsid w:val="001161C9"/>
    <w:rsid w:val="00121089"/>
    <w:rsid w:val="00145763"/>
    <w:rsid w:val="00173CAB"/>
    <w:rsid w:val="001938CB"/>
    <w:rsid w:val="001C363F"/>
    <w:rsid w:val="001E2A62"/>
    <w:rsid w:val="001F2819"/>
    <w:rsid w:val="002043EC"/>
    <w:rsid w:val="00243DC0"/>
    <w:rsid w:val="00247477"/>
    <w:rsid w:val="00270440"/>
    <w:rsid w:val="00287BC5"/>
    <w:rsid w:val="00293DEE"/>
    <w:rsid w:val="002A0B5D"/>
    <w:rsid w:val="002A7244"/>
    <w:rsid w:val="002B4966"/>
    <w:rsid w:val="002C2089"/>
    <w:rsid w:val="002C7FE9"/>
    <w:rsid w:val="002D0DC5"/>
    <w:rsid w:val="002D4EFD"/>
    <w:rsid w:val="00315A97"/>
    <w:rsid w:val="00316071"/>
    <w:rsid w:val="00324513"/>
    <w:rsid w:val="00342E0B"/>
    <w:rsid w:val="00343E5C"/>
    <w:rsid w:val="00344FB8"/>
    <w:rsid w:val="0036017B"/>
    <w:rsid w:val="00362755"/>
    <w:rsid w:val="00367B1A"/>
    <w:rsid w:val="00373B93"/>
    <w:rsid w:val="00380CD1"/>
    <w:rsid w:val="003875CB"/>
    <w:rsid w:val="003A38F0"/>
    <w:rsid w:val="003B5246"/>
    <w:rsid w:val="003F069A"/>
    <w:rsid w:val="003F4329"/>
    <w:rsid w:val="00412534"/>
    <w:rsid w:val="00412C83"/>
    <w:rsid w:val="00422044"/>
    <w:rsid w:val="00426014"/>
    <w:rsid w:val="0044617E"/>
    <w:rsid w:val="00451025"/>
    <w:rsid w:val="00460B7D"/>
    <w:rsid w:val="00474CDE"/>
    <w:rsid w:val="00480CB0"/>
    <w:rsid w:val="00482D36"/>
    <w:rsid w:val="00487AD9"/>
    <w:rsid w:val="004B3248"/>
    <w:rsid w:val="004B34EA"/>
    <w:rsid w:val="004B5494"/>
    <w:rsid w:val="004C66DD"/>
    <w:rsid w:val="004C7A2B"/>
    <w:rsid w:val="004C7D3A"/>
    <w:rsid w:val="004D2AA1"/>
    <w:rsid w:val="004F505C"/>
    <w:rsid w:val="005018A8"/>
    <w:rsid w:val="00505A39"/>
    <w:rsid w:val="005135DF"/>
    <w:rsid w:val="005240BF"/>
    <w:rsid w:val="005551B3"/>
    <w:rsid w:val="00565301"/>
    <w:rsid w:val="005745E6"/>
    <w:rsid w:val="0058493B"/>
    <w:rsid w:val="0058534A"/>
    <w:rsid w:val="00585390"/>
    <w:rsid w:val="005939A5"/>
    <w:rsid w:val="005A148C"/>
    <w:rsid w:val="005C58FA"/>
    <w:rsid w:val="005F0294"/>
    <w:rsid w:val="00620656"/>
    <w:rsid w:val="00632207"/>
    <w:rsid w:val="0063491C"/>
    <w:rsid w:val="00651DCC"/>
    <w:rsid w:val="00652FB5"/>
    <w:rsid w:val="00654B86"/>
    <w:rsid w:val="00661AFE"/>
    <w:rsid w:val="00675DF5"/>
    <w:rsid w:val="00680F19"/>
    <w:rsid w:val="00696E38"/>
    <w:rsid w:val="006C1F10"/>
    <w:rsid w:val="006C1FDD"/>
    <w:rsid w:val="006D0609"/>
    <w:rsid w:val="006E5E28"/>
    <w:rsid w:val="006E6574"/>
    <w:rsid w:val="007022FB"/>
    <w:rsid w:val="00711AD1"/>
    <w:rsid w:val="00714CF2"/>
    <w:rsid w:val="007156B9"/>
    <w:rsid w:val="00720817"/>
    <w:rsid w:val="00722850"/>
    <w:rsid w:val="00724AB3"/>
    <w:rsid w:val="007277AC"/>
    <w:rsid w:val="0073353F"/>
    <w:rsid w:val="00734412"/>
    <w:rsid w:val="00735A91"/>
    <w:rsid w:val="00742E45"/>
    <w:rsid w:val="007447AF"/>
    <w:rsid w:val="00750816"/>
    <w:rsid w:val="007657C1"/>
    <w:rsid w:val="007679B0"/>
    <w:rsid w:val="0077377D"/>
    <w:rsid w:val="0077755F"/>
    <w:rsid w:val="00785FBB"/>
    <w:rsid w:val="0079056A"/>
    <w:rsid w:val="007A406D"/>
    <w:rsid w:val="007A5D48"/>
    <w:rsid w:val="007A5EFD"/>
    <w:rsid w:val="007A62B0"/>
    <w:rsid w:val="007C5A0C"/>
    <w:rsid w:val="007D58A3"/>
    <w:rsid w:val="007E0FEE"/>
    <w:rsid w:val="007F0653"/>
    <w:rsid w:val="007F2017"/>
    <w:rsid w:val="007F78E2"/>
    <w:rsid w:val="00811623"/>
    <w:rsid w:val="008159CF"/>
    <w:rsid w:val="00816E05"/>
    <w:rsid w:val="008339BB"/>
    <w:rsid w:val="00862A89"/>
    <w:rsid w:val="0086419A"/>
    <w:rsid w:val="00864278"/>
    <w:rsid w:val="0087023B"/>
    <w:rsid w:val="00893A22"/>
    <w:rsid w:val="008A179F"/>
    <w:rsid w:val="008B0864"/>
    <w:rsid w:val="008C7413"/>
    <w:rsid w:val="008D12A8"/>
    <w:rsid w:val="008D16B7"/>
    <w:rsid w:val="008E2C21"/>
    <w:rsid w:val="008E6AE6"/>
    <w:rsid w:val="008E7E3A"/>
    <w:rsid w:val="008F0116"/>
    <w:rsid w:val="008F143D"/>
    <w:rsid w:val="009319A3"/>
    <w:rsid w:val="00932865"/>
    <w:rsid w:val="009437F8"/>
    <w:rsid w:val="0098138E"/>
    <w:rsid w:val="0098655A"/>
    <w:rsid w:val="009A5ED8"/>
    <w:rsid w:val="009C4992"/>
    <w:rsid w:val="009E19FD"/>
    <w:rsid w:val="009E6052"/>
    <w:rsid w:val="009E7C7F"/>
    <w:rsid w:val="009F188D"/>
    <w:rsid w:val="00A17CE0"/>
    <w:rsid w:val="00A23894"/>
    <w:rsid w:val="00A23D48"/>
    <w:rsid w:val="00A42306"/>
    <w:rsid w:val="00A42931"/>
    <w:rsid w:val="00A431A6"/>
    <w:rsid w:val="00A44E8D"/>
    <w:rsid w:val="00A46EA8"/>
    <w:rsid w:val="00A51F86"/>
    <w:rsid w:val="00A55ACD"/>
    <w:rsid w:val="00A66B8A"/>
    <w:rsid w:val="00A77FBB"/>
    <w:rsid w:val="00A85D27"/>
    <w:rsid w:val="00AB7875"/>
    <w:rsid w:val="00AC68EE"/>
    <w:rsid w:val="00AD05E0"/>
    <w:rsid w:val="00AF1331"/>
    <w:rsid w:val="00AF7FEA"/>
    <w:rsid w:val="00B01F7E"/>
    <w:rsid w:val="00B12528"/>
    <w:rsid w:val="00B16A34"/>
    <w:rsid w:val="00B16C2A"/>
    <w:rsid w:val="00B27C09"/>
    <w:rsid w:val="00B3087D"/>
    <w:rsid w:val="00B31A79"/>
    <w:rsid w:val="00B34794"/>
    <w:rsid w:val="00B50E64"/>
    <w:rsid w:val="00B60421"/>
    <w:rsid w:val="00B81EB6"/>
    <w:rsid w:val="00BA1E7C"/>
    <w:rsid w:val="00BA3602"/>
    <w:rsid w:val="00BB0243"/>
    <w:rsid w:val="00BB69BC"/>
    <w:rsid w:val="00BC39E0"/>
    <w:rsid w:val="00BC735D"/>
    <w:rsid w:val="00BD2F50"/>
    <w:rsid w:val="00BF0EA8"/>
    <w:rsid w:val="00C10B5F"/>
    <w:rsid w:val="00C44AF8"/>
    <w:rsid w:val="00C837A5"/>
    <w:rsid w:val="00C878D5"/>
    <w:rsid w:val="00C9033B"/>
    <w:rsid w:val="00C913A1"/>
    <w:rsid w:val="00CB76A0"/>
    <w:rsid w:val="00CC6A99"/>
    <w:rsid w:val="00CE708E"/>
    <w:rsid w:val="00CE7EAE"/>
    <w:rsid w:val="00D00AA3"/>
    <w:rsid w:val="00D0504E"/>
    <w:rsid w:val="00D07F73"/>
    <w:rsid w:val="00D14844"/>
    <w:rsid w:val="00D2041C"/>
    <w:rsid w:val="00D25ADE"/>
    <w:rsid w:val="00D32810"/>
    <w:rsid w:val="00D43297"/>
    <w:rsid w:val="00D44DB6"/>
    <w:rsid w:val="00D50119"/>
    <w:rsid w:val="00D601DB"/>
    <w:rsid w:val="00D60B8A"/>
    <w:rsid w:val="00D8212B"/>
    <w:rsid w:val="00D82A43"/>
    <w:rsid w:val="00D9180D"/>
    <w:rsid w:val="00DA7B5D"/>
    <w:rsid w:val="00DB702F"/>
    <w:rsid w:val="00DF58E7"/>
    <w:rsid w:val="00E11876"/>
    <w:rsid w:val="00E15B1B"/>
    <w:rsid w:val="00E166C5"/>
    <w:rsid w:val="00E23CBB"/>
    <w:rsid w:val="00E31646"/>
    <w:rsid w:val="00E37B59"/>
    <w:rsid w:val="00E43E6B"/>
    <w:rsid w:val="00E47FF5"/>
    <w:rsid w:val="00E53438"/>
    <w:rsid w:val="00E578F4"/>
    <w:rsid w:val="00E725FC"/>
    <w:rsid w:val="00E91357"/>
    <w:rsid w:val="00EA36C6"/>
    <w:rsid w:val="00EC30F9"/>
    <w:rsid w:val="00ED5725"/>
    <w:rsid w:val="00ED7031"/>
    <w:rsid w:val="00EE3060"/>
    <w:rsid w:val="00EE4315"/>
    <w:rsid w:val="00EF6925"/>
    <w:rsid w:val="00F133E8"/>
    <w:rsid w:val="00F13CDC"/>
    <w:rsid w:val="00F26ED3"/>
    <w:rsid w:val="00F523BC"/>
    <w:rsid w:val="00F62B7A"/>
    <w:rsid w:val="00F6397D"/>
    <w:rsid w:val="00F7293E"/>
    <w:rsid w:val="00F76650"/>
    <w:rsid w:val="00F90BEC"/>
    <w:rsid w:val="00F9187B"/>
    <w:rsid w:val="00F92385"/>
    <w:rsid w:val="00FA1B4F"/>
    <w:rsid w:val="00FC47F9"/>
    <w:rsid w:val="00FE2351"/>
    <w:rsid w:val="00FE337D"/>
    <w:rsid w:val="00FE5580"/>
    <w:rsid w:val="00FF1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F50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semiHidden/>
    <w:rsid w:val="00EE306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aliases w:val="Footnote Text Char1 Char,Footnote Text Char Char Char1,Footnote Text Char2 Char Char,Footnote Text Char Char Char Char,Footnote Text Char2 Char Char Char Char,Footnote Text Char Char Char Char Char Char,fn Char"/>
    <w:basedOn w:val="DefaultParagraphFont"/>
    <w:link w:val="FootnoteText"/>
    <w:uiPriority w:val="40"/>
    <w:rsid w:val="007657C1"/>
    <w:rPr>
      <w:rFonts w:ascii="Book Antiqua" w:hAnsi="Book Antiqua"/>
      <w:szCs w:val="20"/>
    </w:rPr>
  </w:style>
  <w:style w:type="character" w:styleId="FootnoteReference">
    <w:name w:val="footnote reference"/>
    <w:aliases w:val="o,fr,o1,o2,o3,o4,o5,o6,o11,o21,o7,Style 3,o + Times New Roman,Style 58"/>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ListParagraph">
    <w:name w:val="List Paragraph"/>
    <w:basedOn w:val="Normal"/>
    <w:uiPriority w:val="34"/>
    <w:rsid w:val="007A5EFD"/>
    <w:pPr>
      <w:ind w:left="720"/>
      <w:contextualSpacing/>
    </w:pPr>
  </w:style>
  <w:style w:type="paragraph" w:customStyle="1" w:styleId="TableParagraph">
    <w:name w:val="Table Paragraph"/>
    <w:basedOn w:val="Normal"/>
    <w:uiPriority w:val="1"/>
    <w:qFormat/>
    <w:rsid w:val="007A5EFD"/>
    <w:pPr>
      <w:widowControl w:val="0"/>
      <w:autoSpaceDE w:val="0"/>
      <w:autoSpaceDN w:val="0"/>
      <w:spacing w:line="240" w:lineRule="auto"/>
      <w:ind w:firstLine="0"/>
    </w:pPr>
    <w:rPr>
      <w:rFonts w:ascii="Times New Roman" w:eastAsia="Times New Roman" w:hAnsi="Times New Roman" w:cs="Times New Roman"/>
      <w:sz w:val="22"/>
    </w:rPr>
  </w:style>
  <w:style w:type="character" w:styleId="CommentReference">
    <w:name w:val="annotation reference"/>
    <w:basedOn w:val="DefaultParagraphFont"/>
    <w:uiPriority w:val="99"/>
    <w:semiHidden/>
    <w:unhideWhenUsed/>
    <w:rsid w:val="00A431A6"/>
    <w:rPr>
      <w:sz w:val="16"/>
      <w:szCs w:val="16"/>
    </w:rPr>
  </w:style>
  <w:style w:type="paragraph" w:styleId="CommentText">
    <w:name w:val="annotation text"/>
    <w:basedOn w:val="Normal"/>
    <w:link w:val="CommentTextChar"/>
    <w:uiPriority w:val="99"/>
    <w:semiHidden/>
    <w:unhideWhenUsed/>
    <w:rsid w:val="00A431A6"/>
    <w:pPr>
      <w:spacing w:line="240" w:lineRule="auto"/>
    </w:pPr>
    <w:rPr>
      <w:sz w:val="20"/>
      <w:szCs w:val="20"/>
    </w:rPr>
  </w:style>
  <w:style w:type="character" w:customStyle="1" w:styleId="CommentTextChar">
    <w:name w:val="Comment Text Char"/>
    <w:basedOn w:val="DefaultParagraphFont"/>
    <w:link w:val="CommentText"/>
    <w:uiPriority w:val="99"/>
    <w:semiHidden/>
    <w:rsid w:val="00A431A6"/>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A431A6"/>
    <w:rPr>
      <w:b/>
      <w:bCs/>
    </w:rPr>
  </w:style>
  <w:style w:type="character" w:customStyle="1" w:styleId="CommentSubjectChar">
    <w:name w:val="Comment Subject Char"/>
    <w:basedOn w:val="CommentTextChar"/>
    <w:link w:val="CommentSubject"/>
    <w:uiPriority w:val="99"/>
    <w:semiHidden/>
    <w:rsid w:val="00A431A6"/>
    <w:rPr>
      <w:rFonts w:ascii="Book Antiqua" w:hAnsi="Book Antiqua"/>
      <w:b/>
      <w:bCs/>
      <w:sz w:val="20"/>
      <w:szCs w:val="20"/>
    </w:rPr>
  </w:style>
  <w:style w:type="paragraph" w:styleId="BodyText">
    <w:name w:val="Body Text"/>
    <w:basedOn w:val="Normal"/>
    <w:link w:val="BodyTextChar"/>
    <w:unhideWhenUsed/>
    <w:rsid w:val="00000EB5"/>
    <w:pPr>
      <w:tabs>
        <w:tab w:val="left" w:pos="2160"/>
        <w:tab w:val="left" w:pos="3600"/>
      </w:tabs>
      <w:spacing w:line="240" w:lineRule="auto"/>
      <w:ind w:firstLine="0"/>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000EB5"/>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000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11</ap:Pages>
  <ap:Words>2316</ap:Words>
  <ap:Characters>13204</ap:Characters>
  <ap:Application>Microsoft Office Word</ap:Application>
  <ap:DocSecurity>0</ap:DocSecurity>
  <ap:Lines>110</ap:Lines>
  <ap:Paragraphs>30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15490</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2021-05-10T10:56:18Z</dcterms:created>
  <dcterms:modified xsi:type="dcterms:W3CDTF">2021-05-10T10:56:18Z</dcterms:modified>
</cp:coreProperties>
</file>