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37B2" w:rsidR="00B637B2" w:rsidP="00B637B2" w:rsidRDefault="00E81612" w14:paraId="756F06F9" w14:textId="5BAFB6C5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rPr>
          <w:rFonts w:ascii="Book Antiqua" w:hAnsi="Book Antiqua"/>
          <w:szCs w:val="26"/>
        </w:rPr>
      </w:pPr>
      <w:r>
        <w:rPr>
          <w:rFonts w:ascii="Book Antiqua" w:hAnsi="Book Antiqua"/>
        </w:rPr>
        <w:t>COM</w:t>
      </w:r>
      <w:r w:rsidRPr="00CD0242" w:rsidR="00A561F7">
        <w:rPr>
          <w:rFonts w:ascii="Book Antiqua" w:hAnsi="Book Antiqua"/>
        </w:rPr>
        <w:t>/</w:t>
      </w:r>
      <w:r>
        <w:rPr>
          <w:rFonts w:ascii="Book Antiqua" w:hAnsi="Book Antiqua"/>
        </w:rPr>
        <w:t>MGA</w:t>
      </w:r>
      <w:r w:rsidRPr="00CD0242" w:rsidR="00B65771">
        <w:rPr>
          <w:rFonts w:ascii="Book Antiqua" w:hAnsi="Book Antiqua"/>
        </w:rPr>
        <w:t>/</w:t>
      </w:r>
      <w:proofErr w:type="spellStart"/>
      <w:r w:rsidRPr="00CD0242" w:rsidR="00EA1576">
        <w:rPr>
          <w:rFonts w:ascii="Book Antiqua" w:hAnsi="Book Antiqua"/>
        </w:rPr>
        <w:t>mln</w:t>
      </w:r>
      <w:proofErr w:type="spellEnd"/>
      <w:r w:rsidR="003412D9">
        <w:rPr>
          <w:rFonts w:ascii="Book Antiqua" w:hAnsi="Book Antiqua"/>
        </w:rPr>
        <w:t>/</w:t>
      </w:r>
      <w:proofErr w:type="spellStart"/>
      <w:r w:rsidR="003412D9">
        <w:rPr>
          <w:rFonts w:ascii="Book Antiqua" w:hAnsi="Book Antiqua"/>
        </w:rPr>
        <w:t>smt</w:t>
      </w:r>
      <w:proofErr w:type="spellEnd"/>
      <w:r w:rsidRPr="00270AB9" w:rsidR="00B637B2">
        <w:rPr>
          <w:szCs w:val="26"/>
        </w:rPr>
        <w:tab/>
        <w:t xml:space="preserve"> </w:t>
      </w:r>
      <w:r w:rsidRPr="00270AB9" w:rsidR="00B637B2">
        <w:rPr>
          <w:rFonts w:ascii="Arial" w:hAnsi="Arial" w:cs="Arial"/>
          <w:b/>
          <w:szCs w:val="26"/>
        </w:rPr>
        <w:t>PROPOSED DECISION</w:t>
      </w:r>
      <w:r w:rsidRPr="00270AB9" w:rsidR="00B637B2">
        <w:rPr>
          <w:szCs w:val="26"/>
        </w:rPr>
        <w:tab/>
      </w:r>
      <w:r w:rsidRPr="00B637B2" w:rsidR="00B637B2">
        <w:rPr>
          <w:rFonts w:ascii="Book Antiqua" w:hAnsi="Book Antiqua"/>
          <w:bCs/>
          <w:szCs w:val="26"/>
        </w:rPr>
        <w:t>Agenda ID#</w:t>
      </w:r>
      <w:r w:rsidR="003412D9">
        <w:rPr>
          <w:rFonts w:ascii="Book Antiqua" w:hAnsi="Book Antiqua"/>
          <w:bCs/>
          <w:szCs w:val="26"/>
        </w:rPr>
        <w:t xml:space="preserve"> 19527</w:t>
      </w:r>
    </w:p>
    <w:p w:rsidRPr="00B637B2" w:rsidR="00B637B2" w:rsidP="00B637B2" w:rsidRDefault="00B637B2" w14:paraId="3F6B6D47" w14:textId="77777777">
      <w:pPr>
        <w:tabs>
          <w:tab w:val="center" w:pos="4320"/>
          <w:tab w:val="right" w:pos="9360"/>
        </w:tabs>
        <w:rPr>
          <w:rFonts w:ascii="Book Antiqua" w:hAnsi="Book Antiqua"/>
          <w:szCs w:val="26"/>
        </w:rPr>
      </w:pPr>
      <w:r w:rsidRPr="00B637B2">
        <w:rPr>
          <w:rFonts w:ascii="Book Antiqua" w:hAnsi="Book Antiqua"/>
          <w:szCs w:val="26"/>
        </w:rPr>
        <w:tab/>
      </w:r>
      <w:r w:rsidRPr="00B637B2">
        <w:rPr>
          <w:rFonts w:ascii="Book Antiqua" w:hAnsi="Book Antiqua"/>
          <w:szCs w:val="26"/>
        </w:rPr>
        <w:tab/>
        <w:t>Quasi-legislative</w:t>
      </w:r>
    </w:p>
    <w:p w:rsidRPr="00B637B2" w:rsidR="00B637B2" w:rsidP="00B637B2" w:rsidRDefault="00B637B2" w14:paraId="174C0926" w14:textId="77777777">
      <w:pPr>
        <w:tabs>
          <w:tab w:val="center" w:pos="4680"/>
          <w:tab w:val="right" w:pos="9360"/>
        </w:tabs>
        <w:rPr>
          <w:rFonts w:ascii="Book Antiqua" w:hAnsi="Book Antiqua"/>
          <w:szCs w:val="26"/>
        </w:rPr>
      </w:pPr>
    </w:p>
    <w:p w:rsidRPr="00B637B2" w:rsidR="00B637B2" w:rsidP="00B637B2" w:rsidRDefault="00B637B2" w14:paraId="5B07ADCD" w14:textId="77777777">
      <w:pPr>
        <w:suppressAutoHyphens/>
        <w:rPr>
          <w:rFonts w:ascii="Book Antiqua" w:hAnsi="Book Antiqua"/>
          <w:szCs w:val="26"/>
        </w:rPr>
      </w:pPr>
      <w:r w:rsidRPr="00B637B2">
        <w:rPr>
          <w:rFonts w:ascii="Book Antiqua" w:hAnsi="Book Antiqua"/>
          <w:szCs w:val="26"/>
        </w:rPr>
        <w:t>Decision ____________</w:t>
      </w:r>
    </w:p>
    <w:p w:rsidR="00881F96" w:rsidP="00B637B2" w:rsidRDefault="00881F96" w14:paraId="3FAE3AC3" w14:textId="50A377C0">
      <w:pPr>
        <w:pStyle w:val="Header"/>
        <w:tabs>
          <w:tab w:val="clear" w:pos="4320"/>
          <w:tab w:val="clear" w:pos="8640"/>
          <w:tab w:val="center" w:pos="4680"/>
          <w:tab w:val="right" w:pos="9360"/>
        </w:tabs>
      </w:pPr>
    </w:p>
    <w:p w:rsidRPr="009B2873" w:rsidR="0089195D" w:rsidRDefault="0089195D" w14:paraId="744764B2" w14:textId="77777777">
      <w:pPr>
        <w:pStyle w:val="titlebar"/>
        <w:rPr>
          <w:rFonts w:ascii="Arial" w:hAnsi="Arial" w:cs="Arial"/>
          <w:sz w:val="24"/>
        </w:rPr>
      </w:pPr>
      <w:r w:rsidRPr="009B2873">
        <w:rPr>
          <w:rFonts w:ascii="Arial" w:hAnsi="Arial" w:cs="Arial"/>
          <w:sz w:val="24"/>
        </w:rPr>
        <w:t>BEFORE THE PUBLIC UTILITIES COMMISSION OF THE STATE OF CALIFORNIA</w:t>
      </w:r>
    </w:p>
    <w:p w:rsidRPr="00A3771F" w:rsidR="0089195D" w:rsidRDefault="0089195D" w14:paraId="71EEF27A" w14:textId="77777777">
      <w:pPr>
        <w:suppressAutoHyphens/>
        <w:rPr>
          <w:rFonts w:ascii="Book Antiqua" w:hAnsi="Book Antiqua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040"/>
        <w:gridCol w:w="4518"/>
      </w:tblGrid>
      <w:tr w:rsidRPr="00A4369A" w:rsidR="00052E5B" w:rsidTr="00FC65A3" w14:paraId="08BA93BE" w14:textId="77777777">
        <w:tc>
          <w:tcPr>
            <w:tcW w:w="504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052E5B" w:rsidP="00DF3179" w:rsidRDefault="00FC65A3" w14:paraId="72158796" w14:textId="04657D8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Order Instituting Rulemaking to Implement Senate Bill 237 Related to Direct Access.</w:t>
            </w:r>
          </w:p>
          <w:p w:rsidRPr="00A4369A" w:rsidR="00DA31B6" w:rsidP="00DF3179" w:rsidRDefault="00DA31B6" w14:paraId="1D42D5B3" w14:textId="4BB4CC7C">
            <w:pPr>
              <w:rPr>
                <w:rFonts w:ascii="Book Antiqua" w:hAnsi="Book Antiqua"/>
              </w:rPr>
            </w:pPr>
          </w:p>
        </w:tc>
        <w:tc>
          <w:tcPr>
            <w:tcW w:w="4518" w:type="dxa"/>
            <w:tcBorders>
              <w:left w:val="nil"/>
            </w:tcBorders>
            <w:shd w:val="clear" w:color="auto" w:fill="auto"/>
          </w:tcPr>
          <w:p w:rsidRPr="00A4369A" w:rsidR="00052E5B" w:rsidP="00DF3179" w:rsidRDefault="00052E5B" w14:paraId="280CEC86" w14:textId="77777777">
            <w:pPr>
              <w:jc w:val="center"/>
              <w:rPr>
                <w:rFonts w:ascii="Book Antiqua" w:hAnsi="Book Antiqua"/>
              </w:rPr>
            </w:pPr>
          </w:p>
          <w:p w:rsidRPr="00A4369A" w:rsidR="00052E5B" w:rsidP="00DF3179" w:rsidRDefault="00FC65A3" w14:paraId="698D44D5" w14:textId="3C88916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Rulemaking 19-03-009</w:t>
            </w:r>
          </w:p>
          <w:p w:rsidRPr="00A4369A" w:rsidR="00052E5B" w:rsidP="00DF3179" w:rsidRDefault="00052E5B" w14:paraId="6B9686B4" w14:textId="7777777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9195D" w:rsidRDefault="0089195D" w14:paraId="496C4CBA" w14:textId="77777777"/>
    <w:p w:rsidRPr="00A3771F" w:rsidR="0089195D" w:rsidRDefault="0089195D" w14:paraId="5AC8607F" w14:textId="77777777">
      <w:pPr>
        <w:jc w:val="center"/>
        <w:rPr>
          <w:rFonts w:ascii="Arial" w:hAnsi="Arial" w:cs="Arial"/>
          <w:b/>
          <w:szCs w:val="26"/>
        </w:rPr>
      </w:pPr>
      <w:bookmarkStart w:name="_Toc370798909" w:id="0"/>
      <w:r w:rsidRPr="00A3771F">
        <w:rPr>
          <w:rFonts w:ascii="Arial" w:hAnsi="Arial" w:cs="Arial"/>
          <w:b/>
          <w:szCs w:val="26"/>
        </w:rPr>
        <w:t>ORDER EXTENDING STATUTORY DEADLINE</w:t>
      </w:r>
    </w:p>
    <w:bookmarkEnd w:id="0"/>
    <w:p w:rsidR="0089195D" w:rsidP="00107949" w:rsidRDefault="0089195D" w14:paraId="542ADBAD" w14:textId="77777777">
      <w:pPr>
        <w:tabs>
          <w:tab w:val="left" w:pos="3493"/>
        </w:tabs>
        <w:suppressAutoHyphens/>
      </w:pPr>
    </w:p>
    <w:p w:rsidRPr="009B2873" w:rsidR="003A3FFB" w:rsidP="007A6B7B" w:rsidRDefault="003A3FFB" w14:paraId="0B3A5923" w14:textId="77777777">
      <w:pPr>
        <w:keepNext/>
        <w:tabs>
          <w:tab w:val="center" w:pos="4680"/>
        </w:tabs>
        <w:spacing w:before="120" w:after="120"/>
        <w:outlineLvl w:val="0"/>
        <w:rPr>
          <w:rFonts w:ascii="Arial" w:hAnsi="Arial" w:cs="Arial"/>
          <w:b/>
        </w:rPr>
      </w:pPr>
      <w:bookmarkStart w:name="_Toc370798910" w:id="1"/>
      <w:r w:rsidRPr="009B2873">
        <w:rPr>
          <w:rFonts w:ascii="Arial" w:hAnsi="Arial" w:cs="Arial"/>
          <w:b/>
        </w:rPr>
        <w:t>Summary</w:t>
      </w:r>
    </w:p>
    <w:p w:rsidRPr="0072487E" w:rsidR="003A3FFB" w:rsidP="003A3FFB" w:rsidRDefault="00961995" w14:paraId="587A4CA9" w14:textId="58BA2488">
      <w:pPr>
        <w:spacing w:line="360" w:lineRule="auto"/>
        <w:ind w:firstLine="720"/>
        <w:rPr>
          <w:rFonts w:ascii="Book Antiqua" w:hAnsi="Book Antiqua"/>
        </w:rPr>
      </w:pPr>
      <w:r w:rsidRPr="00961995">
        <w:rPr>
          <w:rFonts w:ascii="Book Antiqua" w:hAnsi="Book Antiqua"/>
        </w:rPr>
        <w:t>This decision extends the statutory deadline in th</w:t>
      </w:r>
      <w:r w:rsidR="00976447">
        <w:rPr>
          <w:rFonts w:ascii="Book Antiqua" w:hAnsi="Book Antiqua"/>
        </w:rPr>
        <w:t>is</w:t>
      </w:r>
      <w:r w:rsidRPr="00961995">
        <w:rPr>
          <w:rFonts w:ascii="Book Antiqua" w:hAnsi="Book Antiqua"/>
        </w:rPr>
        <w:t xml:space="preserve"> proceeding until </w:t>
      </w:r>
      <w:r>
        <w:rPr>
          <w:rFonts w:ascii="Book Antiqua" w:hAnsi="Book Antiqua"/>
        </w:rPr>
        <w:br/>
      </w:r>
      <w:r w:rsidR="00214506">
        <w:rPr>
          <w:rFonts w:ascii="Book Antiqua" w:hAnsi="Book Antiqua"/>
        </w:rPr>
        <w:t>August 12</w:t>
      </w:r>
      <w:r w:rsidRPr="00961995">
        <w:rPr>
          <w:rFonts w:ascii="Book Antiqua" w:hAnsi="Book Antiqua"/>
        </w:rPr>
        <w:t>, 2021</w:t>
      </w:r>
      <w:r w:rsidRPr="006303F9" w:rsidR="006303F9">
        <w:rPr>
          <w:rFonts w:ascii="Book Antiqua" w:hAnsi="Book Antiqua"/>
        </w:rPr>
        <w:t>.</w:t>
      </w:r>
    </w:p>
    <w:p w:rsidRPr="009B2873" w:rsidR="003A3FFB" w:rsidP="0074207C" w:rsidRDefault="003A3FFB" w14:paraId="66DBCB08" w14:textId="63ACAD5F">
      <w:pPr>
        <w:pStyle w:val="ListParagraph"/>
        <w:keepNext/>
        <w:numPr>
          <w:ilvl w:val="0"/>
          <w:numId w:val="8"/>
        </w:numPr>
        <w:spacing w:after="120"/>
        <w:ind w:left="446" w:hanging="446"/>
        <w:contextualSpacing w:val="0"/>
        <w:outlineLvl w:val="0"/>
        <w:rPr>
          <w:rFonts w:ascii="Arial" w:hAnsi="Arial" w:cs="Arial"/>
          <w:b/>
        </w:rPr>
      </w:pPr>
      <w:r w:rsidRPr="009B2873">
        <w:rPr>
          <w:rFonts w:ascii="Arial" w:hAnsi="Arial" w:cs="Arial"/>
          <w:b/>
        </w:rPr>
        <w:t>Background</w:t>
      </w:r>
      <w:bookmarkEnd w:id="1"/>
      <w:r w:rsidR="00411BD5">
        <w:rPr>
          <w:rFonts w:ascii="Arial" w:hAnsi="Arial" w:cs="Arial"/>
          <w:b/>
        </w:rPr>
        <w:t>; Need for Extension Order</w:t>
      </w:r>
    </w:p>
    <w:p w:rsidRPr="00C27B5A" w:rsidR="00C27B5A" w:rsidP="00C27B5A" w:rsidRDefault="00C27B5A" w14:paraId="68015DB4" w14:textId="67EF7E59">
      <w:pPr>
        <w:pStyle w:val="standard"/>
        <w:rPr>
          <w:rFonts w:ascii="Book Antiqua" w:hAnsi="Book Antiqua"/>
        </w:rPr>
      </w:pPr>
      <w:bookmarkStart w:name="_Hlk46485518" w:id="2"/>
      <w:bookmarkStart w:name="_Hlk46402520" w:id="3"/>
      <w:r w:rsidRPr="00C27B5A">
        <w:rPr>
          <w:rFonts w:ascii="Book Antiqua" w:hAnsi="Book Antiqua"/>
        </w:rPr>
        <w:t xml:space="preserve">Pub. Util. Code § 1701.5(a) provides that </w:t>
      </w:r>
      <w:r w:rsidR="00FC65A3">
        <w:rPr>
          <w:rFonts w:ascii="Book Antiqua" w:hAnsi="Book Antiqua"/>
        </w:rPr>
        <w:t xml:space="preserve">quasi-legislative </w:t>
      </w:r>
      <w:r w:rsidRPr="00C27B5A">
        <w:rPr>
          <w:rFonts w:ascii="Book Antiqua" w:hAnsi="Book Antiqua"/>
        </w:rPr>
        <w:t>cases must be resolved within 18 months after initiation unless the Commission makes a written determination that the deadline cannot be met, including findings as to the reason, and issues an order extending that deadline.  In th</w:t>
      </w:r>
      <w:r w:rsidR="00826831">
        <w:rPr>
          <w:rFonts w:ascii="Book Antiqua" w:hAnsi="Book Antiqua"/>
        </w:rPr>
        <w:t>is</w:t>
      </w:r>
      <w:r w:rsidRPr="00C27B5A">
        <w:rPr>
          <w:rFonts w:ascii="Book Antiqua" w:hAnsi="Book Antiqua"/>
        </w:rPr>
        <w:t xml:space="preserve"> proceeding, the 18-month deadline for resolution </w:t>
      </w:r>
      <w:r w:rsidR="00826831">
        <w:rPr>
          <w:rFonts w:ascii="Book Antiqua" w:hAnsi="Book Antiqua"/>
        </w:rPr>
        <w:t>was</w:t>
      </w:r>
      <w:r w:rsidRPr="00C27B5A">
        <w:rPr>
          <w:rFonts w:ascii="Book Antiqua" w:hAnsi="Book Antiqua"/>
        </w:rPr>
        <w:t xml:space="preserve"> September </w:t>
      </w:r>
      <w:r w:rsidR="00FC65A3">
        <w:rPr>
          <w:rFonts w:ascii="Book Antiqua" w:hAnsi="Book Antiqua"/>
        </w:rPr>
        <w:t>1</w:t>
      </w:r>
      <w:r w:rsidR="00A97300">
        <w:rPr>
          <w:rFonts w:ascii="Book Antiqua" w:hAnsi="Book Antiqua"/>
        </w:rPr>
        <w:t>2</w:t>
      </w:r>
      <w:r w:rsidRPr="00C27B5A">
        <w:rPr>
          <w:rFonts w:ascii="Book Antiqua" w:hAnsi="Book Antiqua"/>
        </w:rPr>
        <w:t>, 2020</w:t>
      </w:r>
      <w:r w:rsidRPr="009D4C50">
        <w:rPr>
          <w:rFonts w:ascii="Book Antiqua" w:hAnsi="Book Antiqua"/>
        </w:rPr>
        <w:t xml:space="preserve">. </w:t>
      </w:r>
      <w:r w:rsidRPr="009D4C50" w:rsidR="00826831">
        <w:rPr>
          <w:rFonts w:ascii="Book Antiqua" w:hAnsi="Book Antiqua"/>
        </w:rPr>
        <w:t xml:space="preserve"> The Commission </w:t>
      </w:r>
      <w:r w:rsidRPr="009D4C50" w:rsidR="00214506">
        <w:rPr>
          <w:rFonts w:ascii="Book Antiqua" w:hAnsi="Book Antiqua"/>
        </w:rPr>
        <w:t xml:space="preserve">has extended the statutory deadline of this proceeding and the most recent </w:t>
      </w:r>
      <w:r w:rsidRPr="009D4C50" w:rsidR="00826831">
        <w:rPr>
          <w:rFonts w:ascii="Book Antiqua" w:hAnsi="Book Antiqua"/>
        </w:rPr>
        <w:t xml:space="preserve">Decision (D.) </w:t>
      </w:r>
      <w:r w:rsidRPr="009D4C50" w:rsidR="00214506">
        <w:rPr>
          <w:rFonts w:ascii="Book Antiqua" w:hAnsi="Book Antiqua"/>
        </w:rPr>
        <w:t>21-03-018</w:t>
      </w:r>
      <w:r w:rsidRPr="009D4C50" w:rsidR="00826831">
        <w:rPr>
          <w:rFonts w:ascii="Book Antiqua" w:hAnsi="Book Antiqua"/>
        </w:rPr>
        <w:t xml:space="preserve"> issued on </w:t>
      </w:r>
      <w:r w:rsidRPr="009D4C50" w:rsidR="00214506">
        <w:rPr>
          <w:rFonts w:ascii="Book Antiqua" w:hAnsi="Book Antiqua"/>
        </w:rPr>
        <w:t>March 4, 2021</w:t>
      </w:r>
      <w:r w:rsidRPr="009D4C50" w:rsidR="004B6AE4">
        <w:rPr>
          <w:rFonts w:ascii="Book Antiqua" w:hAnsi="Book Antiqua"/>
        </w:rPr>
        <w:t>,</w:t>
      </w:r>
      <w:r w:rsidRPr="009D4C50" w:rsidR="00826831">
        <w:rPr>
          <w:rFonts w:ascii="Book Antiqua" w:hAnsi="Book Antiqua"/>
        </w:rPr>
        <w:t xml:space="preserve"> extended the statutory deadline of this proceeding to </w:t>
      </w:r>
      <w:r w:rsidRPr="009D4C50" w:rsidR="00214506">
        <w:rPr>
          <w:rFonts w:ascii="Book Antiqua" w:hAnsi="Book Antiqua"/>
        </w:rPr>
        <w:t>June 30,</w:t>
      </w:r>
      <w:r w:rsidRPr="009D4C50" w:rsidR="00826831">
        <w:rPr>
          <w:rFonts w:ascii="Book Antiqua" w:hAnsi="Book Antiqua"/>
        </w:rPr>
        <w:t xml:space="preserve"> 2021.</w:t>
      </w:r>
      <w:r w:rsidR="00826831">
        <w:rPr>
          <w:rFonts w:ascii="Book Antiqua" w:hAnsi="Book Antiqua"/>
        </w:rPr>
        <w:t xml:space="preserve"> </w:t>
      </w:r>
    </w:p>
    <w:p w:rsidRPr="00AF513B" w:rsidR="00FC65A3" w:rsidP="00C27B5A" w:rsidRDefault="00C27B5A" w14:paraId="3E1927D4" w14:textId="55759C43">
      <w:pPr>
        <w:pStyle w:val="standard"/>
        <w:rPr>
          <w:rFonts w:ascii="Book Antiqua" w:hAnsi="Book Antiqua"/>
          <w:szCs w:val="26"/>
        </w:rPr>
      </w:pPr>
      <w:r w:rsidRPr="00AF513B">
        <w:rPr>
          <w:rFonts w:ascii="Book Antiqua" w:hAnsi="Book Antiqua"/>
          <w:szCs w:val="26"/>
        </w:rPr>
        <w:t xml:space="preserve">On </w:t>
      </w:r>
      <w:r w:rsidRPr="00AF513B" w:rsidR="00FC65A3">
        <w:rPr>
          <w:rFonts w:ascii="Book Antiqua" w:hAnsi="Book Antiqua"/>
          <w:szCs w:val="26"/>
        </w:rPr>
        <w:t xml:space="preserve">March </w:t>
      </w:r>
      <w:r w:rsidRPr="00AF513B" w:rsidR="00A97300">
        <w:rPr>
          <w:rFonts w:ascii="Book Antiqua" w:hAnsi="Book Antiqua"/>
          <w:szCs w:val="26"/>
        </w:rPr>
        <w:t>14</w:t>
      </w:r>
      <w:r w:rsidRPr="00AF513B" w:rsidR="00FC65A3">
        <w:rPr>
          <w:rFonts w:ascii="Book Antiqua" w:hAnsi="Book Antiqua"/>
          <w:szCs w:val="26"/>
        </w:rPr>
        <w:t xml:space="preserve">, 2019, the Commission </w:t>
      </w:r>
      <w:r w:rsidRPr="00AF513B" w:rsidR="00A97300">
        <w:rPr>
          <w:rFonts w:ascii="Book Antiqua" w:hAnsi="Book Antiqua"/>
          <w:szCs w:val="26"/>
        </w:rPr>
        <w:t xml:space="preserve">voted to institute </w:t>
      </w:r>
      <w:r w:rsidRPr="00AF513B" w:rsidR="00FC65A3">
        <w:rPr>
          <w:rFonts w:ascii="Book Antiqua" w:hAnsi="Book Antiqua"/>
          <w:szCs w:val="26"/>
        </w:rPr>
        <w:t>Rulemaking</w:t>
      </w:r>
      <w:r w:rsidR="00DB3303">
        <w:rPr>
          <w:rFonts w:ascii="Book Antiqua" w:hAnsi="Book Antiqua"/>
          <w:szCs w:val="26"/>
        </w:rPr>
        <w:t xml:space="preserve"> </w:t>
      </w:r>
      <w:r w:rsidR="003412D9">
        <w:rPr>
          <w:rFonts w:ascii="Book Antiqua" w:hAnsi="Book Antiqua"/>
          <w:szCs w:val="26"/>
        </w:rPr>
        <w:br/>
        <w:t xml:space="preserve">(R.) </w:t>
      </w:r>
      <w:r w:rsidRPr="00AF513B" w:rsidR="00FC65A3">
        <w:rPr>
          <w:rFonts w:ascii="Book Antiqua" w:hAnsi="Book Antiqua"/>
          <w:szCs w:val="26"/>
        </w:rPr>
        <w:t>19-03-009, pursuant to Senate Bill (SB) 237,</w:t>
      </w:r>
      <w:r w:rsidRPr="00AF513B" w:rsidR="00FC65A3">
        <w:rPr>
          <w:rStyle w:val="FootnoteReference"/>
          <w:rFonts w:ascii="Book Antiqua" w:hAnsi="Book Antiqua"/>
          <w:sz w:val="26"/>
          <w:szCs w:val="26"/>
        </w:rPr>
        <w:footnoteReference w:id="2"/>
      </w:r>
      <w:r w:rsidRPr="00AF513B" w:rsidR="00FC65A3">
        <w:rPr>
          <w:rFonts w:ascii="Book Antiqua" w:hAnsi="Book Antiqua"/>
          <w:szCs w:val="26"/>
        </w:rPr>
        <w:t xml:space="preserve"> which concerns direct access transactions. </w:t>
      </w:r>
      <w:r w:rsidR="00E30ADE">
        <w:rPr>
          <w:rFonts w:ascii="Book Antiqua" w:hAnsi="Book Antiqua"/>
          <w:szCs w:val="26"/>
        </w:rPr>
        <w:t xml:space="preserve"> </w:t>
      </w:r>
      <w:r w:rsidRPr="00AF513B" w:rsidR="00FC65A3">
        <w:rPr>
          <w:rFonts w:ascii="Book Antiqua" w:hAnsi="Book Antiqua"/>
          <w:szCs w:val="26"/>
        </w:rPr>
        <w:t xml:space="preserve">A prehearing conference was held on April 4, 2019, to discuss the </w:t>
      </w:r>
      <w:r w:rsidRPr="00AF513B" w:rsidR="00FC65A3">
        <w:rPr>
          <w:rFonts w:ascii="Book Antiqua" w:hAnsi="Book Antiqua"/>
          <w:szCs w:val="26"/>
        </w:rPr>
        <w:lastRenderedPageBreak/>
        <w:t xml:space="preserve">issues of law and fact, and determine the need for hearing and schedule for the rulemaking. </w:t>
      </w:r>
      <w:r w:rsidR="00F825B4">
        <w:rPr>
          <w:rFonts w:ascii="Book Antiqua" w:hAnsi="Book Antiqua"/>
          <w:szCs w:val="26"/>
        </w:rPr>
        <w:t xml:space="preserve"> </w:t>
      </w:r>
      <w:r w:rsidRPr="00AF513B" w:rsidR="00FC65A3">
        <w:rPr>
          <w:rFonts w:ascii="Book Antiqua" w:hAnsi="Book Antiqua"/>
          <w:szCs w:val="26"/>
        </w:rPr>
        <w:t>On April 17, 2019, the assigned Commissioner issued a scoping memo establishing two phases for this proceeding (</w:t>
      </w:r>
      <w:r w:rsidRPr="007B1655" w:rsidR="00FC65A3">
        <w:rPr>
          <w:rFonts w:ascii="Book Antiqua" w:hAnsi="Book Antiqua"/>
          <w:i/>
          <w:iCs/>
          <w:szCs w:val="26"/>
        </w:rPr>
        <w:t>i.e</w:t>
      </w:r>
      <w:r w:rsidRPr="00AF513B" w:rsidR="00FC65A3">
        <w:rPr>
          <w:rFonts w:ascii="Book Antiqua" w:hAnsi="Book Antiqua"/>
          <w:szCs w:val="26"/>
        </w:rPr>
        <w:t xml:space="preserve">., Phase 1 and Phase 2). </w:t>
      </w:r>
      <w:r w:rsidR="00E30ADE">
        <w:rPr>
          <w:rFonts w:ascii="Book Antiqua" w:hAnsi="Book Antiqua"/>
          <w:szCs w:val="26"/>
        </w:rPr>
        <w:t xml:space="preserve"> </w:t>
      </w:r>
      <w:r w:rsidRPr="00AF513B" w:rsidR="00FC65A3">
        <w:rPr>
          <w:rFonts w:ascii="Book Antiqua" w:hAnsi="Book Antiqua"/>
          <w:szCs w:val="26"/>
        </w:rPr>
        <w:t xml:space="preserve">Phase 1 addressed the </w:t>
      </w:r>
      <w:r w:rsidR="006C5E0A">
        <w:rPr>
          <w:rFonts w:ascii="Book Antiqua" w:hAnsi="Book Antiqua"/>
          <w:szCs w:val="26"/>
        </w:rPr>
        <w:t>Senate Bill (</w:t>
      </w:r>
      <w:r w:rsidRPr="00AF513B" w:rsidR="00FC65A3">
        <w:rPr>
          <w:rFonts w:ascii="Book Antiqua" w:hAnsi="Book Antiqua"/>
          <w:szCs w:val="26"/>
        </w:rPr>
        <w:t>SB</w:t>
      </w:r>
      <w:r w:rsidR="006C5E0A">
        <w:rPr>
          <w:rFonts w:ascii="Book Antiqua" w:hAnsi="Book Antiqua"/>
          <w:szCs w:val="26"/>
        </w:rPr>
        <w:t>)</w:t>
      </w:r>
      <w:r w:rsidRPr="00AF513B" w:rsidR="00FC65A3">
        <w:rPr>
          <w:rFonts w:ascii="Book Antiqua" w:hAnsi="Book Antiqua"/>
          <w:szCs w:val="26"/>
        </w:rPr>
        <w:t xml:space="preserve"> 237 mandate for the Commission to increase the maximum allowable kilowatt-hour annual limit for direct access transactions by 4,000 Gigawatt hours and apportion the increase among the service territories of the large investor-owned utilities, which are Pacific Gas and Electric Company, San Diego Gas &amp; Electric Company, and Southern California Edison Company.</w:t>
      </w:r>
    </w:p>
    <w:p w:rsidRPr="00AF513B" w:rsidR="00FC65A3" w:rsidP="00C27B5A" w:rsidRDefault="00FC65A3" w14:paraId="280D76C1" w14:textId="5338E282">
      <w:pPr>
        <w:pStyle w:val="standard"/>
        <w:rPr>
          <w:rFonts w:ascii="Book Antiqua" w:hAnsi="Book Antiqua"/>
          <w:szCs w:val="26"/>
        </w:rPr>
      </w:pPr>
      <w:r w:rsidRPr="00AF513B">
        <w:rPr>
          <w:rFonts w:ascii="Book Antiqua" w:hAnsi="Book Antiqua"/>
          <w:szCs w:val="26"/>
        </w:rPr>
        <w:t xml:space="preserve">The Commission issued two decisions resolving Phase 1 issues:  </w:t>
      </w:r>
      <w:r w:rsidR="003412D9">
        <w:rPr>
          <w:rFonts w:ascii="Book Antiqua" w:hAnsi="Book Antiqua"/>
          <w:szCs w:val="26"/>
        </w:rPr>
        <w:br/>
      </w:r>
      <w:r w:rsidRPr="00AF513B">
        <w:rPr>
          <w:rFonts w:ascii="Book Antiqua" w:hAnsi="Book Antiqua"/>
          <w:szCs w:val="26"/>
        </w:rPr>
        <w:t xml:space="preserve">D.19-05-043 and D.19-08-004. </w:t>
      </w:r>
      <w:r w:rsidR="006C5251">
        <w:rPr>
          <w:rFonts w:ascii="Book Antiqua" w:hAnsi="Book Antiqua"/>
          <w:szCs w:val="26"/>
        </w:rPr>
        <w:t xml:space="preserve"> </w:t>
      </w:r>
      <w:r w:rsidRPr="00AF513B">
        <w:rPr>
          <w:rFonts w:ascii="Book Antiqua" w:hAnsi="Book Antiqua"/>
          <w:szCs w:val="26"/>
        </w:rPr>
        <w:t xml:space="preserve">For Phase 2 of this proceeding, the Commission will address the SB 237 mandate requiring the Commission to provide recommendations to the legislature on “implementing a </w:t>
      </w:r>
      <w:proofErr w:type="gramStart"/>
      <w:r w:rsidRPr="00AF513B">
        <w:rPr>
          <w:rFonts w:ascii="Book Antiqua" w:hAnsi="Book Antiqua"/>
          <w:szCs w:val="26"/>
        </w:rPr>
        <w:t>further direct transactions</w:t>
      </w:r>
      <w:proofErr w:type="gramEnd"/>
      <w:r w:rsidRPr="00AF513B">
        <w:rPr>
          <w:rFonts w:ascii="Book Antiqua" w:hAnsi="Book Antiqua"/>
          <w:szCs w:val="26"/>
        </w:rPr>
        <w:t xml:space="preserve"> reopening schedule, including, but not limited to, the phase-in period over which further direct transactions shall occur for all remaining nonresidential customer accounts in each electrical corporation’s service territory.”</w:t>
      </w:r>
      <w:r w:rsidRPr="00AF513B">
        <w:rPr>
          <w:rStyle w:val="FootnoteReference"/>
          <w:rFonts w:ascii="Book Antiqua" w:hAnsi="Book Antiqua"/>
          <w:sz w:val="26"/>
          <w:szCs w:val="26"/>
        </w:rPr>
        <w:footnoteReference w:id="3"/>
      </w:r>
    </w:p>
    <w:p w:rsidRPr="009D4C50" w:rsidR="00976447" w:rsidP="00976447" w:rsidRDefault="00976447" w14:paraId="31F1D4A8" w14:textId="3A79FB99">
      <w:pPr>
        <w:pStyle w:val="standard"/>
        <w:rPr>
          <w:rFonts w:ascii="Book Antiqua" w:hAnsi="Book Antiqua"/>
          <w:szCs w:val="26"/>
        </w:rPr>
      </w:pPr>
      <w:r w:rsidRPr="00976447">
        <w:rPr>
          <w:rFonts w:ascii="Book Antiqua" w:hAnsi="Book Antiqua"/>
          <w:szCs w:val="26"/>
        </w:rPr>
        <w:t xml:space="preserve">An Amended Scoping Memo and Ruling of Assigned Commissioner was issued on December 19, 2019 to address Phase 2. </w:t>
      </w:r>
      <w:r w:rsidR="00F825B4">
        <w:rPr>
          <w:rFonts w:ascii="Book Antiqua" w:hAnsi="Book Antiqua"/>
          <w:szCs w:val="26"/>
        </w:rPr>
        <w:t xml:space="preserve"> </w:t>
      </w:r>
      <w:r w:rsidRPr="00976447">
        <w:rPr>
          <w:rFonts w:ascii="Book Antiqua" w:hAnsi="Book Antiqua"/>
          <w:szCs w:val="26"/>
        </w:rPr>
        <w:t xml:space="preserve">As directed in the Amended Scoping Memo, Energy Division staff conducted a study to inform the Commission’s recommendations to the legislature. </w:t>
      </w:r>
      <w:r w:rsidR="00F825B4">
        <w:rPr>
          <w:rFonts w:ascii="Book Antiqua" w:hAnsi="Book Antiqua"/>
          <w:szCs w:val="26"/>
        </w:rPr>
        <w:t xml:space="preserve"> </w:t>
      </w:r>
      <w:r w:rsidRPr="00976447">
        <w:rPr>
          <w:rFonts w:ascii="Book Antiqua" w:hAnsi="Book Antiqua"/>
          <w:szCs w:val="26"/>
        </w:rPr>
        <w:t xml:space="preserve">The study preparation began in late 2019 when parties provided comments on the issues that should be considered in the study. </w:t>
      </w:r>
      <w:r w:rsidR="00F825B4">
        <w:rPr>
          <w:rFonts w:ascii="Book Antiqua" w:hAnsi="Book Antiqua"/>
          <w:szCs w:val="26"/>
        </w:rPr>
        <w:t xml:space="preserve"> </w:t>
      </w:r>
      <w:r w:rsidRPr="00976447">
        <w:rPr>
          <w:rFonts w:ascii="Book Antiqua" w:hAnsi="Book Antiqua"/>
          <w:szCs w:val="26"/>
        </w:rPr>
        <w:t xml:space="preserve">The study was issued for comment on </w:t>
      </w:r>
      <w:r w:rsidR="00F825B4">
        <w:rPr>
          <w:rFonts w:ascii="Book Antiqua" w:hAnsi="Book Antiqua"/>
          <w:szCs w:val="26"/>
        </w:rPr>
        <w:br/>
      </w:r>
      <w:r w:rsidRPr="00976447">
        <w:rPr>
          <w:rFonts w:ascii="Book Antiqua" w:hAnsi="Book Antiqua"/>
          <w:szCs w:val="26"/>
        </w:rPr>
        <w:t xml:space="preserve">September 28, </w:t>
      </w:r>
      <w:r w:rsidRPr="00AB5646" w:rsidR="00AB5646">
        <w:rPr>
          <w:rFonts w:ascii="Book Antiqua" w:hAnsi="Book Antiqua"/>
          <w:szCs w:val="26"/>
        </w:rPr>
        <w:t>2020.</w:t>
      </w:r>
      <w:r w:rsidR="00F825B4">
        <w:rPr>
          <w:rFonts w:ascii="Book Antiqua" w:hAnsi="Book Antiqua"/>
          <w:szCs w:val="26"/>
        </w:rPr>
        <w:t xml:space="preserve"> </w:t>
      </w:r>
      <w:r w:rsidRPr="00AB5646" w:rsidR="00AB5646">
        <w:rPr>
          <w:rFonts w:ascii="Book Antiqua" w:hAnsi="Book Antiqua"/>
          <w:szCs w:val="26"/>
        </w:rPr>
        <w:t xml:space="preserve"> Comments were filed on October 6, 2020 and reply </w:t>
      </w:r>
      <w:r w:rsidRPr="00AB5646" w:rsidR="00AB5646">
        <w:rPr>
          <w:rFonts w:ascii="Book Antiqua" w:hAnsi="Book Antiqua"/>
          <w:szCs w:val="26"/>
        </w:rPr>
        <w:lastRenderedPageBreak/>
        <w:t xml:space="preserve">comments were filed on October 26, 2020.  </w:t>
      </w:r>
      <w:r w:rsidRPr="009D4C50" w:rsidR="00AB5646">
        <w:rPr>
          <w:rFonts w:ascii="Book Antiqua" w:hAnsi="Book Antiqua"/>
          <w:szCs w:val="26"/>
        </w:rPr>
        <w:t xml:space="preserve">A proposed decision </w:t>
      </w:r>
      <w:r w:rsidRPr="009D4C50" w:rsidR="004B6AE4">
        <w:rPr>
          <w:rFonts w:ascii="Book Antiqua" w:hAnsi="Book Antiqua"/>
          <w:szCs w:val="26"/>
        </w:rPr>
        <w:t>was issued for public review and comments on May 14, 2021</w:t>
      </w:r>
      <w:r w:rsidRPr="009D4C50" w:rsidR="00AB5646">
        <w:rPr>
          <w:rFonts w:ascii="Book Antiqua" w:hAnsi="Book Antiqua"/>
          <w:szCs w:val="26"/>
        </w:rPr>
        <w:t>.</w:t>
      </w:r>
    </w:p>
    <w:p w:rsidR="00470CCF" w:rsidP="00F825B4" w:rsidRDefault="00976447" w14:paraId="118D5836" w14:textId="44B5CC2A">
      <w:pPr>
        <w:pStyle w:val="Standard0"/>
      </w:pPr>
      <w:r w:rsidRPr="009D4C50">
        <w:t xml:space="preserve">An extension of the statutory deadline until </w:t>
      </w:r>
      <w:r w:rsidRPr="009D4C50" w:rsidR="004B6AE4">
        <w:t>August 12</w:t>
      </w:r>
      <w:r w:rsidRPr="009D4C50">
        <w:t>, 2021, is necessary to allow time for parties to comment on the proposed decision and for the Commission to consider those comments prior to adopting a decision with recommendations to the legislature.</w:t>
      </w:r>
    </w:p>
    <w:bookmarkEnd w:id="2"/>
    <w:p w:rsidRPr="009B2873" w:rsidR="00461787" w:rsidP="0074207C" w:rsidRDefault="00461787" w14:paraId="5FB37B53" w14:textId="77777777">
      <w:pPr>
        <w:pStyle w:val="Heading1"/>
        <w:numPr>
          <w:ilvl w:val="0"/>
          <w:numId w:val="8"/>
        </w:numPr>
        <w:spacing w:before="0"/>
        <w:ind w:left="446" w:hanging="446"/>
        <w:rPr>
          <w:rFonts w:ascii="Arial" w:hAnsi="Arial" w:cs="Arial"/>
        </w:rPr>
      </w:pPr>
      <w:r w:rsidRPr="009B2873">
        <w:rPr>
          <w:rFonts w:ascii="Arial" w:hAnsi="Arial" w:cs="Arial"/>
        </w:rPr>
        <w:t>Waiver of Comment Period</w:t>
      </w:r>
    </w:p>
    <w:p w:rsidRPr="00C05D14" w:rsidR="00461787" w:rsidP="00F825B4" w:rsidRDefault="00C27B5A" w14:paraId="038F1219" w14:textId="6BCC6364">
      <w:pPr>
        <w:pStyle w:val="Standard0"/>
        <w:rPr>
          <w:rFonts w:cs="Arial"/>
        </w:rPr>
      </w:pPr>
      <w:r w:rsidRPr="00C27B5A">
        <w:t>Under Rule 14.6(c)(4) of the Rules of Practice and Procedure, the Commission may waive the otherwise applicable 30-day period for public review and comment on a decision that extends the 18-month deadline outlined in Pub. Util. Code § 1701.5(a).  Under the circumstances of this case, it is appropriate to waive the 30-day period for public review and comment</w:t>
      </w:r>
      <w:r w:rsidRPr="00C05D14" w:rsidR="00502987">
        <w:t>.</w:t>
      </w:r>
      <w:bookmarkEnd w:id="3"/>
    </w:p>
    <w:p w:rsidRPr="009B2873" w:rsidR="0089195D" w:rsidP="0074207C" w:rsidRDefault="0089195D" w14:paraId="51F15AFB" w14:textId="77777777">
      <w:pPr>
        <w:pStyle w:val="Heading1"/>
        <w:numPr>
          <w:ilvl w:val="0"/>
          <w:numId w:val="8"/>
        </w:numPr>
        <w:spacing w:before="0"/>
        <w:ind w:left="446" w:hanging="446"/>
        <w:rPr>
          <w:rFonts w:ascii="Arial" w:hAnsi="Arial" w:cs="Arial"/>
        </w:rPr>
      </w:pPr>
      <w:r w:rsidRPr="009B2873">
        <w:rPr>
          <w:rFonts w:ascii="Arial" w:hAnsi="Arial" w:cs="Arial"/>
        </w:rPr>
        <w:t>Assignment of Proceeding</w:t>
      </w:r>
    </w:p>
    <w:p w:rsidRPr="00C05D14" w:rsidR="0089195D" w:rsidRDefault="00A97300" w14:paraId="333C1E89" w14:textId="485670F0">
      <w:pPr>
        <w:pStyle w:val="standard"/>
        <w:rPr>
          <w:rFonts w:ascii="Book Antiqua" w:hAnsi="Book Antiqua"/>
        </w:rPr>
      </w:pPr>
      <w:r>
        <w:rPr>
          <w:rFonts w:ascii="Book Antiqua" w:hAnsi="Book Antiqua"/>
          <w:color w:val="000000" w:themeColor="text1"/>
        </w:rPr>
        <w:t>Martha Guzman</w:t>
      </w:r>
      <w:r w:rsidR="00E04FB0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Aceves</w:t>
      </w:r>
      <w:r w:rsidRPr="00646127" w:rsidR="00C27B5A">
        <w:rPr>
          <w:rFonts w:ascii="Book Antiqua" w:hAnsi="Book Antiqua"/>
          <w:color w:val="000000" w:themeColor="text1"/>
        </w:rPr>
        <w:t xml:space="preserve"> is the assigned Commissioner, and </w:t>
      </w:r>
      <w:r w:rsidR="003412D9">
        <w:rPr>
          <w:rFonts w:ascii="Book Antiqua" w:hAnsi="Book Antiqua"/>
          <w:color w:val="000000" w:themeColor="text1"/>
        </w:rPr>
        <w:br/>
      </w:r>
      <w:r w:rsidRPr="00646127" w:rsidR="00C27B5A">
        <w:rPr>
          <w:rFonts w:ascii="Book Antiqua" w:hAnsi="Book Antiqua"/>
          <w:color w:val="000000" w:themeColor="text1"/>
        </w:rPr>
        <w:t>Jeanne McKinney is the assigned A</w:t>
      </w:r>
      <w:r w:rsidR="00F825B4">
        <w:rPr>
          <w:rFonts w:ascii="Book Antiqua" w:hAnsi="Book Antiqua"/>
          <w:color w:val="000000" w:themeColor="text1"/>
        </w:rPr>
        <w:t xml:space="preserve">dministrative </w:t>
      </w:r>
      <w:r w:rsidRPr="00646127" w:rsidR="00C27B5A">
        <w:rPr>
          <w:rFonts w:ascii="Book Antiqua" w:hAnsi="Book Antiqua"/>
          <w:color w:val="000000" w:themeColor="text1"/>
        </w:rPr>
        <w:t>L</w:t>
      </w:r>
      <w:r w:rsidR="00F825B4">
        <w:rPr>
          <w:rFonts w:ascii="Book Antiqua" w:hAnsi="Book Antiqua"/>
          <w:color w:val="000000" w:themeColor="text1"/>
        </w:rPr>
        <w:t xml:space="preserve">aw </w:t>
      </w:r>
      <w:r w:rsidRPr="00646127" w:rsidR="00C27B5A">
        <w:rPr>
          <w:rFonts w:ascii="Book Antiqua" w:hAnsi="Book Antiqua"/>
          <w:color w:val="000000" w:themeColor="text1"/>
        </w:rPr>
        <w:t>J</w:t>
      </w:r>
      <w:r w:rsidR="00F825B4">
        <w:rPr>
          <w:rFonts w:ascii="Book Antiqua" w:hAnsi="Book Antiqua"/>
          <w:color w:val="000000" w:themeColor="text1"/>
        </w:rPr>
        <w:t>udge</w:t>
      </w:r>
      <w:r w:rsidRPr="00646127" w:rsidR="00C27B5A">
        <w:rPr>
          <w:rFonts w:ascii="Book Antiqua" w:hAnsi="Book Antiqua"/>
          <w:color w:val="000000" w:themeColor="text1"/>
        </w:rPr>
        <w:t xml:space="preserve"> in th</w:t>
      </w:r>
      <w:r w:rsidR="000636D7">
        <w:rPr>
          <w:rFonts w:ascii="Book Antiqua" w:hAnsi="Book Antiqua"/>
          <w:color w:val="000000" w:themeColor="text1"/>
        </w:rPr>
        <w:t>is</w:t>
      </w:r>
      <w:r w:rsidRPr="00646127" w:rsidR="00C27B5A">
        <w:rPr>
          <w:rFonts w:ascii="Book Antiqua" w:hAnsi="Book Antiqua"/>
          <w:color w:val="000000" w:themeColor="text1"/>
        </w:rPr>
        <w:t xml:space="preserve"> proceeding</w:t>
      </w:r>
      <w:r w:rsidRPr="00C05D14" w:rsidR="00EA39F7">
        <w:rPr>
          <w:rFonts w:ascii="Book Antiqua" w:hAnsi="Book Antiqua"/>
        </w:rPr>
        <w:t>.</w:t>
      </w:r>
    </w:p>
    <w:p w:rsidRPr="009B2873" w:rsidR="00553B36" w:rsidP="00795193" w:rsidRDefault="00553B36" w14:paraId="246C2EF6" w14:textId="77777777">
      <w:pPr>
        <w:pStyle w:val="dummy"/>
        <w:tabs>
          <w:tab w:val="left" w:pos="6973"/>
        </w:tabs>
        <w:spacing w:before="0" w:after="0" w:line="360" w:lineRule="auto"/>
        <w:rPr>
          <w:rFonts w:ascii="Arial" w:hAnsi="Arial" w:cs="Arial"/>
        </w:rPr>
      </w:pPr>
      <w:bookmarkStart w:name="_Toc370798913" w:id="4"/>
      <w:r w:rsidRPr="009B2873">
        <w:rPr>
          <w:rFonts w:ascii="Arial" w:hAnsi="Arial" w:cs="Arial"/>
        </w:rPr>
        <w:t>Findin</w:t>
      </w:r>
      <w:r w:rsidRPr="009B2873" w:rsidR="00EA27F8">
        <w:rPr>
          <w:rFonts w:ascii="Arial" w:hAnsi="Arial" w:cs="Arial"/>
        </w:rPr>
        <w:t>g</w:t>
      </w:r>
      <w:r w:rsidRPr="009B2873">
        <w:rPr>
          <w:rFonts w:ascii="Arial" w:hAnsi="Arial" w:cs="Arial"/>
        </w:rPr>
        <w:t>s of Fact</w:t>
      </w:r>
    </w:p>
    <w:p w:rsidR="00A97300" w:rsidP="00C27B5A" w:rsidRDefault="00A97300" w14:paraId="35C5BAA4" w14:textId="5B7C7E85">
      <w:pPr>
        <w:pStyle w:val="num1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Phase 1 of this proceeding was resolved </w:t>
      </w:r>
      <w:r w:rsidRPr="00F458B6">
        <w:rPr>
          <w:rFonts w:ascii="Book Antiqua" w:hAnsi="Book Antiqua"/>
        </w:rPr>
        <w:t xml:space="preserve">in </w:t>
      </w:r>
      <w:r w:rsidRPr="00F458B6" w:rsidR="0022149A">
        <w:rPr>
          <w:rFonts w:ascii="Book Antiqua" w:hAnsi="Book Antiqua"/>
        </w:rPr>
        <w:t>D.19-05-043 and D.19-08-004</w:t>
      </w:r>
      <w:r w:rsidR="0022149A">
        <w:t>.</w:t>
      </w:r>
    </w:p>
    <w:p w:rsidR="00A97300" w:rsidP="00C27B5A" w:rsidRDefault="00A97300" w14:paraId="2E2852A1" w14:textId="3F8A0A22">
      <w:pPr>
        <w:pStyle w:val="num1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Amended Scoping Memo set out the Phase 2 issues and procedural schedule, including publication of an Energy Division study on March 9, 2020.</w:t>
      </w:r>
    </w:p>
    <w:p w:rsidRPr="00976447" w:rsidR="00976447" w:rsidP="00976447" w:rsidRDefault="00976447" w14:paraId="59D014CF" w14:textId="77777777">
      <w:pPr>
        <w:pStyle w:val="num1"/>
        <w:numPr>
          <w:ilvl w:val="0"/>
          <w:numId w:val="1"/>
        </w:numPr>
        <w:rPr>
          <w:rFonts w:ascii="Book Antiqua" w:hAnsi="Book Antiqua"/>
          <w:szCs w:val="26"/>
        </w:rPr>
      </w:pPr>
      <w:r w:rsidRPr="00976447">
        <w:rPr>
          <w:rFonts w:ascii="Book Antiqua" w:hAnsi="Book Antiqua"/>
          <w:szCs w:val="26"/>
        </w:rPr>
        <w:t xml:space="preserve">The study was issued for comment by ruling on September 28, 2020. </w:t>
      </w:r>
    </w:p>
    <w:p w:rsidRPr="009D4C50" w:rsidR="00976447" w:rsidP="00976447" w:rsidRDefault="00976447" w14:paraId="1EBB407D" w14:textId="77777777">
      <w:pPr>
        <w:pStyle w:val="num1"/>
        <w:numPr>
          <w:ilvl w:val="0"/>
          <w:numId w:val="1"/>
        </w:numPr>
        <w:rPr>
          <w:rFonts w:ascii="Book Antiqua" w:hAnsi="Book Antiqua"/>
          <w:szCs w:val="26"/>
        </w:rPr>
      </w:pPr>
      <w:r w:rsidRPr="00976447">
        <w:rPr>
          <w:rFonts w:ascii="Book Antiqua" w:hAnsi="Book Antiqua"/>
          <w:szCs w:val="26"/>
        </w:rPr>
        <w:t xml:space="preserve">Comments on the study were filed on October 6, 2020 and reply comments </w:t>
      </w:r>
      <w:r w:rsidRPr="009D4C50">
        <w:rPr>
          <w:rFonts w:ascii="Book Antiqua" w:hAnsi="Book Antiqua"/>
          <w:szCs w:val="26"/>
        </w:rPr>
        <w:t>were filed on October 26, 2020.</w:t>
      </w:r>
    </w:p>
    <w:p w:rsidRPr="009D4C50" w:rsidR="00976447" w:rsidP="00976447" w:rsidRDefault="004B6AE4" w14:paraId="10A5B57C" w14:textId="58A4DF17">
      <w:pPr>
        <w:pStyle w:val="num1"/>
        <w:numPr>
          <w:ilvl w:val="0"/>
          <w:numId w:val="1"/>
        </w:numPr>
        <w:rPr>
          <w:rFonts w:ascii="Book Antiqua" w:hAnsi="Book Antiqua"/>
          <w:szCs w:val="26"/>
        </w:rPr>
      </w:pPr>
      <w:r w:rsidRPr="009D4C50">
        <w:rPr>
          <w:rFonts w:ascii="Book Antiqua" w:hAnsi="Book Antiqua"/>
          <w:szCs w:val="26"/>
        </w:rPr>
        <w:t xml:space="preserve">A proposed decision was issued for public review and comments on </w:t>
      </w:r>
      <w:r w:rsidRPr="009D4C50">
        <w:rPr>
          <w:rFonts w:ascii="Book Antiqua" w:hAnsi="Book Antiqua"/>
          <w:szCs w:val="26"/>
        </w:rPr>
        <w:br/>
        <w:t>May 14, 2021.</w:t>
      </w:r>
      <w:r w:rsidRPr="009D4C50" w:rsidR="00976447">
        <w:rPr>
          <w:rFonts w:ascii="Book Antiqua" w:hAnsi="Book Antiqua"/>
          <w:szCs w:val="26"/>
        </w:rPr>
        <w:t xml:space="preserve"> </w:t>
      </w:r>
    </w:p>
    <w:p w:rsidRPr="009D4C50" w:rsidR="00EE0CD0" w:rsidP="00976447" w:rsidRDefault="00EE0CD0" w14:paraId="0CC14698" w14:textId="00FA7456">
      <w:pPr>
        <w:pStyle w:val="num1"/>
        <w:numPr>
          <w:ilvl w:val="0"/>
          <w:numId w:val="1"/>
        </w:numPr>
        <w:rPr>
          <w:rFonts w:ascii="Book Antiqua" w:hAnsi="Book Antiqua"/>
          <w:szCs w:val="26"/>
        </w:rPr>
      </w:pPr>
      <w:r w:rsidRPr="009D4C50">
        <w:rPr>
          <w:rFonts w:ascii="Book Antiqua" w:hAnsi="Book Antiqua"/>
          <w:szCs w:val="26"/>
        </w:rPr>
        <w:t xml:space="preserve">An extension of the statutory deadline until </w:t>
      </w:r>
      <w:r w:rsidRPr="009D4C50" w:rsidR="008C0DA5">
        <w:rPr>
          <w:rFonts w:ascii="Book Antiqua" w:hAnsi="Book Antiqua"/>
          <w:szCs w:val="26"/>
        </w:rPr>
        <w:t>August 12</w:t>
      </w:r>
      <w:r w:rsidRPr="009D4C50">
        <w:rPr>
          <w:rFonts w:ascii="Book Antiqua" w:hAnsi="Book Antiqua"/>
          <w:szCs w:val="26"/>
        </w:rPr>
        <w:t xml:space="preserve">, 2021, is necessary </w:t>
      </w:r>
      <w:r w:rsidRPr="009D4C50" w:rsidR="008C0DA5">
        <w:rPr>
          <w:rFonts w:ascii="Book Antiqua" w:hAnsi="Book Antiqua"/>
          <w:szCs w:val="26"/>
        </w:rPr>
        <w:t xml:space="preserve">to allow time for </w:t>
      </w:r>
      <w:r w:rsidRPr="009D4C50">
        <w:rPr>
          <w:rFonts w:ascii="Book Antiqua" w:hAnsi="Book Antiqua"/>
          <w:szCs w:val="26"/>
        </w:rPr>
        <w:t xml:space="preserve">parties </w:t>
      </w:r>
      <w:r w:rsidRPr="009D4C50" w:rsidR="008C0DA5">
        <w:rPr>
          <w:rFonts w:ascii="Book Antiqua" w:hAnsi="Book Antiqua"/>
          <w:szCs w:val="26"/>
        </w:rPr>
        <w:t>to</w:t>
      </w:r>
      <w:r w:rsidRPr="009D4C50">
        <w:rPr>
          <w:rFonts w:ascii="Book Antiqua" w:hAnsi="Book Antiqua"/>
          <w:szCs w:val="26"/>
        </w:rPr>
        <w:t xml:space="preserve"> comment on the proposed decision, and </w:t>
      </w:r>
      <w:r w:rsidRPr="009D4C50" w:rsidR="000F480D">
        <w:rPr>
          <w:rFonts w:ascii="Book Antiqua" w:hAnsi="Book Antiqua"/>
          <w:szCs w:val="26"/>
        </w:rPr>
        <w:t xml:space="preserve">for </w:t>
      </w:r>
      <w:r w:rsidRPr="009D4C50">
        <w:rPr>
          <w:rFonts w:ascii="Book Antiqua" w:hAnsi="Book Antiqua"/>
          <w:szCs w:val="26"/>
        </w:rPr>
        <w:t xml:space="preserve">the </w:t>
      </w:r>
      <w:r w:rsidRPr="009D4C50">
        <w:rPr>
          <w:rFonts w:ascii="Book Antiqua" w:hAnsi="Book Antiqua"/>
          <w:szCs w:val="26"/>
        </w:rPr>
        <w:lastRenderedPageBreak/>
        <w:t xml:space="preserve">Commission </w:t>
      </w:r>
      <w:r w:rsidRPr="009D4C50" w:rsidR="000F480D">
        <w:rPr>
          <w:rFonts w:ascii="Book Antiqua" w:hAnsi="Book Antiqua"/>
          <w:szCs w:val="26"/>
        </w:rPr>
        <w:t>to</w:t>
      </w:r>
      <w:r w:rsidRPr="009D4C50">
        <w:rPr>
          <w:rFonts w:ascii="Book Antiqua" w:hAnsi="Book Antiqua"/>
          <w:szCs w:val="26"/>
        </w:rPr>
        <w:t xml:space="preserve"> consider those comments and adopt a decision with recommendations to the legislature.</w:t>
      </w:r>
    </w:p>
    <w:bookmarkEnd w:id="4"/>
    <w:p w:rsidRPr="00CD0242" w:rsidR="006B6592" w:rsidP="007A5B97" w:rsidRDefault="006B6592" w14:paraId="4867B213" w14:textId="5E575561">
      <w:pPr>
        <w:pStyle w:val="Heading1"/>
        <w:spacing w:before="0" w:after="0" w:line="360" w:lineRule="auto"/>
        <w:ind w:left="720" w:hanging="720"/>
        <w:rPr>
          <w:rFonts w:ascii="Arial" w:hAnsi="Arial" w:cs="Arial"/>
        </w:rPr>
      </w:pPr>
      <w:r w:rsidRPr="00CD0242">
        <w:rPr>
          <w:rFonts w:ascii="Arial" w:hAnsi="Arial" w:cs="Arial"/>
        </w:rPr>
        <w:t>Conclusion of Law</w:t>
      </w:r>
    </w:p>
    <w:p w:rsidRPr="00ED1E06" w:rsidR="00ED1E06" w:rsidP="00ED1E06" w:rsidRDefault="00FD00E2" w14:paraId="4B77381D" w14:textId="11025A13">
      <w:pPr>
        <w:pStyle w:val="standard"/>
        <w:rPr>
          <w:rFonts w:ascii="Book Antiqua" w:hAnsi="Book Antiqua" w:eastAsiaTheme="minorHAnsi" w:cstheme="minorBidi"/>
          <w:szCs w:val="22"/>
        </w:rPr>
      </w:pPr>
      <w:r w:rsidRPr="00FD00E2">
        <w:rPr>
          <w:rFonts w:ascii="Book Antiqua" w:hAnsi="Book Antiqua" w:eastAsiaTheme="minorHAnsi" w:cstheme="minorBidi"/>
          <w:szCs w:val="22"/>
        </w:rPr>
        <w:t xml:space="preserve">Pursuant to the authority granted to the Commission under Pub. Util. Code § 1701.5(a), the statutory deadline should be extended to </w:t>
      </w:r>
      <w:r w:rsidR="008C0DA5">
        <w:rPr>
          <w:rFonts w:ascii="Book Antiqua" w:hAnsi="Book Antiqua" w:eastAsiaTheme="minorHAnsi" w:cstheme="minorBidi"/>
          <w:szCs w:val="22"/>
        </w:rPr>
        <w:t>August 12</w:t>
      </w:r>
      <w:r w:rsidRPr="00FD00E2">
        <w:rPr>
          <w:rFonts w:ascii="Book Antiqua" w:hAnsi="Book Antiqua" w:eastAsiaTheme="minorHAnsi" w:cstheme="minorBidi"/>
          <w:szCs w:val="22"/>
        </w:rPr>
        <w:t>, 2021.</w:t>
      </w:r>
    </w:p>
    <w:p w:rsidRPr="00666F51" w:rsidR="00666F51" w:rsidP="00D55B62" w:rsidRDefault="00666F51" w14:paraId="2337BB4E" w14:textId="01A8024A">
      <w:pPr>
        <w:pStyle w:val="standard"/>
        <w:keepNext/>
        <w:keepLines/>
        <w:rPr>
          <w:rFonts w:ascii="Book Antiqua" w:hAnsi="Book Antiqua" w:eastAsiaTheme="minorHAnsi" w:cstheme="minorBidi"/>
          <w:szCs w:val="22"/>
        </w:rPr>
      </w:pPr>
      <w:r w:rsidRPr="00666F51">
        <w:rPr>
          <w:rFonts w:ascii="Book Antiqua" w:hAnsi="Book Antiqua" w:eastAsiaTheme="minorHAnsi" w:cstheme="minorBidi"/>
          <w:b/>
          <w:szCs w:val="22"/>
        </w:rPr>
        <w:t>IT IS ORDERED</w:t>
      </w:r>
      <w:r w:rsidRPr="00666F51">
        <w:rPr>
          <w:rFonts w:ascii="Book Antiqua" w:hAnsi="Book Antiqua" w:eastAsiaTheme="minorHAnsi" w:cstheme="minorBidi"/>
          <w:szCs w:val="22"/>
        </w:rPr>
        <w:t xml:space="preserve"> </w:t>
      </w:r>
      <w:r w:rsidRPr="00FD00E2" w:rsidR="00FD00E2">
        <w:rPr>
          <w:rFonts w:ascii="Book Antiqua" w:hAnsi="Book Antiqua" w:eastAsiaTheme="minorHAnsi" w:cstheme="minorBidi"/>
          <w:szCs w:val="22"/>
        </w:rPr>
        <w:t xml:space="preserve">that the statutory deadline for completion of </w:t>
      </w:r>
      <w:r w:rsidR="002F59D3">
        <w:rPr>
          <w:rFonts w:ascii="Book Antiqua" w:hAnsi="Book Antiqua" w:eastAsiaTheme="minorHAnsi" w:cstheme="minorBidi"/>
          <w:szCs w:val="22"/>
        </w:rPr>
        <w:t>th</w:t>
      </w:r>
      <w:r w:rsidR="000636D7">
        <w:rPr>
          <w:rFonts w:ascii="Book Antiqua" w:hAnsi="Book Antiqua" w:eastAsiaTheme="minorHAnsi" w:cstheme="minorBidi"/>
          <w:szCs w:val="22"/>
        </w:rPr>
        <w:t>is</w:t>
      </w:r>
      <w:r w:rsidRPr="00FD00E2" w:rsidR="00FD00E2">
        <w:rPr>
          <w:rFonts w:ascii="Book Antiqua" w:hAnsi="Book Antiqua" w:eastAsiaTheme="minorHAnsi" w:cstheme="minorBidi"/>
          <w:szCs w:val="22"/>
        </w:rPr>
        <w:t xml:space="preserve"> proceeding is extended until </w:t>
      </w:r>
      <w:r w:rsidR="008C0DA5">
        <w:rPr>
          <w:rFonts w:ascii="Book Antiqua" w:hAnsi="Book Antiqua" w:eastAsiaTheme="minorHAnsi" w:cstheme="minorBidi"/>
          <w:szCs w:val="22"/>
        </w:rPr>
        <w:t>August 12</w:t>
      </w:r>
      <w:r w:rsidRPr="00FD00E2" w:rsidR="00FD00E2">
        <w:rPr>
          <w:rFonts w:ascii="Book Antiqua" w:hAnsi="Book Antiqua" w:eastAsiaTheme="minorHAnsi" w:cstheme="minorBidi"/>
          <w:szCs w:val="22"/>
        </w:rPr>
        <w:t>, 2021</w:t>
      </w:r>
      <w:r w:rsidRPr="00666F51">
        <w:rPr>
          <w:rFonts w:ascii="Book Antiqua" w:hAnsi="Book Antiqua" w:eastAsiaTheme="minorHAnsi" w:cstheme="minorBidi"/>
          <w:szCs w:val="22"/>
        </w:rPr>
        <w:t>.</w:t>
      </w:r>
    </w:p>
    <w:p w:rsidRPr="00C05D14" w:rsidR="006B6592" w:rsidP="00D55B62" w:rsidRDefault="006B6592" w14:paraId="21CDE232" w14:textId="77777777">
      <w:pPr>
        <w:pStyle w:val="Standard0"/>
        <w:keepNext/>
        <w:keepLines/>
      </w:pPr>
      <w:r w:rsidRPr="00C05D14">
        <w:t>This order is effective today.</w:t>
      </w:r>
    </w:p>
    <w:p w:rsidRPr="008C0DA5" w:rsidR="008C0DA5" w:rsidP="008C0DA5" w:rsidRDefault="008C0DA5" w14:paraId="50AADA80" w14:textId="77777777">
      <w:pPr>
        <w:pStyle w:val="standard"/>
        <w:keepNext/>
        <w:keepLines/>
        <w:rPr>
          <w:rFonts w:ascii="Book Antiqua" w:hAnsi="Book Antiqua"/>
          <w:szCs w:val="26"/>
        </w:rPr>
      </w:pPr>
      <w:r w:rsidRPr="008C0DA5">
        <w:rPr>
          <w:rFonts w:ascii="Book Antiqua" w:hAnsi="Book Antiqua"/>
          <w:szCs w:val="26"/>
        </w:rPr>
        <w:t>Dated __________________, at San Francisco, California.</w:t>
      </w:r>
    </w:p>
    <w:p w:rsidR="00D55B62" w:rsidP="00963152" w:rsidRDefault="00D55B62" w14:paraId="0BC31CCD" w14:textId="77777777">
      <w:pPr>
        <w:pStyle w:val="standard"/>
        <w:keepNext/>
        <w:keepLines/>
        <w:rPr>
          <w:rFonts w:ascii="Book Antiqua" w:hAnsi="Book Antiqua"/>
        </w:rPr>
      </w:pPr>
    </w:p>
    <w:sectPr w:rsidR="00D55B62">
      <w:headerReference w:type="default" r:id="rId11"/>
      <w:footerReference w:type="default" r:id="rId12"/>
      <w:footerReference w:type="first" r:id="rId13"/>
      <w:pgSz w:w="12240" w:h="15840" w:code="1"/>
      <w:pgMar w:top="1152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C8D9" w14:textId="77777777" w:rsidR="005F2B7D" w:rsidRDefault="005F2B7D">
      <w:r>
        <w:separator/>
      </w:r>
    </w:p>
  </w:endnote>
  <w:endnote w:type="continuationSeparator" w:id="0">
    <w:p w14:paraId="11EF0489" w14:textId="77777777" w:rsidR="005F2B7D" w:rsidRDefault="005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9E9C" w14:textId="77777777" w:rsidR="00DD1176" w:rsidRDefault="00DD1176" w:rsidP="00FD568F">
    <w:pPr>
      <w:pStyle w:val="Footer"/>
      <w:tabs>
        <w:tab w:val="clear" w:pos="4320"/>
        <w:tab w:val="center" w:pos="4680"/>
      </w:tabs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-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131E5E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9B01" w14:textId="2F99DD7D" w:rsidR="00DD1176" w:rsidRPr="00586B57" w:rsidRDefault="000A5972" w:rsidP="00FD568F">
    <w:pPr>
      <w:pStyle w:val="Footer"/>
      <w:tabs>
        <w:tab w:val="clear" w:pos="4320"/>
        <w:tab w:val="center" w:pos="4680"/>
      </w:tabs>
      <w:jc w:val="left"/>
      <w:rPr>
        <w:rStyle w:val="PageNumber"/>
        <w:sz w:val="24"/>
        <w:szCs w:val="24"/>
      </w:rPr>
    </w:pPr>
    <w:r w:rsidRPr="00BA75F6">
      <w:rPr>
        <w:rFonts w:ascii="Book Antiqua" w:hAnsi="Book Antiqua"/>
        <w:sz w:val="16"/>
        <w:szCs w:val="16"/>
      </w:rPr>
      <w:t xml:space="preserve">384414348 </w:t>
    </w:r>
    <w:r w:rsidR="00D43950">
      <w:rPr>
        <w:rFonts w:ascii="Tahoma" w:hAnsi="Tahoma" w:cs="Tahoma"/>
        <w:sz w:val="17"/>
        <w:szCs w:val="17"/>
      </w:rPr>
      <w:tab/>
    </w:r>
    <w:r w:rsidR="00DD1176" w:rsidRPr="00586B57">
      <w:rPr>
        <w:rStyle w:val="PageNumber"/>
        <w:sz w:val="24"/>
        <w:szCs w:val="24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5C01" w14:textId="77777777" w:rsidR="005F2B7D" w:rsidRDefault="005F2B7D">
      <w:r>
        <w:separator/>
      </w:r>
    </w:p>
  </w:footnote>
  <w:footnote w:type="continuationSeparator" w:id="0">
    <w:p w14:paraId="1F7A3BF2" w14:textId="77777777" w:rsidR="005F2B7D" w:rsidRDefault="005F2B7D">
      <w:r>
        <w:continuationSeparator/>
      </w:r>
    </w:p>
  </w:footnote>
  <w:footnote w:type="continuationNotice" w:id="1">
    <w:p w14:paraId="39D4BEFA" w14:textId="77777777" w:rsidR="005F2B7D" w:rsidRDefault="005F2B7D">
      <w:pPr>
        <w:rPr>
          <w:sz w:val="22"/>
        </w:rPr>
      </w:pPr>
    </w:p>
    <w:p w14:paraId="31AF41E8" w14:textId="77777777" w:rsidR="005F2B7D" w:rsidRDefault="005F2B7D">
      <w:pPr>
        <w:jc w:val="right"/>
        <w:rPr>
          <w:sz w:val="22"/>
        </w:rPr>
      </w:pPr>
      <w:r>
        <w:rPr>
          <w:i/>
          <w:sz w:val="22"/>
        </w:rPr>
        <w:t xml:space="preserve">Footnote continued on next </w:t>
      </w:r>
      <w:proofErr w:type="gramStart"/>
      <w:r>
        <w:rPr>
          <w:i/>
          <w:sz w:val="22"/>
        </w:rPr>
        <w:t>page</w:t>
      </w:r>
      <w:proofErr w:type="gramEnd"/>
    </w:p>
  </w:footnote>
  <w:footnote w:id="2">
    <w:p w14:paraId="5A60319C" w14:textId="71279ACB" w:rsidR="00FC65A3" w:rsidRPr="00AF513B" w:rsidRDefault="00FC65A3" w:rsidP="00C80DD6">
      <w:pPr>
        <w:pStyle w:val="FootnoteText"/>
        <w:spacing w:after="120"/>
        <w:rPr>
          <w:rFonts w:ascii="Book Antiqua" w:hAnsi="Book Antiqua"/>
          <w:sz w:val="22"/>
          <w:szCs w:val="22"/>
        </w:rPr>
      </w:pPr>
      <w:r w:rsidRPr="00AF513B">
        <w:rPr>
          <w:rStyle w:val="FootnoteReference"/>
          <w:rFonts w:ascii="Book Antiqua" w:hAnsi="Book Antiqua"/>
          <w:sz w:val="22"/>
          <w:szCs w:val="22"/>
        </w:rPr>
        <w:footnoteRef/>
      </w:r>
      <w:r w:rsidRPr="00AF513B">
        <w:rPr>
          <w:rFonts w:ascii="Book Antiqua" w:hAnsi="Book Antiqua"/>
          <w:sz w:val="22"/>
          <w:szCs w:val="22"/>
        </w:rPr>
        <w:t xml:space="preserve"> Stats. 2018, Ch. 600, amending Public Utilities Code (Pub. Util. Code § or Section) § 365.1. </w:t>
      </w:r>
      <w:r w:rsidR="00C80DD6">
        <w:rPr>
          <w:rFonts w:ascii="Book Antiqua" w:hAnsi="Book Antiqua"/>
          <w:sz w:val="22"/>
          <w:szCs w:val="22"/>
        </w:rPr>
        <w:t xml:space="preserve"> </w:t>
      </w:r>
      <w:r w:rsidRPr="00AF513B">
        <w:rPr>
          <w:rFonts w:ascii="Book Antiqua" w:hAnsi="Book Antiqua"/>
          <w:sz w:val="22"/>
          <w:szCs w:val="22"/>
        </w:rPr>
        <w:t>All further statutory references are to the Pub. Util. Code Sections unless otherwise specified.</w:t>
      </w:r>
    </w:p>
  </w:footnote>
  <w:footnote w:id="3">
    <w:p w14:paraId="68CCE1D6" w14:textId="66A65745" w:rsidR="00FC65A3" w:rsidRPr="00AF513B" w:rsidRDefault="00FC65A3" w:rsidP="006C5251">
      <w:pPr>
        <w:pStyle w:val="FootnoteText"/>
        <w:spacing w:after="120"/>
        <w:rPr>
          <w:rFonts w:ascii="Book Antiqua" w:hAnsi="Book Antiqua"/>
          <w:sz w:val="22"/>
          <w:szCs w:val="22"/>
        </w:rPr>
      </w:pPr>
      <w:r w:rsidRPr="00AF513B">
        <w:rPr>
          <w:rStyle w:val="FootnoteReference"/>
          <w:rFonts w:ascii="Book Antiqua" w:hAnsi="Book Antiqua"/>
          <w:sz w:val="22"/>
          <w:szCs w:val="22"/>
        </w:rPr>
        <w:footnoteRef/>
      </w:r>
      <w:r w:rsidRPr="00AF513B">
        <w:rPr>
          <w:rFonts w:ascii="Book Antiqua" w:hAnsi="Book Antiqua"/>
          <w:sz w:val="22"/>
          <w:szCs w:val="22"/>
        </w:rPr>
        <w:t xml:space="preserve"> Pub. Util. Code § 365.1 (e)(1). There are two sections of the code number 365.1(e)(1). </w:t>
      </w:r>
      <w:r w:rsidR="00546FAF">
        <w:rPr>
          <w:rFonts w:ascii="Book Antiqua" w:hAnsi="Book Antiqua"/>
          <w:sz w:val="22"/>
          <w:szCs w:val="22"/>
        </w:rPr>
        <w:t xml:space="preserve"> </w:t>
      </w:r>
      <w:r w:rsidRPr="00AF513B">
        <w:rPr>
          <w:rFonts w:ascii="Book Antiqua" w:hAnsi="Book Antiqua"/>
          <w:sz w:val="22"/>
          <w:szCs w:val="22"/>
        </w:rPr>
        <w:t>This citation refers to the second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2B52" w14:textId="436FB671" w:rsidR="00B637B2" w:rsidRDefault="00E04FB0" w:rsidP="00B637B2">
    <w:pPr>
      <w:pStyle w:val="Header"/>
      <w:tabs>
        <w:tab w:val="clear" w:pos="8640"/>
        <w:tab w:val="right" w:pos="9360"/>
      </w:tabs>
    </w:pPr>
    <w:r w:rsidRPr="00AF513B">
      <w:rPr>
        <w:rFonts w:ascii="Book Antiqua" w:hAnsi="Book Antiqua"/>
      </w:rPr>
      <w:t>R</w:t>
    </w:r>
    <w:r w:rsidR="00961995" w:rsidRPr="00AF513B">
      <w:rPr>
        <w:rFonts w:ascii="Book Antiqua" w:hAnsi="Book Antiqua"/>
      </w:rPr>
      <w:t>.19-03-00</w:t>
    </w:r>
    <w:r w:rsidRPr="00AF513B">
      <w:rPr>
        <w:rFonts w:ascii="Book Antiqua" w:hAnsi="Book Antiqua"/>
      </w:rPr>
      <w:t>9</w:t>
    </w:r>
    <w:r w:rsidR="00961995" w:rsidRPr="00AF513B">
      <w:rPr>
        <w:rFonts w:ascii="Book Antiqua" w:hAnsi="Book Antiqua"/>
      </w:rPr>
      <w:t xml:space="preserve">  </w:t>
    </w:r>
    <w:r w:rsidR="006B69A8">
      <w:rPr>
        <w:rFonts w:ascii="Book Antiqua" w:hAnsi="Book Antiqua"/>
      </w:rPr>
      <w:t>COM</w:t>
    </w:r>
    <w:r w:rsidR="00961995" w:rsidRPr="00AF513B">
      <w:rPr>
        <w:rFonts w:ascii="Book Antiqua" w:hAnsi="Book Antiqua"/>
      </w:rPr>
      <w:t>/</w:t>
    </w:r>
    <w:r w:rsidR="006B69A8">
      <w:rPr>
        <w:rFonts w:ascii="Book Antiqua" w:hAnsi="Book Antiqua"/>
      </w:rPr>
      <w:t>MGA</w:t>
    </w:r>
    <w:r w:rsidR="00961995" w:rsidRPr="00AF513B">
      <w:rPr>
        <w:rFonts w:ascii="Book Antiqua" w:hAnsi="Book Antiqua"/>
      </w:rPr>
      <w:t>/</w:t>
    </w:r>
    <w:proofErr w:type="spellStart"/>
    <w:r w:rsidR="00961995" w:rsidRPr="00AF513B">
      <w:rPr>
        <w:rFonts w:ascii="Book Antiqua" w:hAnsi="Book Antiqua"/>
      </w:rPr>
      <w:t>mln</w:t>
    </w:r>
    <w:proofErr w:type="spellEnd"/>
    <w:r w:rsidR="003412D9">
      <w:rPr>
        <w:rFonts w:ascii="Book Antiqua" w:hAnsi="Book Antiqua"/>
      </w:rPr>
      <w:t>/</w:t>
    </w:r>
    <w:proofErr w:type="spellStart"/>
    <w:r w:rsidR="003412D9">
      <w:rPr>
        <w:rFonts w:ascii="Book Antiqua" w:hAnsi="Book Antiqua"/>
      </w:rPr>
      <w:t>smt</w:t>
    </w:r>
    <w:proofErr w:type="spellEnd"/>
    <w:r w:rsidR="00B637B2">
      <w:tab/>
    </w:r>
    <w:r w:rsidR="00B637B2">
      <w:tab/>
    </w:r>
    <w:r w:rsidR="00B637B2" w:rsidRPr="00B637B2">
      <w:rPr>
        <w:rFonts w:ascii="Arial" w:hAnsi="Arial" w:cs="Arial"/>
        <w:b/>
        <w:szCs w:val="26"/>
      </w:rPr>
      <w:t>PROPOSED DECISION</w:t>
    </w:r>
  </w:p>
  <w:p w14:paraId="52631A8F" w14:textId="7D590EB4" w:rsidR="00881F96" w:rsidRPr="00881F96" w:rsidRDefault="00881F96" w:rsidP="00B637B2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tab/>
    </w:r>
  </w:p>
  <w:p w14:paraId="45E36837" w14:textId="77777777" w:rsidR="00220A34" w:rsidRPr="00C27B3D" w:rsidRDefault="00220A34" w:rsidP="00BB2F6F">
    <w:pPr>
      <w:pStyle w:val="Header"/>
      <w:tabs>
        <w:tab w:val="clear" w:pos="8640"/>
        <w:tab w:val="right" w:pos="9360"/>
      </w:tabs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875"/>
    <w:multiLevelType w:val="hybridMultilevel"/>
    <w:tmpl w:val="6A18B6E8"/>
    <w:lvl w:ilvl="0" w:tplc="D97AA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81E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2" w15:restartNumberingAfterBreak="0">
    <w:nsid w:val="1D7D75BB"/>
    <w:multiLevelType w:val="hybridMultilevel"/>
    <w:tmpl w:val="9ED0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003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4" w15:restartNumberingAfterBreak="0">
    <w:nsid w:val="331F6D42"/>
    <w:multiLevelType w:val="multilevel"/>
    <w:tmpl w:val="70AAB8E6"/>
    <w:styleLink w:val="Heading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kern w:val="0"/>
        <w:position w:val="0"/>
        <w:sz w:val="26"/>
        <w:u w:val="none"/>
        <w:effect w:val="none"/>
        <w:vertAlign w:val="baseline"/>
        <w:specVanish w:val="0"/>
        <w14:ligatures w14:val="none"/>
        <w14:numSpacing w14:val="default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kern w:val="0"/>
        <w:sz w:val="26"/>
        <w:u w:val="none"/>
        <w:effect w:val="none"/>
        <w:vertAlign w:val="baseline"/>
        <w:specVanish w:val="0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93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kern w:val="0"/>
        <w:sz w:val="26"/>
        <w:u w:val="none"/>
        <w:effect w:val="none"/>
        <w:vertAlign w:val="baseline"/>
        <w:specVanish w:val="0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kern w:val="0"/>
        <w:sz w:val="26"/>
        <w:u w:val="none"/>
        <w:effect w:val="none"/>
        <w:vertAlign w:val="baseline"/>
        <w:specVanish w:val="0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Arial" w:hAnsi="Arial" w:cs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1728"/>
      </w:pPr>
      <w:rPr>
        <w:rFonts w:ascii="Arial" w:hAnsi="Arial" w:cs="Times New Roman" w:hint="default"/>
        <w:b/>
        <w:i w:val="0"/>
        <w:sz w:val="26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sz w:val="26"/>
      </w:r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5" w15:restartNumberingAfterBreak="0">
    <w:nsid w:val="398A3497"/>
    <w:multiLevelType w:val="hybridMultilevel"/>
    <w:tmpl w:val="A55AEA38"/>
    <w:lvl w:ilvl="0" w:tplc="3666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035BF"/>
    <w:multiLevelType w:val="multilevel"/>
    <w:tmpl w:val="70AA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kern w:val="0"/>
        <w:position w:val="0"/>
        <w:sz w:val="26"/>
        <w:u w:val="none"/>
        <w:effect w:val="none"/>
        <w:vertAlign w:val="baseline"/>
        <w:specVanish w:val="0"/>
        <w14:ligatures w14:val="none"/>
        <w14:numSpacing w14:val="default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kern w:val="0"/>
        <w:sz w:val="26"/>
        <w:u w:val="none"/>
        <w:effect w:val="none"/>
        <w:vertAlign w:val="baseline"/>
        <w:specVanish w:val="0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93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kern w:val="0"/>
        <w:sz w:val="26"/>
        <w:u w:val="none"/>
        <w:effect w:val="none"/>
        <w:vertAlign w:val="baseline"/>
        <w:specVanish w:val="0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kern w:val="0"/>
        <w:sz w:val="26"/>
        <w:u w:val="none"/>
        <w:effect w:val="none"/>
        <w:vertAlign w:val="baseline"/>
        <w:specVanish w:val="0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Arial" w:hAnsi="Arial" w:cs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1728"/>
      </w:pPr>
      <w:rPr>
        <w:rFonts w:ascii="Arial" w:hAnsi="Arial" w:cs="Times New Roman" w:hint="default"/>
        <w:b/>
        <w:i w:val="0"/>
        <w:sz w:val="26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sz w:val="26"/>
      </w:r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7" w15:restartNumberingAfterBreak="0">
    <w:nsid w:val="463765A4"/>
    <w:multiLevelType w:val="hybridMultilevel"/>
    <w:tmpl w:val="48009896"/>
    <w:lvl w:ilvl="0" w:tplc="408002C8">
      <w:start w:val="1"/>
      <w:numFmt w:val="decimal"/>
      <w:lvlText w:val="%1."/>
      <w:legacy w:legacy="1" w:legacySpace="144" w:legacyIndent="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F769F"/>
    <w:multiLevelType w:val="hybridMultilevel"/>
    <w:tmpl w:val="903CE290"/>
    <w:lvl w:ilvl="0" w:tplc="6DA8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636B5"/>
    <w:multiLevelType w:val="hybridMultilevel"/>
    <w:tmpl w:val="AFF8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E4892"/>
    <w:multiLevelType w:val="hybridMultilevel"/>
    <w:tmpl w:val="79A087D0"/>
    <w:lvl w:ilvl="0" w:tplc="BE4A95F8">
      <w:start w:val="1"/>
      <w:numFmt w:val="decimal"/>
      <w:lvlText w:val="%1."/>
      <w:legacy w:legacy="1" w:legacySpace="144" w:legacyIndent="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B0A06"/>
    <w:multiLevelType w:val="singleLevel"/>
    <w:tmpl w:val="21AE8D44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2" w15:restartNumberingAfterBreak="0">
    <w:nsid w:val="7B1C30FD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13" w15:restartNumberingAfterBreak="0">
    <w:nsid w:val="7D905FC4"/>
    <w:multiLevelType w:val="hybridMultilevel"/>
    <w:tmpl w:val="79A087D0"/>
    <w:lvl w:ilvl="0" w:tplc="BE4A95F8">
      <w:start w:val="1"/>
      <w:numFmt w:val="decimal"/>
      <w:lvlText w:val="%1."/>
      <w:legacy w:legacy="1" w:legacySpace="144" w:legacyIndent="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D4"/>
    <w:rsid w:val="000062D4"/>
    <w:rsid w:val="00006E50"/>
    <w:rsid w:val="00014804"/>
    <w:rsid w:val="00016C34"/>
    <w:rsid w:val="000303F1"/>
    <w:rsid w:val="000308D9"/>
    <w:rsid w:val="000328ED"/>
    <w:rsid w:val="00045C18"/>
    <w:rsid w:val="00052E5B"/>
    <w:rsid w:val="00057810"/>
    <w:rsid w:val="00057AD7"/>
    <w:rsid w:val="00061C1D"/>
    <w:rsid w:val="00061CE8"/>
    <w:rsid w:val="000636D7"/>
    <w:rsid w:val="00065E9C"/>
    <w:rsid w:val="00070447"/>
    <w:rsid w:val="00074C89"/>
    <w:rsid w:val="000761E1"/>
    <w:rsid w:val="00077C6A"/>
    <w:rsid w:val="00080C69"/>
    <w:rsid w:val="00094579"/>
    <w:rsid w:val="000A502E"/>
    <w:rsid w:val="000A5972"/>
    <w:rsid w:val="000B0301"/>
    <w:rsid w:val="000B09BE"/>
    <w:rsid w:val="000C310A"/>
    <w:rsid w:val="000C3670"/>
    <w:rsid w:val="000D0E1D"/>
    <w:rsid w:val="000D102B"/>
    <w:rsid w:val="000D6082"/>
    <w:rsid w:val="000D7417"/>
    <w:rsid w:val="000E06D2"/>
    <w:rsid w:val="000F13F5"/>
    <w:rsid w:val="000F1F94"/>
    <w:rsid w:val="000F41FC"/>
    <w:rsid w:val="000F480D"/>
    <w:rsid w:val="000F789C"/>
    <w:rsid w:val="00102B54"/>
    <w:rsid w:val="00105F5C"/>
    <w:rsid w:val="001068D0"/>
    <w:rsid w:val="00107565"/>
    <w:rsid w:val="00107949"/>
    <w:rsid w:val="00107D38"/>
    <w:rsid w:val="00110C8E"/>
    <w:rsid w:val="001139A6"/>
    <w:rsid w:val="00121B00"/>
    <w:rsid w:val="00124D27"/>
    <w:rsid w:val="00130693"/>
    <w:rsid w:val="00131E5E"/>
    <w:rsid w:val="001401B6"/>
    <w:rsid w:val="0014247A"/>
    <w:rsid w:val="0014760F"/>
    <w:rsid w:val="001515AD"/>
    <w:rsid w:val="0015429C"/>
    <w:rsid w:val="0016171E"/>
    <w:rsid w:val="00172944"/>
    <w:rsid w:val="0017399C"/>
    <w:rsid w:val="00173E34"/>
    <w:rsid w:val="00175B9B"/>
    <w:rsid w:val="00182191"/>
    <w:rsid w:val="001851A1"/>
    <w:rsid w:val="001949BB"/>
    <w:rsid w:val="00194DB0"/>
    <w:rsid w:val="00195C02"/>
    <w:rsid w:val="001A11FD"/>
    <w:rsid w:val="001A4063"/>
    <w:rsid w:val="001A5E70"/>
    <w:rsid w:val="001B1A49"/>
    <w:rsid w:val="001B27EE"/>
    <w:rsid w:val="001B33FE"/>
    <w:rsid w:val="001C03C1"/>
    <w:rsid w:val="001C43AD"/>
    <w:rsid w:val="001C4BD2"/>
    <w:rsid w:val="001C7B66"/>
    <w:rsid w:val="001D1BD0"/>
    <w:rsid w:val="001E030F"/>
    <w:rsid w:val="001E140E"/>
    <w:rsid w:val="001E16C0"/>
    <w:rsid w:val="001E3773"/>
    <w:rsid w:val="002058B1"/>
    <w:rsid w:val="002059FB"/>
    <w:rsid w:val="00210F9F"/>
    <w:rsid w:val="00214506"/>
    <w:rsid w:val="00215C8F"/>
    <w:rsid w:val="00220160"/>
    <w:rsid w:val="00220A34"/>
    <w:rsid w:val="0022149A"/>
    <w:rsid w:val="00222429"/>
    <w:rsid w:val="002329E9"/>
    <w:rsid w:val="0023415A"/>
    <w:rsid w:val="00234684"/>
    <w:rsid w:val="002356BA"/>
    <w:rsid w:val="00240A99"/>
    <w:rsid w:val="00244695"/>
    <w:rsid w:val="00247433"/>
    <w:rsid w:val="0025271C"/>
    <w:rsid w:val="00252D96"/>
    <w:rsid w:val="00253E7C"/>
    <w:rsid w:val="00253EE7"/>
    <w:rsid w:val="002548F2"/>
    <w:rsid w:val="00262344"/>
    <w:rsid w:val="0026610B"/>
    <w:rsid w:val="002662A1"/>
    <w:rsid w:val="00271E41"/>
    <w:rsid w:val="00271F0C"/>
    <w:rsid w:val="002870D2"/>
    <w:rsid w:val="002915AB"/>
    <w:rsid w:val="00292C35"/>
    <w:rsid w:val="002A1897"/>
    <w:rsid w:val="002A23D7"/>
    <w:rsid w:val="002A2AFF"/>
    <w:rsid w:val="002A5400"/>
    <w:rsid w:val="002A64FB"/>
    <w:rsid w:val="002C0607"/>
    <w:rsid w:val="002C7D21"/>
    <w:rsid w:val="002D0E69"/>
    <w:rsid w:val="002D46C4"/>
    <w:rsid w:val="002D68E5"/>
    <w:rsid w:val="002E78C8"/>
    <w:rsid w:val="002E791F"/>
    <w:rsid w:val="002F0CD6"/>
    <w:rsid w:val="002F177C"/>
    <w:rsid w:val="002F21CE"/>
    <w:rsid w:val="002F4EC8"/>
    <w:rsid w:val="002F59D3"/>
    <w:rsid w:val="002F625C"/>
    <w:rsid w:val="002F6BD1"/>
    <w:rsid w:val="00304495"/>
    <w:rsid w:val="0030460C"/>
    <w:rsid w:val="003067E6"/>
    <w:rsid w:val="00314534"/>
    <w:rsid w:val="0031653E"/>
    <w:rsid w:val="003204F7"/>
    <w:rsid w:val="00320887"/>
    <w:rsid w:val="00323EF8"/>
    <w:rsid w:val="00330349"/>
    <w:rsid w:val="0033148E"/>
    <w:rsid w:val="00331B7B"/>
    <w:rsid w:val="00335749"/>
    <w:rsid w:val="0033746C"/>
    <w:rsid w:val="00340309"/>
    <w:rsid w:val="00340CAF"/>
    <w:rsid w:val="003412D9"/>
    <w:rsid w:val="003415C2"/>
    <w:rsid w:val="00341908"/>
    <w:rsid w:val="00342D73"/>
    <w:rsid w:val="00354DF4"/>
    <w:rsid w:val="00355EAD"/>
    <w:rsid w:val="00362FEC"/>
    <w:rsid w:val="0036451D"/>
    <w:rsid w:val="00365256"/>
    <w:rsid w:val="00366124"/>
    <w:rsid w:val="00367BB1"/>
    <w:rsid w:val="0037000B"/>
    <w:rsid w:val="003760F6"/>
    <w:rsid w:val="0037701F"/>
    <w:rsid w:val="003843D1"/>
    <w:rsid w:val="003855F1"/>
    <w:rsid w:val="00391363"/>
    <w:rsid w:val="0039260C"/>
    <w:rsid w:val="00393A83"/>
    <w:rsid w:val="003975E4"/>
    <w:rsid w:val="003A3FFB"/>
    <w:rsid w:val="003A6C30"/>
    <w:rsid w:val="003B1C4A"/>
    <w:rsid w:val="003C362B"/>
    <w:rsid w:val="003C5483"/>
    <w:rsid w:val="003D2753"/>
    <w:rsid w:val="003D293C"/>
    <w:rsid w:val="003D7A1A"/>
    <w:rsid w:val="003E1FAB"/>
    <w:rsid w:val="003E6DFD"/>
    <w:rsid w:val="003F3DDF"/>
    <w:rsid w:val="00406E09"/>
    <w:rsid w:val="00410098"/>
    <w:rsid w:val="00411BD5"/>
    <w:rsid w:val="00421D42"/>
    <w:rsid w:val="00424493"/>
    <w:rsid w:val="00427C40"/>
    <w:rsid w:val="00434F77"/>
    <w:rsid w:val="004379D1"/>
    <w:rsid w:val="00441173"/>
    <w:rsid w:val="00442751"/>
    <w:rsid w:val="004430E9"/>
    <w:rsid w:val="00443117"/>
    <w:rsid w:val="00446369"/>
    <w:rsid w:val="00447572"/>
    <w:rsid w:val="00450831"/>
    <w:rsid w:val="00452F5B"/>
    <w:rsid w:val="00456B28"/>
    <w:rsid w:val="00460290"/>
    <w:rsid w:val="00461787"/>
    <w:rsid w:val="00465654"/>
    <w:rsid w:val="00470CCF"/>
    <w:rsid w:val="00486596"/>
    <w:rsid w:val="004923AE"/>
    <w:rsid w:val="004A1129"/>
    <w:rsid w:val="004A48F7"/>
    <w:rsid w:val="004A724A"/>
    <w:rsid w:val="004A75C0"/>
    <w:rsid w:val="004A79DE"/>
    <w:rsid w:val="004B10B1"/>
    <w:rsid w:val="004B5B63"/>
    <w:rsid w:val="004B6AE4"/>
    <w:rsid w:val="004C218E"/>
    <w:rsid w:val="004C6B92"/>
    <w:rsid w:val="004D767B"/>
    <w:rsid w:val="004D7E26"/>
    <w:rsid w:val="004E0D66"/>
    <w:rsid w:val="004E32C9"/>
    <w:rsid w:val="004F3047"/>
    <w:rsid w:val="004F5121"/>
    <w:rsid w:val="005004A5"/>
    <w:rsid w:val="00502987"/>
    <w:rsid w:val="0050422A"/>
    <w:rsid w:val="00505391"/>
    <w:rsid w:val="00512357"/>
    <w:rsid w:val="00513E80"/>
    <w:rsid w:val="00514C71"/>
    <w:rsid w:val="005160E1"/>
    <w:rsid w:val="0051774C"/>
    <w:rsid w:val="00517BEF"/>
    <w:rsid w:val="00517EAF"/>
    <w:rsid w:val="00522487"/>
    <w:rsid w:val="00522D3D"/>
    <w:rsid w:val="005250A2"/>
    <w:rsid w:val="00525251"/>
    <w:rsid w:val="00530498"/>
    <w:rsid w:val="005330B4"/>
    <w:rsid w:val="005356A8"/>
    <w:rsid w:val="00535F0A"/>
    <w:rsid w:val="00540B67"/>
    <w:rsid w:val="005436B3"/>
    <w:rsid w:val="00546FAF"/>
    <w:rsid w:val="00550CD4"/>
    <w:rsid w:val="00551313"/>
    <w:rsid w:val="00552330"/>
    <w:rsid w:val="0055350B"/>
    <w:rsid w:val="00553B36"/>
    <w:rsid w:val="00554B56"/>
    <w:rsid w:val="00556293"/>
    <w:rsid w:val="00560604"/>
    <w:rsid w:val="005709DD"/>
    <w:rsid w:val="00570CC1"/>
    <w:rsid w:val="00573D13"/>
    <w:rsid w:val="00584B94"/>
    <w:rsid w:val="00586B57"/>
    <w:rsid w:val="00586C77"/>
    <w:rsid w:val="0059635E"/>
    <w:rsid w:val="0059642F"/>
    <w:rsid w:val="0059779A"/>
    <w:rsid w:val="005A19D9"/>
    <w:rsid w:val="005A6278"/>
    <w:rsid w:val="005B42B0"/>
    <w:rsid w:val="005C2D36"/>
    <w:rsid w:val="005C52D2"/>
    <w:rsid w:val="005C61FE"/>
    <w:rsid w:val="005D0094"/>
    <w:rsid w:val="005D1BDF"/>
    <w:rsid w:val="005D2A44"/>
    <w:rsid w:val="005D6082"/>
    <w:rsid w:val="005E1B52"/>
    <w:rsid w:val="005E2FD8"/>
    <w:rsid w:val="005E35E6"/>
    <w:rsid w:val="005F19CB"/>
    <w:rsid w:val="005F2B7D"/>
    <w:rsid w:val="005F450F"/>
    <w:rsid w:val="005F4AC7"/>
    <w:rsid w:val="005F589A"/>
    <w:rsid w:val="005F6E68"/>
    <w:rsid w:val="00600EF8"/>
    <w:rsid w:val="00600F84"/>
    <w:rsid w:val="006010C5"/>
    <w:rsid w:val="00602E68"/>
    <w:rsid w:val="00605056"/>
    <w:rsid w:val="00607F12"/>
    <w:rsid w:val="00610EF2"/>
    <w:rsid w:val="00614CA6"/>
    <w:rsid w:val="0062368C"/>
    <w:rsid w:val="00625BDB"/>
    <w:rsid w:val="006303F9"/>
    <w:rsid w:val="006307F1"/>
    <w:rsid w:val="00640527"/>
    <w:rsid w:val="00642AB4"/>
    <w:rsid w:val="00652903"/>
    <w:rsid w:val="00654214"/>
    <w:rsid w:val="006555E8"/>
    <w:rsid w:val="00655970"/>
    <w:rsid w:val="00660256"/>
    <w:rsid w:val="00666815"/>
    <w:rsid w:val="00666F51"/>
    <w:rsid w:val="0067542A"/>
    <w:rsid w:val="0067623F"/>
    <w:rsid w:val="00681A26"/>
    <w:rsid w:val="00685DD4"/>
    <w:rsid w:val="00696269"/>
    <w:rsid w:val="006A02AF"/>
    <w:rsid w:val="006A2C2A"/>
    <w:rsid w:val="006A7E18"/>
    <w:rsid w:val="006B1250"/>
    <w:rsid w:val="006B27E2"/>
    <w:rsid w:val="006B2B5B"/>
    <w:rsid w:val="006B5192"/>
    <w:rsid w:val="006B5C09"/>
    <w:rsid w:val="006B6592"/>
    <w:rsid w:val="006B69A8"/>
    <w:rsid w:val="006B6D82"/>
    <w:rsid w:val="006C11E7"/>
    <w:rsid w:val="006C259F"/>
    <w:rsid w:val="006C2F15"/>
    <w:rsid w:val="006C4081"/>
    <w:rsid w:val="006C502C"/>
    <w:rsid w:val="006C50E8"/>
    <w:rsid w:val="006C5251"/>
    <w:rsid w:val="006C5E0A"/>
    <w:rsid w:val="006D06DB"/>
    <w:rsid w:val="006D4029"/>
    <w:rsid w:val="006D74B1"/>
    <w:rsid w:val="006E2153"/>
    <w:rsid w:val="006E3718"/>
    <w:rsid w:val="006E754F"/>
    <w:rsid w:val="006E796F"/>
    <w:rsid w:val="006F05C2"/>
    <w:rsid w:val="006F2900"/>
    <w:rsid w:val="006F3B00"/>
    <w:rsid w:val="006F5823"/>
    <w:rsid w:val="006F6028"/>
    <w:rsid w:val="006F68E5"/>
    <w:rsid w:val="006F78BE"/>
    <w:rsid w:val="006F7A20"/>
    <w:rsid w:val="00702056"/>
    <w:rsid w:val="00703FDC"/>
    <w:rsid w:val="007079AF"/>
    <w:rsid w:val="007079FE"/>
    <w:rsid w:val="00713142"/>
    <w:rsid w:val="007178BA"/>
    <w:rsid w:val="00720701"/>
    <w:rsid w:val="0072487E"/>
    <w:rsid w:val="00727FF5"/>
    <w:rsid w:val="00736A33"/>
    <w:rsid w:val="00740AE3"/>
    <w:rsid w:val="0074207C"/>
    <w:rsid w:val="007468F1"/>
    <w:rsid w:val="00753A4A"/>
    <w:rsid w:val="00755AE4"/>
    <w:rsid w:val="00763165"/>
    <w:rsid w:val="00780122"/>
    <w:rsid w:val="00783368"/>
    <w:rsid w:val="00784EA9"/>
    <w:rsid w:val="007873B3"/>
    <w:rsid w:val="007938C2"/>
    <w:rsid w:val="00795193"/>
    <w:rsid w:val="007A5B97"/>
    <w:rsid w:val="007A6B7B"/>
    <w:rsid w:val="007B05D0"/>
    <w:rsid w:val="007B1655"/>
    <w:rsid w:val="007B25A2"/>
    <w:rsid w:val="007B5FEE"/>
    <w:rsid w:val="007B701A"/>
    <w:rsid w:val="007C256A"/>
    <w:rsid w:val="007C3C63"/>
    <w:rsid w:val="007C6C9F"/>
    <w:rsid w:val="007D0F17"/>
    <w:rsid w:val="007D45FA"/>
    <w:rsid w:val="007E2869"/>
    <w:rsid w:val="007E448B"/>
    <w:rsid w:val="007E6897"/>
    <w:rsid w:val="007E738E"/>
    <w:rsid w:val="007F2D88"/>
    <w:rsid w:val="007F3737"/>
    <w:rsid w:val="007F63A9"/>
    <w:rsid w:val="00801D2B"/>
    <w:rsid w:val="00803F45"/>
    <w:rsid w:val="00804CB2"/>
    <w:rsid w:val="0080650C"/>
    <w:rsid w:val="00825395"/>
    <w:rsid w:val="00826831"/>
    <w:rsid w:val="00826873"/>
    <w:rsid w:val="00831599"/>
    <w:rsid w:val="008330E3"/>
    <w:rsid w:val="00835FFA"/>
    <w:rsid w:val="0083777F"/>
    <w:rsid w:val="00837CC2"/>
    <w:rsid w:val="00841B13"/>
    <w:rsid w:val="00851661"/>
    <w:rsid w:val="0085180B"/>
    <w:rsid w:val="00861B89"/>
    <w:rsid w:val="00863B9F"/>
    <w:rsid w:val="0087177D"/>
    <w:rsid w:val="008720C1"/>
    <w:rsid w:val="00874847"/>
    <w:rsid w:val="00881F96"/>
    <w:rsid w:val="00882668"/>
    <w:rsid w:val="00884286"/>
    <w:rsid w:val="0089195D"/>
    <w:rsid w:val="008950C0"/>
    <w:rsid w:val="008A19B5"/>
    <w:rsid w:val="008A6D24"/>
    <w:rsid w:val="008A7141"/>
    <w:rsid w:val="008B024E"/>
    <w:rsid w:val="008B0907"/>
    <w:rsid w:val="008B43E9"/>
    <w:rsid w:val="008B44A1"/>
    <w:rsid w:val="008B583E"/>
    <w:rsid w:val="008B67DC"/>
    <w:rsid w:val="008C0DA5"/>
    <w:rsid w:val="008C4825"/>
    <w:rsid w:val="008C572C"/>
    <w:rsid w:val="008C6949"/>
    <w:rsid w:val="008C7353"/>
    <w:rsid w:val="008D04ED"/>
    <w:rsid w:val="008D2054"/>
    <w:rsid w:val="008D32EF"/>
    <w:rsid w:val="008D351D"/>
    <w:rsid w:val="008D35DE"/>
    <w:rsid w:val="008D3DD3"/>
    <w:rsid w:val="008E04A8"/>
    <w:rsid w:val="008E071B"/>
    <w:rsid w:val="008E185F"/>
    <w:rsid w:val="008E1AAD"/>
    <w:rsid w:val="008F2E4B"/>
    <w:rsid w:val="008F6067"/>
    <w:rsid w:val="00900C89"/>
    <w:rsid w:val="00901AE0"/>
    <w:rsid w:val="00914786"/>
    <w:rsid w:val="00922F40"/>
    <w:rsid w:val="0092571A"/>
    <w:rsid w:val="00926571"/>
    <w:rsid w:val="00927A42"/>
    <w:rsid w:val="00932ECF"/>
    <w:rsid w:val="009362C1"/>
    <w:rsid w:val="009429BA"/>
    <w:rsid w:val="00943F47"/>
    <w:rsid w:val="009469CC"/>
    <w:rsid w:val="00950C51"/>
    <w:rsid w:val="00953907"/>
    <w:rsid w:val="00960C1A"/>
    <w:rsid w:val="00961445"/>
    <w:rsid w:val="00961995"/>
    <w:rsid w:val="00963152"/>
    <w:rsid w:val="00964994"/>
    <w:rsid w:val="00964F85"/>
    <w:rsid w:val="00967A62"/>
    <w:rsid w:val="00971649"/>
    <w:rsid w:val="00972802"/>
    <w:rsid w:val="00972D20"/>
    <w:rsid w:val="00975976"/>
    <w:rsid w:val="00976447"/>
    <w:rsid w:val="00980F42"/>
    <w:rsid w:val="00984A45"/>
    <w:rsid w:val="00986390"/>
    <w:rsid w:val="00986A6C"/>
    <w:rsid w:val="009906D4"/>
    <w:rsid w:val="00992B93"/>
    <w:rsid w:val="009940BE"/>
    <w:rsid w:val="00994A7E"/>
    <w:rsid w:val="00996C01"/>
    <w:rsid w:val="00996E2B"/>
    <w:rsid w:val="009A21C9"/>
    <w:rsid w:val="009A2F13"/>
    <w:rsid w:val="009B2628"/>
    <w:rsid w:val="009B2873"/>
    <w:rsid w:val="009B313B"/>
    <w:rsid w:val="009B3BEE"/>
    <w:rsid w:val="009B5028"/>
    <w:rsid w:val="009B666F"/>
    <w:rsid w:val="009C6FAE"/>
    <w:rsid w:val="009D4C50"/>
    <w:rsid w:val="009D6F4E"/>
    <w:rsid w:val="009E2DB4"/>
    <w:rsid w:val="009E3647"/>
    <w:rsid w:val="009E51EF"/>
    <w:rsid w:val="009E5EC3"/>
    <w:rsid w:val="009F2FBB"/>
    <w:rsid w:val="009F342C"/>
    <w:rsid w:val="009F58A6"/>
    <w:rsid w:val="009F75F2"/>
    <w:rsid w:val="00A032BB"/>
    <w:rsid w:val="00A13543"/>
    <w:rsid w:val="00A151EB"/>
    <w:rsid w:val="00A17F8A"/>
    <w:rsid w:val="00A202E2"/>
    <w:rsid w:val="00A3771F"/>
    <w:rsid w:val="00A4369A"/>
    <w:rsid w:val="00A43AAA"/>
    <w:rsid w:val="00A44D0F"/>
    <w:rsid w:val="00A561F7"/>
    <w:rsid w:val="00A606B2"/>
    <w:rsid w:val="00A61055"/>
    <w:rsid w:val="00A72DC7"/>
    <w:rsid w:val="00A77338"/>
    <w:rsid w:val="00A773CB"/>
    <w:rsid w:val="00A97300"/>
    <w:rsid w:val="00AA4A7C"/>
    <w:rsid w:val="00AA5EFF"/>
    <w:rsid w:val="00AA6D92"/>
    <w:rsid w:val="00AA78A7"/>
    <w:rsid w:val="00AB19EA"/>
    <w:rsid w:val="00AB491A"/>
    <w:rsid w:val="00AB4D07"/>
    <w:rsid w:val="00AB5646"/>
    <w:rsid w:val="00AC19E1"/>
    <w:rsid w:val="00AC22A7"/>
    <w:rsid w:val="00AC6201"/>
    <w:rsid w:val="00AD387C"/>
    <w:rsid w:val="00AD6727"/>
    <w:rsid w:val="00AE114D"/>
    <w:rsid w:val="00AE1676"/>
    <w:rsid w:val="00AE4F8A"/>
    <w:rsid w:val="00AE7D6C"/>
    <w:rsid w:val="00AF513B"/>
    <w:rsid w:val="00B04CCC"/>
    <w:rsid w:val="00B074AC"/>
    <w:rsid w:val="00B10965"/>
    <w:rsid w:val="00B1451B"/>
    <w:rsid w:val="00B16C20"/>
    <w:rsid w:val="00B20BD9"/>
    <w:rsid w:val="00B22B31"/>
    <w:rsid w:val="00B235FE"/>
    <w:rsid w:val="00B2443E"/>
    <w:rsid w:val="00B24AA2"/>
    <w:rsid w:val="00B26F0F"/>
    <w:rsid w:val="00B32B8D"/>
    <w:rsid w:val="00B345D4"/>
    <w:rsid w:val="00B45325"/>
    <w:rsid w:val="00B46080"/>
    <w:rsid w:val="00B46D2B"/>
    <w:rsid w:val="00B53AB3"/>
    <w:rsid w:val="00B618AF"/>
    <w:rsid w:val="00B61951"/>
    <w:rsid w:val="00B62004"/>
    <w:rsid w:val="00B62920"/>
    <w:rsid w:val="00B637B2"/>
    <w:rsid w:val="00B65771"/>
    <w:rsid w:val="00B74C6A"/>
    <w:rsid w:val="00B7683F"/>
    <w:rsid w:val="00B81FCE"/>
    <w:rsid w:val="00B84394"/>
    <w:rsid w:val="00B843D0"/>
    <w:rsid w:val="00B84D59"/>
    <w:rsid w:val="00B87711"/>
    <w:rsid w:val="00B911E4"/>
    <w:rsid w:val="00B911FA"/>
    <w:rsid w:val="00B91922"/>
    <w:rsid w:val="00B94CD4"/>
    <w:rsid w:val="00B9531B"/>
    <w:rsid w:val="00B96CDF"/>
    <w:rsid w:val="00B97851"/>
    <w:rsid w:val="00B97A78"/>
    <w:rsid w:val="00BA0468"/>
    <w:rsid w:val="00BA2763"/>
    <w:rsid w:val="00BA75F6"/>
    <w:rsid w:val="00BB2F6F"/>
    <w:rsid w:val="00BB6F20"/>
    <w:rsid w:val="00BC38E5"/>
    <w:rsid w:val="00BC78A9"/>
    <w:rsid w:val="00BD14F0"/>
    <w:rsid w:val="00BD198E"/>
    <w:rsid w:val="00BD3A7D"/>
    <w:rsid w:val="00BD4C49"/>
    <w:rsid w:val="00BE024E"/>
    <w:rsid w:val="00BE30C2"/>
    <w:rsid w:val="00BF29BD"/>
    <w:rsid w:val="00BF495A"/>
    <w:rsid w:val="00BF5098"/>
    <w:rsid w:val="00C00C15"/>
    <w:rsid w:val="00C00C91"/>
    <w:rsid w:val="00C05D14"/>
    <w:rsid w:val="00C06C18"/>
    <w:rsid w:val="00C13707"/>
    <w:rsid w:val="00C1545C"/>
    <w:rsid w:val="00C15969"/>
    <w:rsid w:val="00C15B7D"/>
    <w:rsid w:val="00C16ABB"/>
    <w:rsid w:val="00C220CC"/>
    <w:rsid w:val="00C237AA"/>
    <w:rsid w:val="00C24AB7"/>
    <w:rsid w:val="00C27B3D"/>
    <w:rsid w:val="00C27B5A"/>
    <w:rsid w:val="00C36CA6"/>
    <w:rsid w:val="00C465F8"/>
    <w:rsid w:val="00C473F1"/>
    <w:rsid w:val="00C521EC"/>
    <w:rsid w:val="00C53620"/>
    <w:rsid w:val="00C60E5D"/>
    <w:rsid w:val="00C61421"/>
    <w:rsid w:val="00C64F42"/>
    <w:rsid w:val="00C6728B"/>
    <w:rsid w:val="00C7241F"/>
    <w:rsid w:val="00C80A06"/>
    <w:rsid w:val="00C80DD6"/>
    <w:rsid w:val="00C84781"/>
    <w:rsid w:val="00C8610C"/>
    <w:rsid w:val="00C90D45"/>
    <w:rsid w:val="00C92C19"/>
    <w:rsid w:val="00C93A54"/>
    <w:rsid w:val="00C96CA3"/>
    <w:rsid w:val="00C97E47"/>
    <w:rsid w:val="00CA162F"/>
    <w:rsid w:val="00CA1880"/>
    <w:rsid w:val="00CA590F"/>
    <w:rsid w:val="00CB78D7"/>
    <w:rsid w:val="00CC0E01"/>
    <w:rsid w:val="00CC64ED"/>
    <w:rsid w:val="00CD0242"/>
    <w:rsid w:val="00CD223B"/>
    <w:rsid w:val="00CD4204"/>
    <w:rsid w:val="00CD7C25"/>
    <w:rsid w:val="00CE2CE7"/>
    <w:rsid w:val="00CE47F7"/>
    <w:rsid w:val="00CE71B5"/>
    <w:rsid w:val="00CF7E3A"/>
    <w:rsid w:val="00D0003A"/>
    <w:rsid w:val="00D0250D"/>
    <w:rsid w:val="00D0297D"/>
    <w:rsid w:val="00D1025D"/>
    <w:rsid w:val="00D11EB2"/>
    <w:rsid w:val="00D16326"/>
    <w:rsid w:val="00D17F18"/>
    <w:rsid w:val="00D2565F"/>
    <w:rsid w:val="00D41B68"/>
    <w:rsid w:val="00D42567"/>
    <w:rsid w:val="00D43950"/>
    <w:rsid w:val="00D440D8"/>
    <w:rsid w:val="00D45AEF"/>
    <w:rsid w:val="00D46FED"/>
    <w:rsid w:val="00D55285"/>
    <w:rsid w:val="00D55B62"/>
    <w:rsid w:val="00D6111B"/>
    <w:rsid w:val="00D707CD"/>
    <w:rsid w:val="00D714B6"/>
    <w:rsid w:val="00D76571"/>
    <w:rsid w:val="00D82422"/>
    <w:rsid w:val="00D8547D"/>
    <w:rsid w:val="00D85771"/>
    <w:rsid w:val="00D8577A"/>
    <w:rsid w:val="00D86F4A"/>
    <w:rsid w:val="00D90439"/>
    <w:rsid w:val="00D914B3"/>
    <w:rsid w:val="00D96840"/>
    <w:rsid w:val="00DA31B6"/>
    <w:rsid w:val="00DB064D"/>
    <w:rsid w:val="00DB3303"/>
    <w:rsid w:val="00DB7725"/>
    <w:rsid w:val="00DC67C5"/>
    <w:rsid w:val="00DC74CE"/>
    <w:rsid w:val="00DD0A38"/>
    <w:rsid w:val="00DD1176"/>
    <w:rsid w:val="00DD4018"/>
    <w:rsid w:val="00DD5987"/>
    <w:rsid w:val="00DD6095"/>
    <w:rsid w:val="00DE5F6F"/>
    <w:rsid w:val="00DE78BF"/>
    <w:rsid w:val="00DF138A"/>
    <w:rsid w:val="00DF37B0"/>
    <w:rsid w:val="00E04FB0"/>
    <w:rsid w:val="00E12581"/>
    <w:rsid w:val="00E12A50"/>
    <w:rsid w:val="00E2131A"/>
    <w:rsid w:val="00E23751"/>
    <w:rsid w:val="00E2406A"/>
    <w:rsid w:val="00E30ADE"/>
    <w:rsid w:val="00E4255D"/>
    <w:rsid w:val="00E51FDB"/>
    <w:rsid w:val="00E56F14"/>
    <w:rsid w:val="00E61C04"/>
    <w:rsid w:val="00E6252E"/>
    <w:rsid w:val="00E66810"/>
    <w:rsid w:val="00E75E91"/>
    <w:rsid w:val="00E808DE"/>
    <w:rsid w:val="00E81113"/>
    <w:rsid w:val="00E8152E"/>
    <w:rsid w:val="00E81612"/>
    <w:rsid w:val="00E82FFA"/>
    <w:rsid w:val="00E91DEE"/>
    <w:rsid w:val="00E93F4E"/>
    <w:rsid w:val="00E947F4"/>
    <w:rsid w:val="00E952D7"/>
    <w:rsid w:val="00E96632"/>
    <w:rsid w:val="00E96B87"/>
    <w:rsid w:val="00EA0121"/>
    <w:rsid w:val="00EA1576"/>
    <w:rsid w:val="00EA27F8"/>
    <w:rsid w:val="00EA2808"/>
    <w:rsid w:val="00EA39F7"/>
    <w:rsid w:val="00EB269F"/>
    <w:rsid w:val="00EB4115"/>
    <w:rsid w:val="00EC6F5D"/>
    <w:rsid w:val="00EC757F"/>
    <w:rsid w:val="00ED039D"/>
    <w:rsid w:val="00ED1E06"/>
    <w:rsid w:val="00ED5E68"/>
    <w:rsid w:val="00EE0CD0"/>
    <w:rsid w:val="00EE28EA"/>
    <w:rsid w:val="00EE6CFE"/>
    <w:rsid w:val="00EF12D5"/>
    <w:rsid w:val="00EF2C0C"/>
    <w:rsid w:val="00F005D9"/>
    <w:rsid w:val="00F01BB4"/>
    <w:rsid w:val="00F01EFE"/>
    <w:rsid w:val="00F020AD"/>
    <w:rsid w:val="00F03C7B"/>
    <w:rsid w:val="00F04812"/>
    <w:rsid w:val="00F05623"/>
    <w:rsid w:val="00F12472"/>
    <w:rsid w:val="00F1271A"/>
    <w:rsid w:val="00F16256"/>
    <w:rsid w:val="00F2287C"/>
    <w:rsid w:val="00F23429"/>
    <w:rsid w:val="00F26EC7"/>
    <w:rsid w:val="00F30959"/>
    <w:rsid w:val="00F32788"/>
    <w:rsid w:val="00F36B8F"/>
    <w:rsid w:val="00F40A2C"/>
    <w:rsid w:val="00F4498F"/>
    <w:rsid w:val="00F458B6"/>
    <w:rsid w:val="00F60909"/>
    <w:rsid w:val="00F62153"/>
    <w:rsid w:val="00F62F8C"/>
    <w:rsid w:val="00F63717"/>
    <w:rsid w:val="00F74A51"/>
    <w:rsid w:val="00F75AF8"/>
    <w:rsid w:val="00F81046"/>
    <w:rsid w:val="00F825B4"/>
    <w:rsid w:val="00F83166"/>
    <w:rsid w:val="00F85D9E"/>
    <w:rsid w:val="00F90B38"/>
    <w:rsid w:val="00F94675"/>
    <w:rsid w:val="00F975B7"/>
    <w:rsid w:val="00F977D9"/>
    <w:rsid w:val="00FA471C"/>
    <w:rsid w:val="00FA5304"/>
    <w:rsid w:val="00FA72C3"/>
    <w:rsid w:val="00FC4362"/>
    <w:rsid w:val="00FC4E74"/>
    <w:rsid w:val="00FC65A3"/>
    <w:rsid w:val="00FC70DB"/>
    <w:rsid w:val="00FC7661"/>
    <w:rsid w:val="00FD00E2"/>
    <w:rsid w:val="00FD081C"/>
    <w:rsid w:val="00FD4C17"/>
    <w:rsid w:val="00FD568F"/>
    <w:rsid w:val="00FE0125"/>
    <w:rsid w:val="00FE31DA"/>
    <w:rsid w:val="00FE3C63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9D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6"/>
    </w:rPr>
  </w:style>
  <w:style w:type="paragraph" w:styleId="Heading1">
    <w:name w:val="heading 1"/>
    <w:basedOn w:val="Normal"/>
    <w:next w:val="standard"/>
    <w:link w:val="Heading1Char"/>
    <w:uiPriority w:val="4"/>
    <w:qFormat/>
    <w:pPr>
      <w:keepNext/>
      <w:spacing w:before="120" w:after="120"/>
      <w:outlineLvl w:val="0"/>
    </w:pPr>
    <w:rPr>
      <w:rFonts w:ascii="Helvetica" w:hAnsi="Helvetica"/>
      <w:b/>
      <w:kern w:val="28"/>
    </w:rPr>
  </w:style>
  <w:style w:type="paragraph" w:styleId="Heading2">
    <w:name w:val="heading 2"/>
    <w:basedOn w:val="Normal"/>
    <w:next w:val="sub1"/>
    <w:uiPriority w:val="4"/>
    <w:qFormat/>
    <w:pPr>
      <w:keepNext/>
      <w:spacing w:before="120" w:after="120"/>
      <w:ind w:firstLine="144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sub2"/>
    <w:link w:val="Heading3Char"/>
    <w:uiPriority w:val="4"/>
    <w:qFormat/>
    <w:pPr>
      <w:keepNext/>
      <w:spacing w:before="120" w:after="120"/>
      <w:ind w:firstLine="21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sub3"/>
    <w:uiPriority w:val="4"/>
    <w:qFormat/>
    <w:pPr>
      <w:keepNext/>
      <w:spacing w:before="120" w:after="120"/>
      <w:ind w:firstLine="2880"/>
      <w:outlineLvl w:val="3"/>
    </w:pPr>
    <w:rPr>
      <w:rFonts w:ascii="Helvetica" w:hAnsi="Helvetica"/>
      <w:b/>
      <w:i/>
    </w:rPr>
  </w:style>
  <w:style w:type="paragraph" w:styleId="Heading5">
    <w:name w:val="heading 5"/>
    <w:basedOn w:val="Normal"/>
    <w:next w:val="sub4"/>
    <w:uiPriority w:val="4"/>
    <w:qFormat/>
    <w:pPr>
      <w:spacing w:before="120" w:after="120"/>
      <w:ind w:firstLine="3600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standard"/>
    <w:link w:val="Heading6Char"/>
    <w:uiPriority w:val="4"/>
    <w:semiHidden/>
    <w:unhideWhenUsed/>
    <w:qFormat/>
    <w:rsid w:val="00C16ABB"/>
    <w:pPr>
      <w:keepNext/>
      <w:keepLines/>
      <w:tabs>
        <w:tab w:val="num" w:pos="3528"/>
      </w:tabs>
      <w:spacing w:before="40" w:after="120"/>
      <w:ind w:left="3528" w:right="2160" w:hanging="1728"/>
      <w:outlineLvl w:val="5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pPr>
      <w:spacing w:after="240"/>
    </w:pPr>
    <w:rPr>
      <w:sz w:val="24"/>
    </w:rPr>
  </w:style>
  <w:style w:type="character" w:styleId="FootnoteReference">
    <w:name w:val="footnote reference"/>
    <w:aliases w:val="o,fr,Style 3,o1,o2,o3,o4,o5,o6,o11,o21,o7,o + Times New Roman,Style 12,(NECG) Footnote Reference,Appel note de bas de p,Style 124"/>
    <w:basedOn w:val="DefaultParagraphFont"/>
    <w:semiHidden/>
    <w:rPr>
      <w:sz w:val="24"/>
      <w:vertAlign w:val="superscript"/>
    </w:rPr>
  </w:style>
  <w:style w:type="paragraph" w:customStyle="1" w:styleId="standard">
    <w:name w:val="standard"/>
    <w:basedOn w:val="Normal"/>
    <w:link w:val="standardChar"/>
    <w:pPr>
      <w:spacing w:line="360" w:lineRule="auto"/>
      <w:ind w:firstLine="7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customStyle="1" w:styleId="Quote1">
    <w:name w:val="Quote1"/>
    <w:basedOn w:val="standard"/>
    <w:next w:val="standard"/>
    <w:pPr>
      <w:spacing w:before="120" w:after="240" w:line="240" w:lineRule="auto"/>
      <w:ind w:left="720" w:right="720" w:firstLine="0"/>
    </w:pPr>
  </w:style>
  <w:style w:type="paragraph" w:customStyle="1" w:styleId="letter">
    <w:name w:val="letter"/>
    <w:basedOn w:val="num1"/>
    <w:pPr>
      <w:spacing w:after="120" w:line="240" w:lineRule="auto"/>
      <w:ind w:left="994" w:hanging="274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customStyle="1" w:styleId="main">
    <w:name w:val="main"/>
    <w:basedOn w:val="Normal"/>
    <w:link w:val="mainChar"/>
    <w:pPr>
      <w:jc w:val="center"/>
    </w:pPr>
    <w:rPr>
      <w:rFonts w:ascii="Helvetica" w:hAnsi="Helvetica"/>
      <w:b/>
    </w:rPr>
  </w:style>
  <w:style w:type="paragraph" w:customStyle="1" w:styleId="mainex">
    <w:name w:val="mainex"/>
    <w:basedOn w:val="main"/>
    <w:pPr>
      <w:keepNext/>
    </w:pPr>
    <w:rPr>
      <w:spacing w:val="120"/>
    </w:rPr>
  </w:style>
  <w:style w:type="paragraph" w:customStyle="1" w:styleId="num1">
    <w:name w:val="num1"/>
    <w:basedOn w:val="Normal"/>
    <w:pPr>
      <w:tabs>
        <w:tab w:val="left" w:pos="-720"/>
      </w:tabs>
      <w:suppressAutoHyphens/>
      <w:spacing w:line="360" w:lineRule="auto"/>
      <w:ind w:firstLine="360"/>
    </w:p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</w:style>
  <w:style w:type="paragraph" w:customStyle="1" w:styleId="num2">
    <w:name w:val="num2"/>
    <w:basedOn w:val="num1"/>
    <w:pPr>
      <w:ind w:firstLine="27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center"/>
    </w:pPr>
  </w:style>
  <w:style w:type="paragraph" w:customStyle="1" w:styleId="sub1">
    <w:name w:val="sub1"/>
    <w:basedOn w:val="Normal"/>
    <w:pPr>
      <w:spacing w:line="360" w:lineRule="auto"/>
      <w:ind w:firstLine="1440"/>
    </w:pPr>
  </w:style>
  <w:style w:type="paragraph" w:customStyle="1" w:styleId="titlebar">
    <w:name w:val="title bar"/>
    <w:basedOn w:val="main"/>
    <w:pPr>
      <w:keepNext/>
      <w:suppressAutoHyphens/>
    </w:pPr>
  </w:style>
  <w:style w:type="character" w:styleId="PageNumber">
    <w:name w:val="page number"/>
    <w:basedOn w:val="DefaultParagraphFont"/>
  </w:style>
  <w:style w:type="paragraph" w:customStyle="1" w:styleId="sub2">
    <w:name w:val="sub2"/>
    <w:basedOn w:val="Normal"/>
    <w:pPr>
      <w:spacing w:line="360" w:lineRule="auto"/>
      <w:ind w:firstLine="2160"/>
    </w:pPr>
  </w:style>
  <w:style w:type="paragraph" w:customStyle="1" w:styleId="sub3">
    <w:name w:val="sub3"/>
    <w:basedOn w:val="Normal"/>
    <w:pPr>
      <w:spacing w:line="360" w:lineRule="auto"/>
      <w:ind w:firstLine="2880"/>
    </w:pPr>
  </w:style>
  <w:style w:type="paragraph" w:customStyle="1" w:styleId="sub4">
    <w:name w:val="sub4"/>
    <w:basedOn w:val="Normal"/>
    <w:pPr>
      <w:ind w:firstLine="3600"/>
    </w:pPr>
  </w:style>
  <w:style w:type="paragraph" w:customStyle="1" w:styleId="dummy">
    <w:name w:val="dummy"/>
    <w:basedOn w:val="Heading1"/>
    <w:pPr>
      <w:outlineLvl w:val="9"/>
    </w:pPr>
  </w:style>
  <w:style w:type="character" w:customStyle="1" w:styleId="standardChar">
    <w:name w:val="standard Char"/>
    <w:basedOn w:val="DefaultParagraphFont"/>
    <w:link w:val="standard"/>
    <w:rPr>
      <w:rFonts w:ascii="Palatino" w:hAnsi="Palatino"/>
      <w:sz w:val="26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mainChar">
    <w:name w:val="main Char"/>
    <w:basedOn w:val="DefaultParagraphFont"/>
    <w:link w:val="main"/>
    <w:rPr>
      <w:rFonts w:ascii="Helvetica" w:hAnsi="Helvetica"/>
      <w:b/>
      <w:sz w:val="26"/>
      <w:lang w:val="en-US" w:eastAsia="en-US" w:bidi="ar-SA"/>
    </w:rPr>
  </w:style>
  <w:style w:type="paragraph" w:customStyle="1" w:styleId="PageXofY">
    <w:name w:val="Page X of Y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79DE"/>
    <w:rPr>
      <w:rFonts w:ascii="Palatino" w:hAnsi="Palatino"/>
      <w:sz w:val="26"/>
    </w:rPr>
  </w:style>
  <w:style w:type="paragraph" w:styleId="BalloonText">
    <w:name w:val="Balloon Text"/>
    <w:basedOn w:val="Normal"/>
    <w:link w:val="BalloonTextChar"/>
    <w:rsid w:val="004A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9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2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DB7725"/>
    <w:rPr>
      <w:rFonts w:ascii="Palatino" w:hAnsi="Palatino"/>
      <w:sz w:val="26"/>
    </w:rPr>
  </w:style>
  <w:style w:type="paragraph" w:styleId="ListParagraph">
    <w:name w:val="List Paragraph"/>
    <w:basedOn w:val="Normal"/>
    <w:uiPriority w:val="34"/>
    <w:qFormat/>
    <w:rsid w:val="009429B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A561F7"/>
    <w:rPr>
      <w:rFonts w:ascii="Palatino" w:hAnsi="Palatino"/>
      <w:sz w:val="24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16ABB"/>
    <w:rPr>
      <w:rFonts w:ascii="Arial" w:eastAsiaTheme="majorEastAsia" w:hAnsi="Arial" w:cstheme="majorBidi"/>
      <w:b/>
      <w:sz w:val="26"/>
      <w:szCs w:val="26"/>
    </w:rPr>
  </w:style>
  <w:style w:type="paragraph" w:customStyle="1" w:styleId="ListAlpha">
    <w:name w:val="List Alpha"/>
    <w:basedOn w:val="standard"/>
    <w:uiPriority w:val="4"/>
    <w:qFormat/>
    <w:rsid w:val="00C16ABB"/>
    <w:pPr>
      <w:tabs>
        <w:tab w:val="num" w:pos="1080"/>
      </w:tabs>
      <w:spacing w:after="120" w:line="240" w:lineRule="auto"/>
      <w:ind w:left="1080" w:hanging="360"/>
    </w:pPr>
    <w:rPr>
      <w:rFonts w:ascii="Book Antiqua" w:eastAsiaTheme="minorHAnsi" w:hAnsi="Book Antiqua" w:cstheme="minorBidi"/>
      <w:szCs w:val="22"/>
    </w:rPr>
  </w:style>
  <w:style w:type="paragraph" w:customStyle="1" w:styleId="ListNum">
    <w:name w:val="List Num"/>
    <w:basedOn w:val="standard"/>
    <w:uiPriority w:val="4"/>
    <w:rsid w:val="00C16ABB"/>
    <w:pPr>
      <w:tabs>
        <w:tab w:val="num" w:pos="1080"/>
      </w:tabs>
      <w:spacing w:after="120" w:line="240" w:lineRule="auto"/>
      <w:ind w:left="1080" w:hanging="360"/>
    </w:pPr>
    <w:rPr>
      <w:rFonts w:ascii="Book Antiqua" w:eastAsiaTheme="minorHAnsi" w:hAnsi="Book Antiqua" w:cstheme="minorBidi"/>
      <w:szCs w:val="22"/>
    </w:rPr>
  </w:style>
  <w:style w:type="numbering" w:customStyle="1" w:styleId="Headings">
    <w:name w:val="Headings"/>
    <w:uiPriority w:val="99"/>
    <w:rsid w:val="00C16ABB"/>
    <w:pPr>
      <w:numPr>
        <w:numId w:val="12"/>
      </w:numPr>
    </w:pPr>
  </w:style>
  <w:style w:type="paragraph" w:customStyle="1" w:styleId="Standard0">
    <w:name w:val="Standard"/>
    <w:basedOn w:val="Normal"/>
    <w:qFormat/>
    <w:rsid w:val="006B6592"/>
    <w:pPr>
      <w:spacing w:line="360" w:lineRule="auto"/>
      <w:ind w:firstLine="720"/>
    </w:pPr>
    <w:rPr>
      <w:rFonts w:ascii="Book Antiqua" w:eastAsiaTheme="minorHAnsi" w:hAnsi="Book Antiqua"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rsid w:val="006B6592"/>
    <w:rPr>
      <w:rFonts w:ascii="Helvetica" w:hAnsi="Helvetica"/>
      <w:b/>
      <w:sz w:val="26"/>
    </w:rPr>
  </w:style>
  <w:style w:type="character" w:customStyle="1" w:styleId="Heading1Char">
    <w:name w:val="Heading 1 Char"/>
    <w:basedOn w:val="DefaultParagraphFont"/>
    <w:link w:val="Heading1"/>
    <w:uiPriority w:val="4"/>
    <w:rsid w:val="001E030F"/>
    <w:rPr>
      <w:rFonts w:ascii="Helvetica" w:hAnsi="Helvetica"/>
      <w:b/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661ADBBB1B48BF21CEFE7235FB17" ma:contentTypeVersion="11" ma:contentTypeDescription="Create a new document." ma:contentTypeScope="" ma:versionID="01fedc7372a693d5be94e6971a337ea0">
  <xsd:schema xmlns:xsd="http://www.w3.org/2001/XMLSchema" xmlns:xs="http://www.w3.org/2001/XMLSchema" xmlns:p="http://schemas.microsoft.com/office/2006/metadata/properties" xmlns:ns3="2c0782a9-f762-4416-ae6c-b4317e89eaff" xmlns:ns4="7a4b4790-8a76-49b9-84c6-ad3c05bdaf3c" targetNamespace="http://schemas.microsoft.com/office/2006/metadata/properties" ma:root="true" ma:fieldsID="bf613a15d6cd23cb01ae9f95e85f2b8e" ns3:_="" ns4:_="">
    <xsd:import namespace="2c0782a9-f762-4416-ae6c-b4317e89eaff"/>
    <xsd:import namespace="7a4b4790-8a76-49b9-84c6-ad3c05bda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82a9-f762-4416-ae6c-b4317e89e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4790-8a76-49b9-84c6-ad3c05bda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08103-C330-4585-94EB-D38A65660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A464E-F98A-4FE9-A8DE-D3FC76505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358EA-BF86-4DA9-8C63-25DEE4300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1E500-19BF-49EC-A31F-A86A0754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82a9-f762-4416-ae6c-b4317e89eaff"/>
    <ds:schemaRef ds:uri="7a4b4790-8a76-49b9-84c6-ad3c05bd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732</ap:Words>
  <ap:Characters>4179</ap:Characters>
  <ap:Application>Microsoft Office Word</ap:Application>
  <ap:DocSecurity>0</ap:DocSecurity>
  <ap:Lines>34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4902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2012-05-29T17:03:00Z</cp:lastPrinted>
  <dcterms:created xsi:type="dcterms:W3CDTF">2021-06-11T09:49:19Z</dcterms:created>
  <dcterms:modified xsi:type="dcterms:W3CDTF">2021-06-11T09:49:19Z</dcterms:modified>
</cp:coreProperties>
</file>