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70BEAF91" w14:textId="05F66204">
      <w:pPr>
        <w:pStyle w:val="titlebar"/>
        <w:rPr>
          <w:sz w:val="24"/>
        </w:rPr>
      </w:pPr>
      <w:bookmarkStart w:name="_Hlk72154349" w:id="0"/>
      <w:r>
        <w:rPr>
          <w:sz w:val="24"/>
        </w:rPr>
        <w:t>PUBLIC UTILITIES COMMISSION OF THE STATE OF CALIFORNIA</w:t>
      </w:r>
    </w:p>
    <w:p w:rsidRPr="003B2BA5" w:rsidR="00C61699" w:rsidP="002238AE" w:rsidRDefault="00C61699" w14:paraId="3D0DEE13" w14:textId="1B78FA4B">
      <w:pPr>
        <w:suppressAutoHyphens/>
        <w:rPr>
          <w:b/>
        </w:rPr>
      </w:pPr>
    </w:p>
    <w:p w:rsidRPr="003B2BA5" w:rsidR="00CF17DE" w:rsidRDefault="00593807" w14:paraId="7AE852C7" w14:textId="0594E627">
      <w:pPr>
        <w:rPr>
          <w:b/>
          <w:sz w:val="24"/>
        </w:rPr>
      </w:pPr>
      <w:r w:rsidRPr="003B2BA5">
        <w:rPr>
          <w:b/>
          <w:sz w:val="24"/>
        </w:rPr>
        <w:t>ENERGY DIVISION</w:t>
      </w:r>
      <w:r w:rsidRPr="003B2BA5">
        <w:rPr>
          <w:b/>
          <w:sz w:val="24"/>
        </w:rPr>
        <w:tab/>
      </w:r>
      <w:r w:rsidRPr="003B2BA5">
        <w:rPr>
          <w:b/>
          <w:sz w:val="24"/>
        </w:rPr>
        <w:tab/>
      </w:r>
      <w:r w:rsidRPr="003B2BA5">
        <w:rPr>
          <w:b/>
          <w:sz w:val="24"/>
        </w:rPr>
        <w:tab/>
      </w:r>
      <w:r w:rsidRPr="003B2BA5">
        <w:rPr>
          <w:b/>
          <w:sz w:val="24"/>
        </w:rPr>
        <w:tab/>
      </w:r>
      <w:r w:rsidRPr="003B2BA5">
        <w:rPr>
          <w:b/>
          <w:sz w:val="24"/>
        </w:rPr>
        <w:tab/>
      </w:r>
      <w:r w:rsidRPr="003B2BA5" w:rsidR="00BF222A">
        <w:rPr>
          <w:b/>
          <w:sz w:val="24"/>
        </w:rPr>
        <w:tab/>
      </w:r>
      <w:r w:rsidRPr="003B2BA5" w:rsidR="00CF17DE">
        <w:rPr>
          <w:b/>
          <w:sz w:val="24"/>
        </w:rPr>
        <w:t xml:space="preserve">RESOLUTION </w:t>
      </w:r>
      <w:r w:rsidRPr="003B2BA5" w:rsidR="004A461B">
        <w:rPr>
          <w:b/>
          <w:sz w:val="24"/>
        </w:rPr>
        <w:t>E-</w:t>
      </w:r>
      <w:r w:rsidRPr="003B2BA5" w:rsidR="00673A01">
        <w:rPr>
          <w:b/>
          <w:sz w:val="24"/>
        </w:rPr>
        <w:t>5070</w:t>
      </w:r>
    </w:p>
    <w:p w:rsidRPr="003B2BA5" w:rsidR="00CF17DE" w:rsidRDefault="00C61699" w14:paraId="3DBC912E" w14:textId="187CC74C">
      <w:pPr>
        <w:tabs>
          <w:tab w:val="right" w:pos="8910"/>
        </w:tabs>
        <w:ind w:left="1440" w:firstLine="720"/>
        <w:rPr>
          <w:b/>
          <w:sz w:val="24"/>
        </w:rPr>
      </w:pPr>
      <w:r w:rsidRPr="003B2BA5">
        <w:rPr>
          <w:b/>
          <w:sz w:val="24"/>
        </w:rPr>
        <w:t xml:space="preserve">                                                                        </w:t>
      </w:r>
      <w:r w:rsidRPr="003B2BA5" w:rsidR="006F798D">
        <w:rPr>
          <w:b/>
          <w:sz w:val="24"/>
        </w:rPr>
        <w:t>May 20</w:t>
      </w:r>
      <w:r w:rsidRPr="003B2BA5" w:rsidR="00870F03">
        <w:rPr>
          <w:b/>
          <w:sz w:val="24"/>
        </w:rPr>
        <w:t>, 2021</w:t>
      </w:r>
    </w:p>
    <w:bookmarkEnd w:id="0"/>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1"/>
      <w:r>
        <w:rPr>
          <w:u w:val="single"/>
        </w:rPr>
        <w:t>RESOLUTION</w:t>
      </w:r>
    </w:p>
    <w:p w:rsidR="00CF17DE" w:rsidRDefault="00CF17DE" w14:paraId="63C93376" w14:textId="77777777"/>
    <w:p w:rsidR="00B927B5" w:rsidP="00A47267" w:rsidRDefault="00B927B5" w14:paraId="38C822AA" w14:textId="7036877F">
      <w:pPr>
        <w:pStyle w:val="Res-Caption"/>
      </w:pPr>
      <w:r>
        <w:t xml:space="preserve">Resolution </w:t>
      </w:r>
      <w:r w:rsidR="004A461B">
        <w:t>E-</w:t>
      </w:r>
      <w:r w:rsidR="00673A01">
        <w:t>5070</w:t>
      </w:r>
      <w:r>
        <w:t xml:space="preserve">.  </w:t>
      </w:r>
      <w:r w:rsidRPr="004A461B" w:rsidR="00F81FEA">
        <w:t>Pacific Gas and Electric Company (PG&amp;E)</w:t>
      </w:r>
      <w:r w:rsidR="00F81FEA">
        <w:t xml:space="preserve"> requests authorization to</w:t>
      </w:r>
      <w:r w:rsidRPr="004A461B" w:rsidR="004A461B">
        <w:t xml:space="preserve"> </w:t>
      </w:r>
      <w:r w:rsidR="007229DF">
        <w:rPr>
          <w:bCs/>
        </w:rPr>
        <w:t>e</w:t>
      </w:r>
      <w:r w:rsidRPr="007229DF" w:rsidR="007229DF">
        <w:rPr>
          <w:bCs/>
        </w:rPr>
        <w:t>stablis</w:t>
      </w:r>
      <w:r w:rsidR="00F81FEA">
        <w:rPr>
          <w:bCs/>
        </w:rPr>
        <w:t>h</w:t>
      </w:r>
      <w:r w:rsidRPr="007229DF" w:rsidR="007229DF">
        <w:rPr>
          <w:bCs/>
        </w:rPr>
        <w:t xml:space="preserve"> </w:t>
      </w:r>
      <w:r w:rsidR="007229DF">
        <w:rPr>
          <w:bCs/>
        </w:rPr>
        <w:t>a</w:t>
      </w:r>
      <w:r w:rsidRPr="007229DF" w:rsidR="007229DF">
        <w:rPr>
          <w:bCs/>
        </w:rPr>
        <w:t xml:space="preserve"> </w:t>
      </w:r>
      <w:bookmarkStart w:name="_Hlk65759863" w:id="2"/>
      <w:r w:rsidRPr="007229DF" w:rsidR="007229DF">
        <w:rPr>
          <w:bCs/>
        </w:rPr>
        <w:t>Butte County Mobilehome Park</w:t>
      </w:r>
      <w:r w:rsidR="004D1EF7">
        <w:rPr>
          <w:bCs/>
        </w:rPr>
        <w:t xml:space="preserve"> </w:t>
      </w:r>
      <w:r w:rsidRPr="007229DF" w:rsidR="007229DF">
        <w:rPr>
          <w:bCs/>
        </w:rPr>
        <w:t>Rebuild Program Agreement (Form 79-1201)</w:t>
      </w:r>
      <w:bookmarkEnd w:id="2"/>
      <w:r w:rsidRPr="007229DF" w:rsidR="007229DF">
        <w:rPr>
          <w:bCs/>
        </w:rPr>
        <w:t xml:space="preserve"> for </w:t>
      </w:r>
      <w:r w:rsidR="00835803">
        <w:rPr>
          <w:bCs/>
        </w:rPr>
        <w:t>mobilehome park (</w:t>
      </w:r>
      <w:r w:rsidR="003361B4">
        <w:rPr>
          <w:bCs/>
        </w:rPr>
        <w:t>MHP</w:t>
      </w:r>
      <w:r w:rsidR="00835803">
        <w:rPr>
          <w:bCs/>
        </w:rPr>
        <w:t>)</w:t>
      </w:r>
      <w:r w:rsidR="003361B4">
        <w:rPr>
          <w:bCs/>
        </w:rPr>
        <w:t xml:space="preserve"> </w:t>
      </w:r>
      <w:r w:rsidR="00173CA6">
        <w:rPr>
          <w:bCs/>
        </w:rPr>
        <w:t>o</w:t>
      </w:r>
      <w:r w:rsidRPr="007229DF" w:rsidR="007229DF">
        <w:rPr>
          <w:bCs/>
        </w:rPr>
        <w:t>wners</w:t>
      </w:r>
      <w:r w:rsidR="002E0E6B">
        <w:rPr>
          <w:bCs/>
        </w:rPr>
        <w:t xml:space="preserve"> </w:t>
      </w:r>
      <w:r w:rsidR="00734F38">
        <w:rPr>
          <w:bCs/>
        </w:rPr>
        <w:t>and</w:t>
      </w:r>
      <w:r w:rsidRPr="007229DF" w:rsidDel="00173CA6" w:rsidR="007229DF">
        <w:rPr>
          <w:bCs/>
        </w:rPr>
        <w:t xml:space="preserve"> </w:t>
      </w:r>
      <w:r w:rsidR="00173CA6">
        <w:rPr>
          <w:bCs/>
        </w:rPr>
        <w:t>o</w:t>
      </w:r>
      <w:r w:rsidRPr="007229DF" w:rsidR="00173CA6">
        <w:rPr>
          <w:bCs/>
        </w:rPr>
        <w:t xml:space="preserve">perators </w:t>
      </w:r>
      <w:r w:rsidRPr="007229DF" w:rsidR="007229DF">
        <w:rPr>
          <w:bCs/>
        </w:rPr>
        <w:t>in Butte County</w:t>
      </w:r>
      <w:r w:rsidRPr="004A461B" w:rsidR="004A461B">
        <w:t>.</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AC3ACC" w:rsidR="005A500C" w:rsidP="005A500C" w:rsidRDefault="005A500C" w14:paraId="278BB801" w14:textId="76F8FCC8">
      <w:pPr>
        <w:pStyle w:val="Res-Caption"/>
        <w:numPr>
          <w:ilvl w:val="0"/>
          <w:numId w:val="6"/>
        </w:numPr>
      </w:pPr>
      <w:r w:rsidRPr="00AC3ACC">
        <w:t xml:space="preserve">This Resolution approves </w:t>
      </w:r>
      <w:r w:rsidR="00F81FEA">
        <w:t xml:space="preserve">the </w:t>
      </w:r>
      <w:bookmarkStart w:name="_Hlk39184787" w:id="3"/>
      <w:bookmarkStart w:name="_Hlk56069528" w:id="4"/>
      <w:r w:rsidRPr="007229DF" w:rsidR="007229DF">
        <w:rPr>
          <w:bCs/>
        </w:rPr>
        <w:t xml:space="preserve">Butte County </w:t>
      </w:r>
      <w:r w:rsidRPr="000978AC" w:rsidR="000978AC">
        <w:rPr>
          <w:bCs/>
        </w:rPr>
        <w:t>Mobilehome Park</w:t>
      </w:r>
      <w:r w:rsidR="00007F07">
        <w:rPr>
          <w:bCs/>
        </w:rPr>
        <w:t xml:space="preserve"> </w:t>
      </w:r>
      <w:r w:rsidRPr="007229DF" w:rsidR="007229DF">
        <w:rPr>
          <w:bCs/>
        </w:rPr>
        <w:t xml:space="preserve">Rebuild Program </w:t>
      </w:r>
      <w:bookmarkEnd w:id="3"/>
      <w:r w:rsidRPr="007229DF" w:rsidR="007229DF">
        <w:rPr>
          <w:bCs/>
        </w:rPr>
        <w:t>Agreement</w:t>
      </w:r>
      <w:bookmarkEnd w:id="4"/>
      <w:r w:rsidRPr="007229DF" w:rsidR="007229DF">
        <w:rPr>
          <w:bCs/>
        </w:rPr>
        <w:t xml:space="preserve"> (Form 79-1201) </w:t>
      </w:r>
      <w:r w:rsidR="00F81FEA">
        <w:rPr>
          <w:bCs/>
        </w:rPr>
        <w:t>with modifications</w:t>
      </w:r>
      <w:r w:rsidRPr="007229DF" w:rsidR="00F81FEA">
        <w:rPr>
          <w:bCs/>
        </w:rPr>
        <w:t xml:space="preserve"> </w:t>
      </w:r>
      <w:r w:rsidRPr="007229DF" w:rsidR="007229DF">
        <w:rPr>
          <w:bCs/>
        </w:rPr>
        <w:t xml:space="preserve">for </w:t>
      </w:r>
      <w:r w:rsidR="00007F07">
        <w:rPr>
          <w:bCs/>
        </w:rPr>
        <w:t>MHP</w:t>
      </w:r>
      <w:r w:rsidRPr="007229DF" w:rsidR="007229DF">
        <w:rPr>
          <w:bCs/>
        </w:rPr>
        <w:t xml:space="preserve"> </w:t>
      </w:r>
      <w:r w:rsidR="004B6BA0">
        <w:rPr>
          <w:bCs/>
        </w:rPr>
        <w:t>o</w:t>
      </w:r>
      <w:r w:rsidRPr="007229DF" w:rsidR="004B6BA0">
        <w:rPr>
          <w:bCs/>
        </w:rPr>
        <w:t>wners</w:t>
      </w:r>
      <w:r w:rsidR="004B6BA0">
        <w:rPr>
          <w:bCs/>
        </w:rPr>
        <w:t xml:space="preserve"> </w:t>
      </w:r>
      <w:r w:rsidR="00734F38">
        <w:rPr>
          <w:bCs/>
        </w:rPr>
        <w:t xml:space="preserve">and </w:t>
      </w:r>
      <w:r w:rsidR="004B6BA0">
        <w:rPr>
          <w:bCs/>
        </w:rPr>
        <w:t>o</w:t>
      </w:r>
      <w:r w:rsidRPr="007229DF" w:rsidR="007229DF">
        <w:rPr>
          <w:bCs/>
        </w:rPr>
        <w:t>perators in Butte County</w:t>
      </w:r>
      <w:r w:rsidRPr="00AC3ACC">
        <w:t xml:space="preserve">. </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903B5D" w:rsidR="005A500C" w:rsidP="005A500C" w:rsidRDefault="001E68D7" w14:paraId="2108D069" w14:textId="189A14A7">
      <w:pPr>
        <w:pStyle w:val="Res-Caption"/>
        <w:numPr>
          <w:ilvl w:val="0"/>
          <w:numId w:val="6"/>
        </w:numPr>
        <w:rPr>
          <w:bCs/>
        </w:rPr>
      </w:pPr>
      <w:bookmarkStart w:name="_Hlk32227176" w:id="5"/>
      <w:r w:rsidRPr="00D64128">
        <w:rPr>
          <w:bCs/>
        </w:rPr>
        <w:t xml:space="preserve">The Butte </w:t>
      </w:r>
      <w:r w:rsidRPr="007229DF">
        <w:rPr>
          <w:bCs/>
        </w:rPr>
        <w:t xml:space="preserve">County </w:t>
      </w:r>
      <w:r w:rsidRPr="00835803" w:rsidR="00835803">
        <w:rPr>
          <w:bCs/>
        </w:rPr>
        <w:t>Mobilehome Park</w:t>
      </w:r>
      <w:r w:rsidR="0020606D">
        <w:rPr>
          <w:bCs/>
        </w:rPr>
        <w:t xml:space="preserve"> </w:t>
      </w:r>
      <w:r w:rsidRPr="007229DF">
        <w:rPr>
          <w:bCs/>
        </w:rPr>
        <w:t>Rebuild Program</w:t>
      </w:r>
      <w:r w:rsidRPr="00903B5D">
        <w:rPr>
          <w:bCs/>
        </w:rPr>
        <w:t xml:space="preserve"> </w:t>
      </w:r>
      <w:bookmarkEnd w:id="5"/>
      <w:r w:rsidRPr="00903B5D">
        <w:rPr>
          <w:bCs/>
        </w:rPr>
        <w:t xml:space="preserve">will increase the safety of </w:t>
      </w:r>
      <w:r w:rsidRPr="00903B5D" w:rsidR="00007F07">
        <w:rPr>
          <w:bCs/>
        </w:rPr>
        <w:t>MHP</w:t>
      </w:r>
      <w:r w:rsidRPr="00903B5D">
        <w:rPr>
          <w:bCs/>
        </w:rPr>
        <w:t xml:space="preserve">s for </w:t>
      </w:r>
      <w:r w:rsidR="0020606D">
        <w:rPr>
          <w:bCs/>
        </w:rPr>
        <w:t>their</w:t>
      </w:r>
      <w:r w:rsidRPr="00903B5D" w:rsidR="0020606D">
        <w:rPr>
          <w:bCs/>
        </w:rPr>
        <w:t xml:space="preserve"> </w:t>
      </w:r>
      <w:r w:rsidRPr="00903B5D">
        <w:rPr>
          <w:bCs/>
        </w:rPr>
        <w:t>residents in Butte County.</w:t>
      </w:r>
      <w:r w:rsidRPr="00D64128" w:rsidR="005A500C">
        <w:rPr>
          <w:bCs/>
        </w:rPr>
        <w:t xml:space="preserve">    </w:t>
      </w:r>
    </w:p>
    <w:p w:rsidRPr="00AC3ACC" w:rsidR="00801D70" w:rsidRDefault="00801D70" w14:paraId="664CBB61" w14:textId="77777777">
      <w:pPr>
        <w:pStyle w:val="Res-Caption"/>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Pr="00903B5D" w:rsidR="005F2FE6" w:rsidP="005F2FE6" w:rsidRDefault="00E75306" w14:paraId="15155815" w14:textId="15140331">
      <w:pPr>
        <w:numPr>
          <w:ilvl w:val="0"/>
          <w:numId w:val="6"/>
        </w:numPr>
        <w:spacing w:line="248" w:lineRule="auto"/>
        <w:ind w:right="532"/>
        <w:rPr>
          <w:bCs/>
        </w:rPr>
      </w:pPr>
      <w:r>
        <w:t>The</w:t>
      </w:r>
      <w:r w:rsidRPr="00903B5D" w:rsidR="00D80703">
        <w:rPr>
          <w:bCs/>
        </w:rPr>
        <w:t xml:space="preserve"> </w:t>
      </w:r>
      <w:r w:rsidRPr="00903B5D" w:rsidR="001E68D7">
        <w:rPr>
          <w:bCs/>
        </w:rPr>
        <w:t>total expenditure</w:t>
      </w:r>
      <w:r w:rsidRPr="00903B5D" w:rsidR="00D80703">
        <w:rPr>
          <w:bCs/>
        </w:rPr>
        <w:t xml:space="preserve"> </w:t>
      </w:r>
      <w:r w:rsidRPr="00903B5D" w:rsidR="001E68D7">
        <w:rPr>
          <w:bCs/>
        </w:rPr>
        <w:t xml:space="preserve">for the Butte </w:t>
      </w:r>
      <w:r w:rsidRPr="007229DF" w:rsidR="001E68D7">
        <w:rPr>
          <w:bCs/>
        </w:rPr>
        <w:t xml:space="preserve">County </w:t>
      </w:r>
      <w:r w:rsidR="00F16A11">
        <w:rPr>
          <w:bCs/>
        </w:rPr>
        <w:t>Mobilehome Park</w:t>
      </w:r>
      <w:r w:rsidRPr="007229DF" w:rsidR="001E68D7">
        <w:rPr>
          <w:bCs/>
        </w:rPr>
        <w:t xml:space="preserve"> Rebuild Program</w:t>
      </w:r>
      <w:r w:rsidR="00271599">
        <w:rPr>
          <w:bCs/>
        </w:rPr>
        <w:t xml:space="preserve"> </w:t>
      </w:r>
      <w:r w:rsidRPr="00F87B5C" w:rsidR="00F87B5C">
        <w:rPr>
          <w:bCs/>
        </w:rPr>
        <w:t>(Rebuild Program)</w:t>
      </w:r>
      <w:r w:rsidR="00F87B5C">
        <w:rPr>
          <w:bCs/>
        </w:rPr>
        <w:t xml:space="preserve"> </w:t>
      </w:r>
      <w:r w:rsidR="00271599">
        <w:rPr>
          <w:bCs/>
        </w:rPr>
        <w:t xml:space="preserve">from 2019 </w:t>
      </w:r>
      <w:r w:rsidR="00F30769">
        <w:rPr>
          <w:bCs/>
        </w:rPr>
        <w:t>thr</w:t>
      </w:r>
      <w:r w:rsidR="00086482">
        <w:rPr>
          <w:bCs/>
        </w:rPr>
        <w:t>o</w:t>
      </w:r>
      <w:r w:rsidR="00F30769">
        <w:rPr>
          <w:bCs/>
        </w:rPr>
        <w:t>u</w:t>
      </w:r>
      <w:r w:rsidR="00086482">
        <w:rPr>
          <w:bCs/>
        </w:rPr>
        <w:t>gh</w:t>
      </w:r>
      <w:r w:rsidR="00F30769">
        <w:rPr>
          <w:bCs/>
        </w:rPr>
        <w:t xml:space="preserve"> </w:t>
      </w:r>
      <w:r w:rsidR="006C0A5E">
        <w:rPr>
          <w:bCs/>
        </w:rPr>
        <w:t xml:space="preserve">2023 </w:t>
      </w:r>
      <w:r>
        <w:rPr>
          <w:bCs/>
        </w:rPr>
        <w:t>is</w:t>
      </w:r>
      <w:r w:rsidR="00EE3A89">
        <w:rPr>
          <w:bCs/>
        </w:rPr>
        <w:t xml:space="preserve"> anticipated to be</w:t>
      </w:r>
      <w:r>
        <w:rPr>
          <w:bCs/>
        </w:rPr>
        <w:t xml:space="preserve"> approximately </w:t>
      </w:r>
      <w:r w:rsidR="00546569">
        <w:rPr>
          <w:bCs/>
        </w:rPr>
        <w:t>$</w:t>
      </w:r>
      <w:r w:rsidRPr="00C63AA1" w:rsidR="00C63AA1">
        <w:rPr>
          <w:bCs/>
        </w:rPr>
        <w:t>68,066,426.69</w:t>
      </w:r>
      <w:r w:rsidRPr="00D64128" w:rsidR="001E68D7">
        <w:rPr>
          <w:bCs/>
        </w:rPr>
        <w:t>.</w:t>
      </w:r>
      <w:r w:rsidR="004747DB">
        <w:rPr>
          <w:rStyle w:val="FootnoteReference"/>
          <w:bCs/>
        </w:rPr>
        <w:footnoteReference w:id="2"/>
      </w:r>
      <w:r w:rsidR="002041CB">
        <w:rPr>
          <w:bCs/>
        </w:rPr>
        <w:t xml:space="preserve">  </w:t>
      </w:r>
      <w:bookmarkStart w:name="_Hlk45705525" w:id="6"/>
      <w:r w:rsidR="002041CB">
        <w:rPr>
          <w:bCs/>
        </w:rPr>
        <w:t xml:space="preserve">PG&amp;E has not indicated whether it will seek </w:t>
      </w:r>
      <w:r w:rsidR="000A6792">
        <w:rPr>
          <w:bCs/>
        </w:rPr>
        <w:t xml:space="preserve">rate </w:t>
      </w:r>
      <w:r w:rsidR="002041CB">
        <w:rPr>
          <w:bCs/>
        </w:rPr>
        <w:t>recovery for these costs.</w:t>
      </w:r>
    </w:p>
    <w:bookmarkEnd w:id="6"/>
    <w:p w:rsidR="00CF17DE" w:rsidRDefault="00CF17DE" w14:paraId="414B5F5B" w14:textId="77777777">
      <w:pPr>
        <w:pStyle w:val="Res-Caption"/>
      </w:pPr>
    </w:p>
    <w:p w:rsidR="00AA102B" w:rsidRDefault="00CF17DE" w14:paraId="1BA4FFC8" w14:textId="2047B9E3">
      <w:pPr>
        <w:pStyle w:val="Res-Caption"/>
      </w:pPr>
      <w:r>
        <w:t xml:space="preserve">By Advice Letter </w:t>
      </w:r>
      <w:r w:rsidR="004A461B">
        <w:t xml:space="preserve">(AL) </w:t>
      </w:r>
      <w:r w:rsidR="00673A01">
        <w:t>4116-G/5581-E</w:t>
      </w:r>
      <w:r w:rsidR="003F6E5A">
        <w:t>,</w:t>
      </w:r>
      <w:r>
        <w:t xml:space="preserve"> </w:t>
      </w:r>
      <w:r w:rsidR="000A6D20">
        <w:t>f</w:t>
      </w:r>
      <w:r>
        <w:t xml:space="preserve">iled on </w:t>
      </w:r>
      <w:r w:rsidR="00D80703">
        <w:t>July 2</w:t>
      </w:r>
      <w:r w:rsidR="004A461B">
        <w:t>, 2019</w:t>
      </w:r>
      <w:r w:rsidR="00AA102B">
        <w:t>.</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lastRenderedPageBreak/>
        <w:t>Summary</w:t>
      </w:r>
      <w:bookmarkEnd w:id="1"/>
    </w:p>
    <w:p w:rsidRPr="00116861" w:rsidR="00116861" w:rsidP="00116861" w:rsidRDefault="00F60803" w14:paraId="11DB92BD" w14:textId="74063A87">
      <w:r w:rsidRPr="00431A2C">
        <w:t xml:space="preserve">Pacific Gas and Electric Company (PG&amp;E) requests approval </w:t>
      </w:r>
      <w:r w:rsidR="00D80703">
        <w:t xml:space="preserve">to </w:t>
      </w:r>
      <w:r w:rsidRPr="00D80703" w:rsidR="00D80703">
        <w:rPr>
          <w:bCs/>
        </w:rPr>
        <w:t xml:space="preserve">establish a Butte County Mobilehome Park Rebuild Program Agreement (Form 79-1201) for </w:t>
      </w:r>
      <w:r w:rsidR="00484F27">
        <w:rPr>
          <w:bCs/>
        </w:rPr>
        <w:t>MHP</w:t>
      </w:r>
      <w:r w:rsidRPr="00D80703" w:rsidR="00D80703">
        <w:rPr>
          <w:bCs/>
        </w:rPr>
        <w:t xml:space="preserve"> </w:t>
      </w:r>
      <w:r w:rsidR="008035FC">
        <w:rPr>
          <w:bCs/>
        </w:rPr>
        <w:t>o</w:t>
      </w:r>
      <w:r w:rsidRPr="00D80703" w:rsidR="008035FC">
        <w:rPr>
          <w:bCs/>
        </w:rPr>
        <w:t>wners</w:t>
      </w:r>
      <w:r w:rsidR="008035FC">
        <w:rPr>
          <w:bCs/>
        </w:rPr>
        <w:t xml:space="preserve"> </w:t>
      </w:r>
      <w:r w:rsidR="00734F38">
        <w:rPr>
          <w:bCs/>
        </w:rPr>
        <w:t>and</w:t>
      </w:r>
      <w:r w:rsidR="008035FC">
        <w:rPr>
          <w:bCs/>
        </w:rPr>
        <w:t xml:space="preserve"> o</w:t>
      </w:r>
      <w:r w:rsidRPr="00D80703" w:rsidR="00D80703">
        <w:rPr>
          <w:bCs/>
        </w:rPr>
        <w:t>perators in Butte County</w:t>
      </w:r>
      <w:r w:rsidRPr="00D80703" w:rsidR="00D80703">
        <w:t>.</w:t>
      </w:r>
      <w:r w:rsidRPr="00431A2C">
        <w:t xml:space="preserve"> </w:t>
      </w:r>
      <w:r w:rsidR="00F81FEA">
        <w:t xml:space="preserve"> This Resolution approves th</w:t>
      </w:r>
      <w:r w:rsidR="0093031A">
        <w:t>at</w:t>
      </w:r>
      <w:r w:rsidR="00F81FEA">
        <w:t xml:space="preserve"> request with </w:t>
      </w:r>
      <w:r w:rsidR="003D7315">
        <w:t xml:space="preserve">the following </w:t>
      </w:r>
      <w:r w:rsidR="00F81FEA">
        <w:t>modifications</w:t>
      </w:r>
      <w:r w:rsidR="00625BC4">
        <w:t xml:space="preserve"> in response to protest</w:t>
      </w:r>
      <w:r w:rsidR="00491F1F">
        <w:t>s</w:t>
      </w:r>
      <w:r w:rsidR="00625BC4">
        <w:t xml:space="preserve"> and </w:t>
      </w:r>
      <w:r w:rsidR="000245EF">
        <w:t>to</w:t>
      </w:r>
      <w:r w:rsidR="00625BC4">
        <w:t xml:space="preserve"> align with Decision </w:t>
      </w:r>
      <w:r w:rsidRPr="00BA01C6" w:rsidR="00236038">
        <w:rPr>
          <w:bCs/>
          <w:snapToGrid w:val="0"/>
        </w:rPr>
        <w:t>20-04-004</w:t>
      </w:r>
      <w:r w:rsidR="00F81FEA">
        <w:t>.</w:t>
      </w:r>
      <w:r w:rsidR="003D7315">
        <w:t xml:space="preserve">  </w:t>
      </w:r>
    </w:p>
    <w:p w:rsidR="003D7315" w:rsidP="0088015B" w:rsidRDefault="003D7315" w14:paraId="5BA2AAA7" w14:textId="0A79B671"/>
    <w:p w:rsidRPr="00753F8A" w:rsidR="003D7315" w:rsidP="003D7315" w:rsidRDefault="003D7315" w14:paraId="3A7725DC" w14:textId="5D638FA6">
      <w:pPr>
        <w:numPr>
          <w:ilvl w:val="0"/>
          <w:numId w:val="5"/>
        </w:numPr>
        <w:rPr>
          <w:snapToGrid w:val="0"/>
        </w:rPr>
      </w:pPr>
      <w:bookmarkStart w:name="_Hlk33018021" w:id="7"/>
      <w:r w:rsidRPr="00753F8A">
        <w:rPr>
          <w:snapToGrid w:val="0"/>
        </w:rPr>
        <w:t>Th</w:t>
      </w:r>
      <w:r>
        <w:rPr>
          <w:snapToGrid w:val="0"/>
        </w:rPr>
        <w:t>is</w:t>
      </w:r>
      <w:r w:rsidRPr="00753F8A">
        <w:rPr>
          <w:snapToGrid w:val="0"/>
        </w:rPr>
        <w:t xml:space="preserve"> Resolution </w:t>
      </w:r>
      <w:r>
        <w:rPr>
          <w:snapToGrid w:val="0"/>
        </w:rPr>
        <w:t>adopts</w:t>
      </w:r>
      <w:r w:rsidRPr="00753F8A">
        <w:rPr>
          <w:snapToGrid w:val="0"/>
        </w:rPr>
        <w:t xml:space="preserve"> the following proposals </w:t>
      </w:r>
      <w:r w:rsidR="001415A0">
        <w:rPr>
          <w:snapToGrid w:val="0"/>
        </w:rPr>
        <w:t>that were put forth by</w:t>
      </w:r>
      <w:r w:rsidRPr="00753F8A">
        <w:rPr>
          <w:snapToGrid w:val="0"/>
        </w:rPr>
        <w:t xml:space="preserve"> the protests</w:t>
      </w:r>
      <w:r w:rsidR="001415A0">
        <w:rPr>
          <w:snapToGrid w:val="0"/>
        </w:rPr>
        <w:t xml:space="preserve"> </w:t>
      </w:r>
      <w:r w:rsidR="00F23577">
        <w:rPr>
          <w:snapToGrid w:val="0"/>
        </w:rPr>
        <w:t xml:space="preserve">to </w:t>
      </w:r>
      <w:r w:rsidR="001415A0">
        <w:t>Advice Letter (AL) 4116-G/5581-E</w:t>
      </w:r>
      <w:r w:rsidRPr="00753F8A">
        <w:rPr>
          <w:snapToGrid w:val="0"/>
        </w:rPr>
        <w:t>:</w:t>
      </w:r>
    </w:p>
    <w:p w:rsidRPr="00753F8A" w:rsidR="003D7315" w:rsidP="003D7315" w:rsidRDefault="002C51BA" w14:paraId="07F44E27" w14:textId="499DF54B">
      <w:pPr>
        <w:numPr>
          <w:ilvl w:val="0"/>
          <w:numId w:val="38"/>
        </w:numPr>
        <w:rPr>
          <w:snapToGrid w:val="0"/>
        </w:rPr>
      </w:pPr>
      <w:bookmarkStart w:name="_Hlk33017982" w:id="8"/>
      <w:bookmarkEnd w:id="7"/>
      <w:r>
        <w:rPr>
          <w:snapToGrid w:val="0"/>
        </w:rPr>
        <w:t>PG&amp;E shall have discretion to place e</w:t>
      </w:r>
      <w:r w:rsidR="003D7315">
        <w:rPr>
          <w:snapToGrid w:val="0"/>
        </w:rPr>
        <w:t>lectric and gas u</w:t>
      </w:r>
      <w:r w:rsidRPr="00753F8A" w:rsidR="003D7315">
        <w:rPr>
          <w:snapToGrid w:val="0"/>
        </w:rPr>
        <w:t>tilit</w:t>
      </w:r>
      <w:r w:rsidR="00DC507F">
        <w:rPr>
          <w:snapToGrid w:val="0"/>
        </w:rPr>
        <w:t>y</w:t>
      </w:r>
      <w:r>
        <w:rPr>
          <w:snapToGrid w:val="0"/>
        </w:rPr>
        <w:t xml:space="preserve"> routes according to the needs of this </w:t>
      </w:r>
      <w:r w:rsidR="00BA7CB5">
        <w:rPr>
          <w:snapToGrid w:val="0"/>
        </w:rPr>
        <w:t>program and</w:t>
      </w:r>
      <w:r w:rsidRPr="00753F8A" w:rsidR="003D7315">
        <w:rPr>
          <w:snapToGrid w:val="0"/>
        </w:rPr>
        <w:t xml:space="preserve"> </w:t>
      </w:r>
      <w:r w:rsidR="00E24925">
        <w:rPr>
          <w:snapToGrid w:val="0"/>
        </w:rPr>
        <w:t xml:space="preserve">is </w:t>
      </w:r>
      <w:r w:rsidR="00817F73">
        <w:rPr>
          <w:snapToGrid w:val="0"/>
        </w:rPr>
        <w:t>not required</w:t>
      </w:r>
      <w:r w:rsidRPr="00753F8A" w:rsidR="003D7315">
        <w:rPr>
          <w:snapToGrid w:val="0"/>
        </w:rPr>
        <w:t xml:space="preserve"> to place</w:t>
      </w:r>
      <w:r>
        <w:rPr>
          <w:snapToGrid w:val="0"/>
        </w:rPr>
        <w:t xml:space="preserve"> them</w:t>
      </w:r>
      <w:r w:rsidRPr="00753F8A" w:rsidR="003D7315">
        <w:rPr>
          <w:snapToGrid w:val="0"/>
        </w:rPr>
        <w:t xml:space="preserve"> in the streets</w:t>
      </w:r>
      <w:r w:rsidRPr="004A1CA9" w:rsidR="004A1CA9">
        <w:rPr>
          <w:bCs/>
          <w:snapToGrid w:val="0"/>
        </w:rPr>
        <w:t xml:space="preserve">.  </w:t>
      </w:r>
      <w:r w:rsidRPr="00753F8A" w:rsidR="003D7315">
        <w:rPr>
          <w:snapToGrid w:val="0"/>
        </w:rPr>
        <w:t xml:space="preserve">PG&amp;E </w:t>
      </w:r>
      <w:r w:rsidR="00365A54">
        <w:rPr>
          <w:snapToGrid w:val="0"/>
        </w:rPr>
        <w:t>shall</w:t>
      </w:r>
      <w:r w:rsidRPr="00753F8A" w:rsidR="003D7315">
        <w:rPr>
          <w:snapToGrid w:val="0"/>
        </w:rPr>
        <w:t xml:space="preserve"> take into consideration the most economic, convenient, and efficient service route</w:t>
      </w:r>
      <w:r w:rsidR="00455335">
        <w:rPr>
          <w:snapToGrid w:val="0"/>
        </w:rPr>
        <w:t xml:space="preserve"> </w:t>
      </w:r>
      <w:r w:rsidRPr="00455335" w:rsidR="00455335">
        <w:rPr>
          <w:bCs/>
          <w:snapToGrid w:val="0"/>
        </w:rPr>
        <w:t xml:space="preserve">in which utilities could be </w:t>
      </w:r>
      <w:r w:rsidRPr="00D2684E" w:rsidR="004B5854">
        <w:rPr>
          <w:bCs/>
          <w:snapToGrid w:val="0"/>
        </w:rPr>
        <w:t>better positioned with respect to the mobile homes, considering the park’s other constraints,</w:t>
      </w:r>
      <w:r w:rsidRPr="00825578" w:rsidR="00455335">
        <w:rPr>
          <w:snapToGrid w:val="0"/>
        </w:rPr>
        <w:t xml:space="preserve"> </w:t>
      </w:r>
      <w:r w:rsidRPr="00455335" w:rsidR="00455335">
        <w:rPr>
          <w:bCs/>
          <w:snapToGrid w:val="0"/>
        </w:rPr>
        <w:t>and away from the street</w:t>
      </w:r>
      <w:r w:rsidR="00F44F29">
        <w:rPr>
          <w:bCs/>
          <w:snapToGrid w:val="0"/>
        </w:rPr>
        <w:t>.</w:t>
      </w:r>
      <w:r w:rsidR="000F05E3">
        <w:rPr>
          <w:snapToGrid w:val="0"/>
        </w:rPr>
        <w:t xml:space="preserve"> </w:t>
      </w:r>
    </w:p>
    <w:p w:rsidRPr="00753F8A" w:rsidR="003D7315" w:rsidP="003D7315" w:rsidRDefault="003D7315" w14:paraId="4266F0DB" w14:textId="5B4D385E">
      <w:pPr>
        <w:numPr>
          <w:ilvl w:val="0"/>
          <w:numId w:val="38"/>
        </w:numPr>
        <w:rPr>
          <w:snapToGrid w:val="0"/>
        </w:rPr>
      </w:pPr>
      <w:r w:rsidRPr="00753F8A">
        <w:rPr>
          <w:snapToGrid w:val="0"/>
        </w:rPr>
        <w:t xml:space="preserve">PG&amp;E </w:t>
      </w:r>
      <w:r w:rsidR="00365A54">
        <w:rPr>
          <w:snapToGrid w:val="0"/>
        </w:rPr>
        <w:t>shall</w:t>
      </w:r>
      <w:r w:rsidRPr="00753F8A">
        <w:rPr>
          <w:snapToGrid w:val="0"/>
        </w:rPr>
        <w:t xml:space="preserve"> develop a strategy to avoid service routes that might damage salvageable </w:t>
      </w:r>
      <w:r w:rsidR="0046360B">
        <w:rPr>
          <w:snapToGrid w:val="0"/>
        </w:rPr>
        <w:t xml:space="preserve">non-energy </w:t>
      </w:r>
      <w:r w:rsidRPr="00753F8A">
        <w:rPr>
          <w:snapToGrid w:val="0"/>
        </w:rPr>
        <w:t>utilities</w:t>
      </w:r>
      <w:bookmarkStart w:name="_Hlk54621458" w:id="9"/>
      <w:r w:rsidRPr="00753F8A">
        <w:rPr>
          <w:snapToGrid w:val="0"/>
        </w:rPr>
        <w:t xml:space="preserve">, </w:t>
      </w:r>
      <w:r w:rsidR="000F05E3">
        <w:rPr>
          <w:snapToGrid w:val="0"/>
        </w:rPr>
        <w:t>such as</w:t>
      </w:r>
      <w:r w:rsidR="00AD0273">
        <w:rPr>
          <w:snapToGrid w:val="0"/>
        </w:rPr>
        <w:t xml:space="preserve"> </w:t>
      </w:r>
      <w:r w:rsidR="0093031A">
        <w:rPr>
          <w:snapToGrid w:val="0"/>
        </w:rPr>
        <w:t xml:space="preserve">by </w:t>
      </w:r>
      <w:r w:rsidR="00AD0273">
        <w:rPr>
          <w:snapToGrid w:val="0"/>
        </w:rPr>
        <w:t>crossing</w:t>
      </w:r>
      <w:r w:rsidRPr="00753F8A" w:rsidR="000F05E3">
        <w:rPr>
          <w:snapToGrid w:val="0"/>
        </w:rPr>
        <w:t xml:space="preserve"> </w:t>
      </w:r>
      <w:r w:rsidRPr="00753F8A">
        <w:rPr>
          <w:snapToGrid w:val="0"/>
        </w:rPr>
        <w:t>septic system leach fields.</w:t>
      </w:r>
      <w:bookmarkEnd w:id="9"/>
      <w:r w:rsidR="004D2DEA">
        <w:rPr>
          <w:snapToGrid w:val="0"/>
        </w:rPr>
        <w:t xml:space="preserve">  </w:t>
      </w:r>
      <w:bookmarkStart w:name="_Hlk59634175" w:id="10"/>
      <w:r w:rsidR="004D2DEA">
        <w:rPr>
          <w:snapToGrid w:val="0"/>
        </w:rPr>
        <w:t xml:space="preserve">PG&amp;E shall implement the minimum measures </w:t>
      </w:r>
      <w:r w:rsidRPr="006E3678" w:rsidR="006E3678">
        <w:rPr>
          <w:snapToGrid w:val="0"/>
        </w:rPr>
        <w:t>as discussed under the</w:t>
      </w:r>
      <w:r w:rsidR="002762F3">
        <w:rPr>
          <w:snapToGrid w:val="0"/>
        </w:rPr>
        <w:t xml:space="preserve"> heading </w:t>
      </w:r>
      <w:r w:rsidR="00986371">
        <w:rPr>
          <w:snapToGrid w:val="0"/>
        </w:rPr>
        <w:t>“</w:t>
      </w:r>
      <w:r w:rsidRPr="00566B5A" w:rsidR="00BD7116">
        <w:rPr>
          <w:i/>
          <w:iCs/>
          <w:snapToGrid w:val="0"/>
        </w:rPr>
        <w:t>Damage</w:t>
      </w:r>
      <w:r w:rsidRPr="00566B5A" w:rsidR="006E3678">
        <w:rPr>
          <w:i/>
          <w:snapToGrid w:val="0"/>
        </w:rPr>
        <w:t xml:space="preserve"> to Existing Salvageable Utilities and Underground Facilities</w:t>
      </w:r>
      <w:r w:rsidRPr="006E3678" w:rsidR="006E3678">
        <w:rPr>
          <w:bCs/>
          <w:i/>
          <w:snapToGrid w:val="0"/>
        </w:rPr>
        <w:t xml:space="preserve"> </w:t>
      </w:r>
      <w:r w:rsidR="00986371">
        <w:rPr>
          <w:snapToGrid w:val="0"/>
        </w:rPr>
        <w:t>“</w:t>
      </w:r>
      <w:r w:rsidRPr="006E3678" w:rsidR="006E3678">
        <w:rPr>
          <w:snapToGrid w:val="0"/>
        </w:rPr>
        <w:t>in the Discussion section of this resolution</w:t>
      </w:r>
      <w:r w:rsidR="004D2DEA">
        <w:rPr>
          <w:snapToGrid w:val="0"/>
        </w:rPr>
        <w:t>.</w:t>
      </w:r>
      <w:bookmarkEnd w:id="10"/>
    </w:p>
    <w:p w:rsidRPr="00383CEA" w:rsidR="00066660" w:rsidP="001A6475" w:rsidRDefault="00AD0422" w14:paraId="54767C50" w14:textId="32D7BAA9">
      <w:pPr>
        <w:numPr>
          <w:ilvl w:val="0"/>
          <w:numId w:val="38"/>
        </w:numPr>
        <w:rPr>
          <w:snapToGrid w:val="0"/>
        </w:rPr>
      </w:pPr>
      <w:r w:rsidRPr="00383CEA">
        <w:rPr>
          <w:snapToGrid w:val="0"/>
        </w:rPr>
        <w:t>Section 6.5.4</w:t>
      </w:r>
      <w:r w:rsidRPr="00383CEA">
        <w:rPr>
          <w:bCs/>
          <w:snapToGrid w:val="0"/>
        </w:rPr>
        <w:t xml:space="preserve"> </w:t>
      </w:r>
      <w:r w:rsidRPr="00383CEA">
        <w:rPr>
          <w:snapToGrid w:val="0"/>
        </w:rPr>
        <w:t xml:space="preserve">of the Butte County </w:t>
      </w:r>
      <w:r w:rsidR="00835803">
        <w:rPr>
          <w:snapToGrid w:val="0"/>
        </w:rPr>
        <w:t>Mobilehome Park</w:t>
      </w:r>
      <w:r w:rsidRPr="00383CEA">
        <w:rPr>
          <w:snapToGrid w:val="0"/>
        </w:rPr>
        <w:t xml:space="preserve"> Rebuild Program Agreement sh</w:t>
      </w:r>
      <w:r w:rsidR="00C21E03">
        <w:rPr>
          <w:snapToGrid w:val="0"/>
        </w:rPr>
        <w:t>all</w:t>
      </w:r>
      <w:r w:rsidRPr="00383CEA">
        <w:rPr>
          <w:snapToGrid w:val="0"/>
        </w:rPr>
        <w:t xml:space="preserve"> be revised to read: “PG&amp;E shall not remove the existing legacy system owned by the MHPs </w:t>
      </w:r>
      <w:r w:rsidRPr="00383CEA" w:rsidR="002A2C44">
        <w:rPr>
          <w:snapToGrid w:val="0"/>
        </w:rPr>
        <w:t xml:space="preserve">and the system shall be abandoned in place </w:t>
      </w:r>
      <w:bookmarkStart w:name="_Hlk61444912" w:id="11"/>
      <w:r w:rsidRPr="00383CEA">
        <w:rPr>
          <w:snapToGrid w:val="0"/>
        </w:rPr>
        <w:t xml:space="preserve">unless </w:t>
      </w:r>
      <w:r w:rsidR="002A2C44">
        <w:rPr>
          <w:snapToGrid w:val="0"/>
        </w:rPr>
        <w:t xml:space="preserve">removal is </w:t>
      </w:r>
      <w:r w:rsidRPr="00383CEA">
        <w:rPr>
          <w:snapToGrid w:val="0"/>
        </w:rPr>
        <w:t xml:space="preserve">necessary and </w:t>
      </w:r>
      <w:r w:rsidR="00D81BA0">
        <w:rPr>
          <w:snapToGrid w:val="0"/>
        </w:rPr>
        <w:t xml:space="preserve">the </w:t>
      </w:r>
      <w:r w:rsidRPr="00383CEA">
        <w:rPr>
          <w:snapToGrid w:val="0"/>
        </w:rPr>
        <w:t>MHP owner’s permission</w:t>
      </w:r>
      <w:r w:rsidR="00B96834">
        <w:rPr>
          <w:snapToGrid w:val="0"/>
        </w:rPr>
        <w:t xml:space="preserve"> has been obtained</w:t>
      </w:r>
      <w:bookmarkEnd w:id="11"/>
      <w:r w:rsidRPr="00383CEA">
        <w:rPr>
          <w:snapToGrid w:val="0"/>
        </w:rPr>
        <w:t xml:space="preserve">. PG&amp;E shall ensure that the new and the existing legacy systems are </w:t>
      </w:r>
      <w:r w:rsidR="009F6915">
        <w:rPr>
          <w:snapToGrid w:val="0"/>
        </w:rPr>
        <w:t xml:space="preserve">both </w:t>
      </w:r>
      <w:r w:rsidRPr="00383CEA">
        <w:rPr>
          <w:snapToGrid w:val="0"/>
        </w:rPr>
        <w:t xml:space="preserve">electrically and physically isolated from each other.  PG&amp;E shall not incur any expenses associated with the removal or retirement of the existing system </w:t>
      </w:r>
      <w:r w:rsidRPr="00C21E03" w:rsidR="00C21E03">
        <w:rPr>
          <w:bCs/>
          <w:snapToGrid w:val="0"/>
        </w:rPr>
        <w:t xml:space="preserve">owned by the MHP owners </w:t>
      </w:r>
      <w:r w:rsidRPr="00383CEA">
        <w:rPr>
          <w:snapToGrid w:val="0"/>
        </w:rPr>
        <w:t xml:space="preserve">under the MHP Rebuild program. </w:t>
      </w:r>
      <w:r w:rsidR="00C21E03">
        <w:rPr>
          <w:snapToGrid w:val="0"/>
        </w:rPr>
        <w:t xml:space="preserve"> </w:t>
      </w:r>
      <w:r w:rsidRPr="00383CEA">
        <w:rPr>
          <w:snapToGrid w:val="0"/>
        </w:rPr>
        <w:t xml:space="preserve">Should removal of the legacy distribution system </w:t>
      </w:r>
      <w:r w:rsidRPr="00182187" w:rsidR="00182187">
        <w:rPr>
          <w:bCs/>
          <w:snapToGrid w:val="0"/>
        </w:rPr>
        <w:t xml:space="preserve">owned by the MHP owners </w:t>
      </w:r>
      <w:r w:rsidRPr="00383CEA">
        <w:rPr>
          <w:snapToGrid w:val="0"/>
        </w:rPr>
        <w:t>be necessary to complete the MHP Rebuild program, such costs may at PG&amp;E’s discretion be included in the MHP Rebuild</w:t>
      </w:r>
      <w:r w:rsidR="004F73A3">
        <w:rPr>
          <w:snapToGrid w:val="0"/>
        </w:rPr>
        <w:t xml:space="preserve"> </w:t>
      </w:r>
      <w:r w:rsidR="00D46898">
        <w:rPr>
          <w:snapToGrid w:val="0"/>
        </w:rPr>
        <w:t xml:space="preserve">Program </w:t>
      </w:r>
      <w:r w:rsidR="004F73A3">
        <w:rPr>
          <w:snapToGrid w:val="0"/>
        </w:rPr>
        <w:t>if it is necessary and can be done so efficiently</w:t>
      </w:r>
      <w:r w:rsidRPr="00383CEA" w:rsidR="00F67EDC">
        <w:rPr>
          <w:snapToGrid w:val="0"/>
        </w:rPr>
        <w:t>.”</w:t>
      </w:r>
    </w:p>
    <w:p w:rsidRPr="00066660" w:rsidR="00730599" w:rsidP="001A6475" w:rsidRDefault="00730599" w14:paraId="231FE013" w14:textId="18A5AEDA">
      <w:pPr>
        <w:numPr>
          <w:ilvl w:val="0"/>
          <w:numId w:val="38"/>
        </w:numPr>
        <w:rPr>
          <w:snapToGrid w:val="0"/>
        </w:rPr>
      </w:pPr>
      <w:r w:rsidRPr="00066660">
        <w:rPr>
          <w:snapToGrid w:val="0"/>
        </w:rPr>
        <w:t xml:space="preserve">PG&amp;E shall </w:t>
      </w:r>
      <w:r w:rsidRPr="00066660" w:rsidR="000B42DF">
        <w:rPr>
          <w:bCs/>
          <w:iCs/>
        </w:rPr>
        <w:t xml:space="preserve">remove </w:t>
      </w:r>
      <w:r w:rsidRPr="00066660">
        <w:rPr>
          <w:snapToGrid w:val="0"/>
        </w:rPr>
        <w:t xml:space="preserve">section 9.1.1.3 of the </w:t>
      </w:r>
      <w:r w:rsidR="00835803">
        <w:rPr>
          <w:snapToGrid w:val="0"/>
        </w:rPr>
        <w:t xml:space="preserve">Butte County </w:t>
      </w:r>
      <w:r w:rsidRPr="00835803" w:rsidR="00835803">
        <w:rPr>
          <w:bCs/>
          <w:snapToGrid w:val="0"/>
        </w:rPr>
        <w:t>Mobilehome Park</w:t>
      </w:r>
      <w:r w:rsidRPr="00AE689A" w:rsidR="00AE689A">
        <w:rPr>
          <w:bCs/>
          <w:snapToGrid w:val="0"/>
        </w:rPr>
        <w:t xml:space="preserve"> Rebuild Program Agreement </w:t>
      </w:r>
      <w:r w:rsidRPr="00066660" w:rsidR="001B06A0">
        <w:rPr>
          <w:bCs/>
          <w:iCs/>
          <w:snapToGrid w:val="0"/>
        </w:rPr>
        <w:t xml:space="preserve">which currently </w:t>
      </w:r>
      <w:r w:rsidRPr="00066660" w:rsidR="00321A29">
        <w:rPr>
          <w:bCs/>
          <w:iCs/>
          <w:snapToGrid w:val="0"/>
        </w:rPr>
        <w:t>reads</w:t>
      </w:r>
      <w:r w:rsidRPr="00066660" w:rsidR="001B06A0">
        <w:rPr>
          <w:bCs/>
          <w:iCs/>
          <w:snapToGrid w:val="0"/>
        </w:rPr>
        <w:t>: “The failure or inability of</w:t>
      </w:r>
      <w:r w:rsidRPr="00066660">
        <w:rPr>
          <w:snapToGrid w:val="0"/>
        </w:rPr>
        <w:t xml:space="preserve"> the MHP </w:t>
      </w:r>
      <w:r w:rsidRPr="00066660" w:rsidR="005872A5">
        <w:rPr>
          <w:snapToGrid w:val="0"/>
        </w:rPr>
        <w:t>Owner/O</w:t>
      </w:r>
      <w:r w:rsidRPr="00066660">
        <w:rPr>
          <w:snapToGrid w:val="0"/>
        </w:rPr>
        <w:t xml:space="preserve">perator to complete </w:t>
      </w:r>
      <w:r w:rsidR="00787400">
        <w:rPr>
          <w:snapToGrid w:val="0"/>
        </w:rPr>
        <w:t xml:space="preserve">the </w:t>
      </w:r>
      <w:r w:rsidRPr="00066660">
        <w:rPr>
          <w:snapToGrid w:val="0"/>
        </w:rPr>
        <w:t xml:space="preserve">work and be ready to receive service from PG&amp;E </w:t>
      </w:r>
      <w:r w:rsidRPr="00066660" w:rsidR="00866AB4">
        <w:rPr>
          <w:snapToGrid w:val="0"/>
        </w:rPr>
        <w:t xml:space="preserve">within </w:t>
      </w:r>
      <w:r w:rsidRPr="00066660">
        <w:rPr>
          <w:snapToGrid w:val="0"/>
        </w:rPr>
        <w:t>twelve (12) months</w:t>
      </w:r>
      <w:r w:rsidRPr="00066660" w:rsidR="006D69BE">
        <w:rPr>
          <w:snapToGrid w:val="0"/>
        </w:rPr>
        <w:t xml:space="preserve"> of </w:t>
      </w:r>
      <w:r w:rsidRPr="00066660" w:rsidR="002B1EE8">
        <w:rPr>
          <w:snapToGrid w:val="0"/>
        </w:rPr>
        <w:t xml:space="preserve">the </w:t>
      </w:r>
      <w:r w:rsidRPr="00066660" w:rsidR="006D69BE">
        <w:rPr>
          <w:snapToGrid w:val="0"/>
        </w:rPr>
        <w:t xml:space="preserve">execution of </w:t>
      </w:r>
      <w:r w:rsidRPr="00066660" w:rsidR="002B1EE8">
        <w:rPr>
          <w:snapToGrid w:val="0"/>
        </w:rPr>
        <w:t>this Agreement; or”</w:t>
      </w:r>
      <w:r w:rsidR="00192AA7">
        <w:rPr>
          <w:snapToGrid w:val="0"/>
        </w:rPr>
        <w:t>.</w:t>
      </w:r>
      <w:r w:rsidRPr="00066660">
        <w:rPr>
          <w:snapToGrid w:val="0"/>
        </w:rPr>
        <w:t xml:space="preserve"> </w:t>
      </w:r>
    </w:p>
    <w:p w:rsidRPr="00A213F1" w:rsidR="00A213F1" w:rsidP="00A213F1" w:rsidRDefault="00A213F1" w14:paraId="5FCB7F8B" w14:textId="5BD7796E">
      <w:pPr>
        <w:pStyle w:val="ListParagraph"/>
        <w:numPr>
          <w:ilvl w:val="0"/>
          <w:numId w:val="5"/>
        </w:numPr>
        <w:rPr>
          <w:snapToGrid w:val="0"/>
        </w:rPr>
      </w:pPr>
      <w:r w:rsidRPr="00A213F1">
        <w:rPr>
          <w:snapToGrid w:val="0"/>
        </w:rPr>
        <w:lastRenderedPageBreak/>
        <w:t xml:space="preserve">PG&amp;E shall revise section 10.6 of the </w:t>
      </w:r>
      <w:bookmarkStart w:name="_Hlk54622084" w:id="12"/>
      <w:r w:rsidRPr="00A213F1">
        <w:rPr>
          <w:bCs/>
          <w:snapToGrid w:val="0"/>
        </w:rPr>
        <w:t xml:space="preserve">Butte County </w:t>
      </w:r>
      <w:r w:rsidRPr="00835803" w:rsidR="00835803">
        <w:rPr>
          <w:bCs/>
          <w:snapToGrid w:val="0"/>
        </w:rPr>
        <w:t>Mobilehome Park</w:t>
      </w:r>
      <w:r w:rsidRPr="00A213F1">
        <w:rPr>
          <w:bCs/>
          <w:snapToGrid w:val="0"/>
        </w:rPr>
        <w:t xml:space="preserve"> Rebuild Program </w:t>
      </w:r>
      <w:r w:rsidR="00862B7C">
        <w:rPr>
          <w:snapToGrid w:val="0"/>
        </w:rPr>
        <w:t>A</w:t>
      </w:r>
      <w:bookmarkEnd w:id="12"/>
      <w:r w:rsidRPr="00A213F1" w:rsidR="00862B7C">
        <w:rPr>
          <w:snapToGrid w:val="0"/>
        </w:rPr>
        <w:t xml:space="preserve">greement </w:t>
      </w:r>
      <w:r w:rsidRPr="00A213F1">
        <w:rPr>
          <w:snapToGrid w:val="0"/>
        </w:rPr>
        <w:t xml:space="preserve">to clearly show that </w:t>
      </w:r>
      <w:r w:rsidRPr="00271599" w:rsidR="00271599">
        <w:rPr>
          <w:bCs/>
          <w:snapToGrid w:val="0"/>
        </w:rPr>
        <w:t xml:space="preserve">beyond-the-meter </w:t>
      </w:r>
      <w:r w:rsidRPr="00A213F1">
        <w:rPr>
          <w:snapToGrid w:val="0"/>
        </w:rPr>
        <w:t xml:space="preserve">work </w:t>
      </w:r>
      <w:r w:rsidR="009910E9">
        <w:rPr>
          <w:snapToGrid w:val="0"/>
        </w:rPr>
        <w:t>is not</w:t>
      </w:r>
      <w:r w:rsidRPr="009910E9" w:rsidR="009910E9">
        <w:rPr>
          <w:snapToGrid w:val="0"/>
        </w:rPr>
        <w:t xml:space="preserve"> reimburs</w:t>
      </w:r>
      <w:r w:rsidR="009910E9">
        <w:rPr>
          <w:snapToGrid w:val="0"/>
        </w:rPr>
        <w:t>able</w:t>
      </w:r>
      <w:r w:rsidRPr="009910E9" w:rsidR="009910E9">
        <w:rPr>
          <w:snapToGrid w:val="0"/>
        </w:rPr>
        <w:t xml:space="preserve"> </w:t>
      </w:r>
      <w:r w:rsidRPr="00A213F1">
        <w:rPr>
          <w:snapToGrid w:val="0"/>
        </w:rPr>
        <w:t xml:space="preserve">except for </w:t>
      </w:r>
      <w:r w:rsidR="000E45B5">
        <w:rPr>
          <w:snapToGrid w:val="0"/>
        </w:rPr>
        <w:t xml:space="preserve">installation of </w:t>
      </w:r>
      <w:r w:rsidRPr="00A213F1">
        <w:rPr>
          <w:snapToGrid w:val="0"/>
        </w:rPr>
        <w:t>the electric pedestal.</w:t>
      </w:r>
      <w:r w:rsidR="00D37BCD">
        <w:rPr>
          <w:snapToGrid w:val="0"/>
        </w:rPr>
        <w:t xml:space="preserve">  </w:t>
      </w:r>
      <w:r w:rsidRPr="00D37BCD" w:rsidR="00D37BCD">
        <w:rPr>
          <w:bCs/>
          <w:snapToGrid w:val="0"/>
        </w:rPr>
        <w:t xml:space="preserve">Given the ability to complete the gas meter and electrical pedestal work ahead of mobilehome repopulation, the </w:t>
      </w:r>
      <w:r w:rsidR="00ED6C8F">
        <w:rPr>
          <w:bCs/>
          <w:snapToGrid w:val="0"/>
        </w:rPr>
        <w:t>Rebuild Program</w:t>
      </w:r>
      <w:r w:rsidRPr="00D37BCD" w:rsidR="00D37BCD">
        <w:rPr>
          <w:bCs/>
          <w:snapToGrid w:val="0"/>
        </w:rPr>
        <w:t xml:space="preserve"> does not need to be extended for a decade or more.</w:t>
      </w:r>
    </w:p>
    <w:p w:rsidRPr="003B4D61" w:rsidR="00F62D76" w:rsidP="003B4D61" w:rsidRDefault="00F62D76" w14:paraId="2B751767" w14:textId="04ADBE97">
      <w:pPr>
        <w:numPr>
          <w:ilvl w:val="0"/>
          <w:numId w:val="5"/>
        </w:numPr>
        <w:rPr>
          <w:snapToGrid w:val="0"/>
        </w:rPr>
      </w:pPr>
      <w:r>
        <w:rPr>
          <w:bCs/>
          <w:snapToGrid w:val="0"/>
        </w:rPr>
        <w:t>T</w:t>
      </w:r>
      <w:r w:rsidRPr="00F62D76">
        <w:rPr>
          <w:snapToGrid w:val="0"/>
        </w:rPr>
        <w:t xml:space="preserve">he Butte County </w:t>
      </w:r>
      <w:r w:rsidRPr="00835803" w:rsidR="00835803">
        <w:rPr>
          <w:bCs/>
          <w:snapToGrid w:val="0"/>
        </w:rPr>
        <w:t>Mobilehome Park</w:t>
      </w:r>
      <w:r w:rsidRPr="00F62D76">
        <w:rPr>
          <w:snapToGrid w:val="0"/>
        </w:rPr>
        <w:t xml:space="preserve"> Rebuild Program Agreement shall require each participating MHP owner</w:t>
      </w:r>
      <w:r w:rsidRPr="00F62D76">
        <w:rPr>
          <w:bCs/>
          <w:snapToGrid w:val="0"/>
        </w:rPr>
        <w:t xml:space="preserve"> who operates on leased real property</w:t>
      </w:r>
      <w:r w:rsidRPr="00F62D76">
        <w:rPr>
          <w:snapToGrid w:val="0"/>
        </w:rPr>
        <w:t xml:space="preserve"> to submit proof of a valid lease for a minimum of 20 years from the date </w:t>
      </w:r>
      <w:r w:rsidRPr="00F62D76">
        <w:rPr>
          <w:bCs/>
          <w:snapToGrid w:val="0"/>
        </w:rPr>
        <w:t xml:space="preserve">that the </w:t>
      </w:r>
      <w:r w:rsidRPr="00835803" w:rsidR="00835803">
        <w:rPr>
          <w:bCs/>
          <w:snapToGrid w:val="0"/>
        </w:rPr>
        <w:t xml:space="preserve">Butte County </w:t>
      </w:r>
      <w:bookmarkStart w:name="_Hlk61437274" w:id="13"/>
      <w:r w:rsidRPr="00835803" w:rsidR="00835803">
        <w:rPr>
          <w:bCs/>
          <w:snapToGrid w:val="0"/>
        </w:rPr>
        <w:t xml:space="preserve">Mobilehome </w:t>
      </w:r>
      <w:bookmarkEnd w:id="13"/>
      <w:r w:rsidRPr="00835803" w:rsidR="00835803">
        <w:rPr>
          <w:bCs/>
          <w:snapToGrid w:val="0"/>
        </w:rPr>
        <w:t>Park</w:t>
      </w:r>
      <w:r w:rsidRPr="00F62D76">
        <w:rPr>
          <w:bCs/>
          <w:snapToGrid w:val="0"/>
        </w:rPr>
        <w:t xml:space="preserve"> Rebuild Program Agreement is executed by PG&amp;E</w:t>
      </w:r>
      <w:r w:rsidRPr="00F62D76">
        <w:rPr>
          <w:snapToGrid w:val="0"/>
        </w:rPr>
        <w:t>.</w:t>
      </w:r>
    </w:p>
    <w:p w:rsidRPr="001E3296" w:rsidR="003D7315" w:rsidP="00A0283C" w:rsidRDefault="003D7315" w14:paraId="4DD37D26" w14:textId="03843A6F">
      <w:pPr>
        <w:numPr>
          <w:ilvl w:val="0"/>
          <w:numId w:val="5"/>
        </w:numPr>
      </w:pPr>
      <w:r w:rsidRPr="00A0283C">
        <w:rPr>
          <w:snapToGrid w:val="0"/>
        </w:rPr>
        <w:t xml:space="preserve">PG&amp;E </w:t>
      </w:r>
      <w:r w:rsidRPr="00A0283C" w:rsidR="00365A54">
        <w:rPr>
          <w:snapToGrid w:val="0"/>
        </w:rPr>
        <w:t>shall</w:t>
      </w:r>
      <w:r w:rsidRPr="00A0283C">
        <w:rPr>
          <w:snapToGrid w:val="0"/>
        </w:rPr>
        <w:t xml:space="preserve"> include </w:t>
      </w:r>
      <w:r w:rsidR="000A102C">
        <w:t xml:space="preserve">all </w:t>
      </w:r>
      <w:r w:rsidRPr="00A0283C">
        <w:rPr>
          <w:snapToGrid w:val="0"/>
        </w:rPr>
        <w:t xml:space="preserve">applicable changes </w:t>
      </w:r>
      <w:r w:rsidR="00584DB5">
        <w:t>of</w:t>
      </w:r>
      <w:r w:rsidRPr="00A0283C" w:rsidR="00BA30AD">
        <w:rPr>
          <w:snapToGrid w:val="0"/>
        </w:rPr>
        <w:t xml:space="preserve"> </w:t>
      </w:r>
      <w:r w:rsidRPr="00A0283C">
        <w:rPr>
          <w:snapToGrid w:val="0"/>
        </w:rPr>
        <w:t xml:space="preserve">the </w:t>
      </w:r>
      <w:r w:rsidR="00835803">
        <w:t>Mobilehome Park</w:t>
      </w:r>
      <w:r w:rsidRPr="002B6237">
        <w:rPr>
          <w:snapToGrid w:val="0"/>
        </w:rPr>
        <w:t xml:space="preserve"> Utility Upgrade Program </w:t>
      </w:r>
      <w:r w:rsidRPr="00213621" w:rsidR="00A56D7E">
        <w:rPr>
          <w:snapToGrid w:val="0"/>
        </w:rPr>
        <w:t xml:space="preserve">Agreement </w:t>
      </w:r>
      <w:r w:rsidRPr="00213621">
        <w:rPr>
          <w:snapToGrid w:val="0"/>
        </w:rPr>
        <w:t>(Form 79-</w:t>
      </w:r>
      <w:r w:rsidRPr="00213621" w:rsidR="00A56D7E">
        <w:rPr>
          <w:snapToGrid w:val="0"/>
        </w:rPr>
        <w:t>116</w:t>
      </w:r>
      <w:r w:rsidRPr="00364435" w:rsidR="00A56D7E">
        <w:rPr>
          <w:snapToGrid w:val="0"/>
        </w:rPr>
        <w:t>5</w:t>
      </w:r>
      <w:r w:rsidRPr="00364435">
        <w:rPr>
          <w:snapToGrid w:val="0"/>
        </w:rPr>
        <w:t>) specifie</w:t>
      </w:r>
      <w:r w:rsidRPr="00CE7C01" w:rsidR="003E0A01">
        <w:rPr>
          <w:snapToGrid w:val="0"/>
        </w:rPr>
        <w:t>d</w:t>
      </w:r>
      <w:r w:rsidRPr="002D5D12">
        <w:rPr>
          <w:snapToGrid w:val="0"/>
        </w:rPr>
        <w:t xml:space="preserve"> in </w:t>
      </w:r>
      <w:r w:rsidRPr="002D5D12" w:rsidR="00BA01C6">
        <w:rPr>
          <w:bCs/>
          <w:snapToGrid w:val="0"/>
        </w:rPr>
        <w:t xml:space="preserve">D.20-04-004 </w:t>
      </w:r>
      <w:r w:rsidR="00584DB5">
        <w:t>of</w:t>
      </w:r>
      <w:bookmarkStart w:name="_Hlk61522158" w:id="14"/>
      <w:r w:rsidR="00CC4652">
        <w:t xml:space="preserve"> Rulemaking (</w:t>
      </w:r>
      <w:r w:rsidRPr="006E13B8" w:rsidR="00B00B0B">
        <w:rPr>
          <w:snapToGrid w:val="0"/>
        </w:rPr>
        <w:t>R</w:t>
      </w:r>
      <w:r w:rsidR="00B00B0B">
        <w:t>.</w:t>
      </w:r>
      <w:r w:rsidR="00CC4652">
        <w:t>)</w:t>
      </w:r>
      <w:r w:rsidR="00B00B0B">
        <w:t>18-04-018</w:t>
      </w:r>
      <w:r w:rsidRPr="249DB94A">
        <w:rPr>
          <w:rStyle w:val="FootnoteReference"/>
        </w:rPr>
        <w:footnoteReference w:id="3"/>
      </w:r>
      <w:bookmarkEnd w:id="14"/>
      <w:r w:rsidR="00FB6F90">
        <w:rPr>
          <w:i/>
          <w:iCs/>
        </w:rPr>
        <w:t xml:space="preserve"> </w:t>
      </w:r>
      <w:r w:rsidRPr="009A2015" w:rsidR="00FB6F90">
        <w:t>in the M</w:t>
      </w:r>
      <w:r w:rsidR="00835803">
        <w:t>obilehome Park</w:t>
      </w:r>
      <w:r w:rsidRPr="00980180">
        <w:rPr>
          <w:snapToGrid w:val="0"/>
        </w:rPr>
        <w:t xml:space="preserve"> Rebuild Program Agreement (Gas and Electric Sample Form 79-1201) as discussed</w:t>
      </w:r>
      <w:r w:rsidRPr="008820FB" w:rsidR="000245EF">
        <w:rPr>
          <w:snapToGrid w:val="0"/>
        </w:rPr>
        <w:t xml:space="preserve"> under t</w:t>
      </w:r>
      <w:r w:rsidRPr="00E467BA" w:rsidR="000245EF">
        <w:rPr>
          <w:snapToGrid w:val="0"/>
        </w:rPr>
        <w:t>he heading</w:t>
      </w:r>
      <w:r w:rsidR="004910ED">
        <w:rPr>
          <w:snapToGrid w:val="0"/>
        </w:rPr>
        <w:t xml:space="preserve"> </w:t>
      </w:r>
      <w:r w:rsidR="00A75A52">
        <w:t>“</w:t>
      </w:r>
      <w:r w:rsidRPr="00A36876" w:rsidR="00BC339C">
        <w:rPr>
          <w:bCs/>
          <w:i/>
          <w:snapToGrid w:val="0"/>
        </w:rPr>
        <w:t>Alignment with the MHP Decision (D.) 20-04-004</w:t>
      </w:r>
      <w:r w:rsidRPr="0A1FE9B1" w:rsidR="00A134F5">
        <w:rPr>
          <w:i/>
        </w:rPr>
        <w:t xml:space="preserve"> </w:t>
      </w:r>
      <w:r w:rsidRPr="00A36876" w:rsidR="000245EF">
        <w:rPr>
          <w:i/>
          <w:snapToGrid w:val="0"/>
        </w:rPr>
        <w:t>“</w:t>
      </w:r>
      <w:r>
        <w:rPr>
          <w:i/>
          <w:snapToGrid w:val="0"/>
        </w:rPr>
        <w:t xml:space="preserve"> </w:t>
      </w:r>
      <w:r w:rsidRPr="001E3296" w:rsidR="00FA51E2">
        <w:rPr>
          <w:snapToGrid w:val="0"/>
        </w:rPr>
        <w:t xml:space="preserve">in the </w:t>
      </w:r>
      <w:r w:rsidRPr="001E3296" w:rsidR="007F3B55">
        <w:rPr>
          <w:snapToGrid w:val="0"/>
        </w:rPr>
        <w:t xml:space="preserve">“Discussion” </w:t>
      </w:r>
      <w:r w:rsidRPr="001E3296" w:rsidR="00FA51E2">
        <w:rPr>
          <w:snapToGrid w:val="0"/>
        </w:rPr>
        <w:t>section</w:t>
      </w:r>
      <w:r w:rsidRPr="001E3296" w:rsidR="007F3B55">
        <w:rPr>
          <w:snapToGrid w:val="0"/>
        </w:rPr>
        <w:t xml:space="preserve"> </w:t>
      </w:r>
      <w:r w:rsidR="00840C10">
        <w:t>of this resolution</w:t>
      </w:r>
      <w:r w:rsidRPr="001E3296">
        <w:rPr>
          <w:snapToGrid w:val="0"/>
        </w:rPr>
        <w:t xml:space="preserve">. </w:t>
      </w:r>
    </w:p>
    <w:p w:rsidR="00383CEA" w:rsidP="00383CEA" w:rsidRDefault="003D7315" w14:paraId="03E2A6E4" w14:textId="68213566">
      <w:pPr>
        <w:numPr>
          <w:ilvl w:val="0"/>
          <w:numId w:val="5"/>
        </w:numPr>
        <w:rPr>
          <w:snapToGrid w:val="0"/>
        </w:rPr>
      </w:pPr>
      <w:bookmarkStart w:name="_Hlk39138719" w:id="15"/>
      <w:r w:rsidRPr="00753F8A">
        <w:rPr>
          <w:snapToGrid w:val="0"/>
        </w:rPr>
        <w:t xml:space="preserve">PG&amp;E </w:t>
      </w:r>
      <w:r w:rsidR="00365A54">
        <w:rPr>
          <w:snapToGrid w:val="0"/>
        </w:rPr>
        <w:t>shall</w:t>
      </w:r>
      <w:r w:rsidRPr="00753F8A">
        <w:rPr>
          <w:snapToGrid w:val="0"/>
        </w:rPr>
        <w:t xml:space="preserve"> extend </w:t>
      </w:r>
      <w:r w:rsidR="00383CEA">
        <w:rPr>
          <w:snapToGrid w:val="0"/>
        </w:rPr>
        <w:t>to</w:t>
      </w:r>
      <w:r w:rsidR="00007F07">
        <w:rPr>
          <w:snapToGrid w:val="0"/>
        </w:rPr>
        <w:t>-the-</w:t>
      </w:r>
      <w:r w:rsidR="00FC6136">
        <w:rPr>
          <w:snapToGrid w:val="0"/>
        </w:rPr>
        <w:t>meter</w:t>
      </w:r>
      <w:r w:rsidR="00376982">
        <w:rPr>
          <w:snapToGrid w:val="0"/>
        </w:rPr>
        <w:t xml:space="preserve"> </w:t>
      </w:r>
      <w:r w:rsidRPr="00753F8A">
        <w:rPr>
          <w:snapToGrid w:val="0"/>
        </w:rPr>
        <w:t xml:space="preserve">eligibility to common use </w:t>
      </w:r>
      <w:r w:rsidR="007C6972">
        <w:rPr>
          <w:snapToGrid w:val="0"/>
        </w:rPr>
        <w:t>buildings</w:t>
      </w:r>
      <w:r w:rsidR="00D567E1">
        <w:rPr>
          <w:snapToGrid w:val="0"/>
        </w:rPr>
        <w:t xml:space="preserve"> and</w:t>
      </w:r>
      <w:r w:rsidR="007C6972">
        <w:rPr>
          <w:snapToGrid w:val="0"/>
        </w:rPr>
        <w:t xml:space="preserve"> </w:t>
      </w:r>
      <w:r w:rsidRPr="007C6972" w:rsidR="007C6972">
        <w:rPr>
          <w:snapToGrid w:val="0"/>
        </w:rPr>
        <w:t>permanent fixed foundation residential structures</w:t>
      </w:r>
      <w:r w:rsidR="007F4E1D">
        <w:rPr>
          <w:snapToGrid w:val="0"/>
        </w:rPr>
        <w:t>.</w:t>
      </w:r>
      <w:r w:rsidR="00F011C2">
        <w:rPr>
          <w:rStyle w:val="FootnoteReference"/>
          <w:snapToGrid w:val="0"/>
        </w:rPr>
        <w:footnoteReference w:id="4"/>
      </w:r>
      <w:r w:rsidR="007C6972">
        <w:rPr>
          <w:snapToGrid w:val="0"/>
        </w:rPr>
        <w:t xml:space="preserve">  </w:t>
      </w:r>
    </w:p>
    <w:p w:rsidRPr="00383CEA" w:rsidR="00D0142C" w:rsidRDefault="00383CEA" w14:paraId="4C628CED" w14:textId="7B958061">
      <w:pPr>
        <w:numPr>
          <w:ilvl w:val="0"/>
          <w:numId w:val="5"/>
        </w:numPr>
        <w:rPr>
          <w:snapToGrid w:val="0"/>
        </w:rPr>
      </w:pPr>
      <w:r w:rsidRPr="00383CEA">
        <w:rPr>
          <w:bCs/>
          <w:snapToGrid w:val="0"/>
        </w:rPr>
        <w:t xml:space="preserve">PG&amp;E shall not extend </w:t>
      </w:r>
      <w:r w:rsidR="00C84710">
        <w:rPr>
          <w:bCs/>
          <w:snapToGrid w:val="0"/>
        </w:rPr>
        <w:t>to-the-meter</w:t>
      </w:r>
      <w:r w:rsidRPr="00383CEA">
        <w:rPr>
          <w:bCs/>
          <w:snapToGrid w:val="0"/>
        </w:rPr>
        <w:t xml:space="preserve"> eligibility </w:t>
      </w:r>
      <w:r w:rsidRPr="00383CEA" w:rsidR="00AD3118">
        <w:rPr>
          <w:bCs/>
          <w:snapToGrid w:val="0"/>
        </w:rPr>
        <w:t>to recreational vehicle (RV) spaces</w:t>
      </w:r>
      <w:r w:rsidRPr="00383CEA" w:rsidR="00507112">
        <w:rPr>
          <w:snapToGrid w:val="0"/>
        </w:rPr>
        <w:t>.</w:t>
      </w:r>
      <w:r w:rsidR="002B281D">
        <w:rPr>
          <w:rStyle w:val="FootnoteReference"/>
          <w:snapToGrid w:val="0"/>
        </w:rPr>
        <w:footnoteReference w:id="5"/>
      </w:r>
    </w:p>
    <w:p w:rsidRPr="00534403" w:rsidR="00534403" w:rsidP="003D7315" w:rsidRDefault="00696937" w14:paraId="1DD5091C" w14:textId="7327DC47">
      <w:pPr>
        <w:numPr>
          <w:ilvl w:val="0"/>
          <w:numId w:val="5"/>
        </w:numPr>
      </w:pPr>
      <w:bookmarkStart w:name="_Hlk56682285" w:id="16"/>
      <w:r w:rsidRPr="00696937">
        <w:rPr>
          <w:bCs/>
          <w:snapToGrid w:val="0"/>
        </w:rPr>
        <w:t xml:space="preserve">PG&amp;E shall provide </w:t>
      </w:r>
      <w:r w:rsidR="00242808">
        <w:t xml:space="preserve">underground </w:t>
      </w:r>
      <w:r w:rsidR="006A420B">
        <w:rPr>
          <w:bCs/>
          <w:snapToGrid w:val="0"/>
        </w:rPr>
        <w:t xml:space="preserve">service </w:t>
      </w:r>
      <w:r w:rsidR="00DC2420">
        <w:rPr>
          <w:bCs/>
          <w:snapToGrid w:val="0"/>
        </w:rPr>
        <w:t>cable</w:t>
      </w:r>
      <w:r w:rsidR="00BB400B">
        <w:rPr>
          <w:rStyle w:val="FootnoteReference"/>
          <w:bCs/>
          <w:snapToGrid w:val="0"/>
        </w:rPr>
        <w:footnoteReference w:id="6"/>
      </w:r>
      <w:r w:rsidR="00AB3D6A">
        <w:rPr>
          <w:bCs/>
          <w:snapToGrid w:val="0"/>
        </w:rPr>
        <w:t xml:space="preserve"> and conduit</w:t>
      </w:r>
      <w:r w:rsidRPr="00696937">
        <w:rPr>
          <w:bCs/>
          <w:snapToGrid w:val="0"/>
        </w:rPr>
        <w:t xml:space="preserve"> rated to serve a minimum of 200 </w:t>
      </w:r>
      <w:r w:rsidR="00CD20C8">
        <w:rPr>
          <w:bCs/>
          <w:snapToGrid w:val="0"/>
        </w:rPr>
        <w:t>amper</w:t>
      </w:r>
      <w:r w:rsidR="00E52E23">
        <w:rPr>
          <w:bCs/>
          <w:snapToGrid w:val="0"/>
        </w:rPr>
        <w:t>es</w:t>
      </w:r>
      <w:r w:rsidR="00CD20C8">
        <w:rPr>
          <w:bCs/>
          <w:snapToGrid w:val="0"/>
        </w:rPr>
        <w:t xml:space="preserve"> (</w:t>
      </w:r>
      <w:r w:rsidRPr="00696937">
        <w:rPr>
          <w:bCs/>
          <w:snapToGrid w:val="0"/>
        </w:rPr>
        <w:t>amps</w:t>
      </w:r>
      <w:r w:rsidR="00CD20C8">
        <w:t>)</w:t>
      </w:r>
      <w:r w:rsidR="00D43BF9">
        <w:t xml:space="preserve"> from the splice boxes</w:t>
      </w:r>
      <w:r w:rsidRPr="4A470D6D">
        <w:rPr>
          <w:rStyle w:val="FootnoteReference"/>
        </w:rPr>
        <w:footnoteReference w:id="7"/>
      </w:r>
      <w:r w:rsidR="00D43BF9">
        <w:t xml:space="preserve"> to the electric pedestal of each mobilehome</w:t>
      </w:r>
      <w:r w:rsidR="00352BA4">
        <w:t xml:space="preserve"> and update the Mobilehome Park Rebuild Program Agreement to reflect this requirement.</w:t>
      </w:r>
    </w:p>
    <w:bookmarkEnd w:id="16"/>
    <w:p w:rsidRPr="00534403" w:rsidR="00534403" w:rsidP="00534403" w:rsidRDefault="00534403" w14:paraId="69EC2D43" w14:textId="5B3A959D">
      <w:pPr>
        <w:numPr>
          <w:ilvl w:val="0"/>
          <w:numId w:val="5"/>
        </w:numPr>
      </w:pPr>
      <w:r w:rsidRPr="00534403">
        <w:rPr>
          <w:bCs/>
          <w:snapToGrid w:val="0"/>
        </w:rPr>
        <w:t xml:space="preserve">PG&amp;E shall evaluate the </w:t>
      </w:r>
      <w:r w:rsidRPr="004978F3" w:rsidR="004978F3">
        <w:rPr>
          <w:bCs/>
          <w:snapToGrid w:val="0"/>
        </w:rPr>
        <w:t xml:space="preserve">maximum </w:t>
      </w:r>
      <w:r w:rsidRPr="00534403">
        <w:rPr>
          <w:bCs/>
          <w:snapToGrid w:val="0"/>
        </w:rPr>
        <w:t xml:space="preserve">number of </w:t>
      </w:r>
      <w:r w:rsidR="00B04D31">
        <w:rPr>
          <w:bCs/>
          <w:snapToGrid w:val="0"/>
        </w:rPr>
        <w:t>200 amp</w:t>
      </w:r>
      <w:r w:rsidRPr="00534403">
        <w:rPr>
          <w:bCs/>
          <w:snapToGrid w:val="0"/>
        </w:rPr>
        <w:t xml:space="preserve"> services that can be supported by the contemplated transformer </w:t>
      </w:r>
      <w:r w:rsidRPr="003C5CE1" w:rsidR="003C5CE1">
        <w:rPr>
          <w:bCs/>
          <w:snapToGrid w:val="0"/>
        </w:rPr>
        <w:t xml:space="preserve">and distribution </w:t>
      </w:r>
      <w:r w:rsidRPr="00534403">
        <w:rPr>
          <w:bCs/>
          <w:snapToGrid w:val="0"/>
        </w:rPr>
        <w:t>infrastructure</w:t>
      </w:r>
      <w:r w:rsidR="004978F3">
        <w:rPr>
          <w:bCs/>
          <w:snapToGrid w:val="0"/>
        </w:rPr>
        <w:t>,</w:t>
      </w:r>
      <w:r w:rsidRPr="00534403">
        <w:rPr>
          <w:bCs/>
          <w:snapToGrid w:val="0"/>
        </w:rPr>
        <w:t xml:space="preserve"> </w:t>
      </w:r>
      <w:r w:rsidRPr="00534403">
        <w:rPr>
          <w:bCs/>
          <w:snapToGrid w:val="0"/>
        </w:rPr>
        <w:lastRenderedPageBreak/>
        <w:t>work with MHP owners and operators to the extent feasible to</w:t>
      </w:r>
      <w:r>
        <w:t xml:space="preserve"> </w:t>
      </w:r>
      <w:r w:rsidR="00906543">
        <w:t xml:space="preserve">identify which spaces shall receive </w:t>
      </w:r>
      <w:r w:rsidRPr="00534403">
        <w:rPr>
          <w:bCs/>
          <w:snapToGrid w:val="0"/>
        </w:rPr>
        <w:t xml:space="preserve"> a 200 amp service</w:t>
      </w:r>
      <w:r w:rsidRPr="004978F3" w:rsidR="004978F3">
        <w:rPr>
          <w:bCs/>
          <w:snapToGrid w:val="0"/>
        </w:rPr>
        <w:t xml:space="preserve">, and </w:t>
      </w:r>
      <w:r w:rsidR="009E5DCB">
        <w:rPr>
          <w:bCs/>
          <w:snapToGrid w:val="0"/>
        </w:rPr>
        <w:t xml:space="preserve">allow for the </w:t>
      </w:r>
      <w:r w:rsidRPr="004978F3" w:rsidR="004978F3">
        <w:rPr>
          <w:bCs/>
          <w:snapToGrid w:val="0"/>
        </w:rPr>
        <w:t>install</w:t>
      </w:r>
      <w:r w:rsidR="009E5DCB">
        <w:rPr>
          <w:bCs/>
          <w:snapToGrid w:val="0"/>
        </w:rPr>
        <w:t>ation of</w:t>
      </w:r>
      <w:r w:rsidRPr="004978F3" w:rsidR="004978F3">
        <w:rPr>
          <w:bCs/>
          <w:snapToGrid w:val="0"/>
        </w:rPr>
        <w:t xml:space="preserve"> 200 amp rated pedestals </w:t>
      </w:r>
      <w:r w:rsidR="00576AAA">
        <w:rPr>
          <w:bCs/>
          <w:snapToGrid w:val="0"/>
        </w:rPr>
        <w:t xml:space="preserve">and </w:t>
      </w:r>
      <w:r w:rsidR="00805867">
        <w:rPr>
          <w:bCs/>
          <w:snapToGrid w:val="0"/>
        </w:rPr>
        <w:t xml:space="preserve">configuration of the secondary distribution system </w:t>
      </w:r>
      <w:r w:rsidR="004A3BFC">
        <w:rPr>
          <w:bCs/>
          <w:snapToGrid w:val="0"/>
        </w:rPr>
        <w:t xml:space="preserve">according to Rule 2 and Rule 16 </w:t>
      </w:r>
      <w:r w:rsidRPr="004978F3" w:rsidR="004978F3">
        <w:rPr>
          <w:bCs/>
          <w:snapToGrid w:val="0"/>
        </w:rPr>
        <w:t>to those spaces, to the extent feasible.</w:t>
      </w:r>
      <w:r w:rsidR="004F3DDF">
        <w:rPr>
          <w:rStyle w:val="FootnoteReference"/>
          <w:bCs/>
          <w:snapToGrid w:val="0"/>
        </w:rPr>
        <w:footnoteReference w:id="8"/>
      </w:r>
    </w:p>
    <w:bookmarkEnd w:id="15"/>
    <w:p w:rsidRPr="000A102C" w:rsidR="005618C1" w:rsidP="00566B5A" w:rsidRDefault="005618C1" w14:paraId="389232C8" w14:textId="6C06A4A1">
      <w:pPr>
        <w:pStyle w:val="ListParagraph"/>
        <w:numPr>
          <w:ilvl w:val="0"/>
          <w:numId w:val="5"/>
        </w:numPr>
      </w:pPr>
      <w:r>
        <w:t>PG</w:t>
      </w:r>
      <w:r w:rsidR="003F4200">
        <w:t>&amp;</w:t>
      </w:r>
      <w:r>
        <w:t>E shall evaluate whether u</w:t>
      </w:r>
      <w:r>
        <w:rPr>
          <w:bCs/>
        </w:rPr>
        <w:t>pgrades to the secondary distribution system would enable a greater number of 200 amp services without necessitating a transformer upgrade</w:t>
      </w:r>
      <w:r w:rsidR="001003BD">
        <w:rPr>
          <w:bCs/>
        </w:rPr>
        <w:t xml:space="preserve">. If </w:t>
      </w:r>
      <w:r w:rsidR="00F65D26">
        <w:rPr>
          <w:bCs/>
        </w:rPr>
        <w:t xml:space="preserve">determined feasible </w:t>
      </w:r>
      <w:r w:rsidR="001003BD">
        <w:rPr>
          <w:bCs/>
        </w:rPr>
        <w:t>PG&amp;E shall</w:t>
      </w:r>
      <w:r w:rsidR="00637B65">
        <w:rPr>
          <w:bCs/>
        </w:rPr>
        <w:t xml:space="preserve"> </w:t>
      </w:r>
      <w:r>
        <w:rPr>
          <w:bCs/>
        </w:rPr>
        <w:t xml:space="preserve">present options </w:t>
      </w:r>
      <w:r w:rsidR="00F65D26">
        <w:rPr>
          <w:bCs/>
        </w:rPr>
        <w:t>and with project</w:t>
      </w:r>
      <w:r w:rsidR="0040591C">
        <w:rPr>
          <w:bCs/>
        </w:rPr>
        <w:t xml:space="preserve"> costs</w:t>
      </w:r>
      <w:r>
        <w:rPr>
          <w:bCs/>
        </w:rPr>
        <w:t xml:space="preserve"> to the MHP Owner</w:t>
      </w:r>
      <w:r w:rsidR="4EABB444">
        <w:t xml:space="preserve"> and discuss in the annual </w:t>
      </w:r>
      <w:r w:rsidR="0AC67765">
        <w:t>report</w:t>
      </w:r>
      <w:r w:rsidR="4B6B65B4">
        <w:t>s</w:t>
      </w:r>
      <w:r>
        <w:rPr>
          <w:bCs/>
        </w:rPr>
        <w:t>.</w:t>
      </w:r>
    </w:p>
    <w:p w:rsidRPr="00E81CC6" w:rsidR="00E81CC6" w:rsidP="00E81CC6" w:rsidRDefault="00E81CC6" w14:paraId="5A270DC4" w14:textId="0A30EFC8">
      <w:pPr>
        <w:pStyle w:val="ListParagraph"/>
        <w:numPr>
          <w:ilvl w:val="0"/>
          <w:numId w:val="5"/>
        </w:numPr>
        <w:rPr>
          <w:snapToGrid w:val="0"/>
        </w:rPr>
      </w:pPr>
      <w:r w:rsidRPr="00E81CC6">
        <w:rPr>
          <w:snapToGrid w:val="0"/>
        </w:rPr>
        <w:t xml:space="preserve">PG&amp;E </w:t>
      </w:r>
      <w:r w:rsidR="00A90747">
        <w:rPr>
          <w:snapToGrid w:val="0"/>
        </w:rPr>
        <w:t>shall</w:t>
      </w:r>
      <w:r w:rsidRPr="00E81CC6">
        <w:rPr>
          <w:snapToGrid w:val="0"/>
        </w:rPr>
        <w:t xml:space="preserve"> continue to notify and coordinate with </w:t>
      </w:r>
      <w:bookmarkStart w:name="_Hlk65838671" w:id="17"/>
      <w:r w:rsidR="00710BAD">
        <w:t>primary jurisdiction (</w:t>
      </w:r>
      <w:r w:rsidRPr="249DB94A" w:rsidR="00B55E62">
        <w:rPr>
          <w:i/>
        </w:rPr>
        <w:t>e.g.,</w:t>
      </w:r>
      <w:r w:rsidR="00710BAD">
        <w:t xml:space="preserve"> city or county) and</w:t>
      </w:r>
      <w:bookmarkEnd w:id="17"/>
      <w:r w:rsidR="00710BAD">
        <w:t xml:space="preserve"> </w:t>
      </w:r>
      <w:r w:rsidRPr="00E81CC6">
        <w:rPr>
          <w:snapToGrid w:val="0"/>
        </w:rPr>
        <w:t xml:space="preserve">non-energy service providers who serve MHPs </w:t>
      </w:r>
      <w:r w:rsidR="00261ED0">
        <w:rPr>
          <w:snapToGrid w:val="0"/>
        </w:rPr>
        <w:t>scheduled</w:t>
      </w:r>
      <w:r w:rsidRPr="00E81CC6" w:rsidR="00261ED0">
        <w:rPr>
          <w:snapToGrid w:val="0"/>
        </w:rPr>
        <w:t xml:space="preserve"> </w:t>
      </w:r>
      <w:r w:rsidRPr="00E81CC6">
        <w:rPr>
          <w:snapToGrid w:val="0"/>
        </w:rPr>
        <w:t xml:space="preserve">for utility </w:t>
      </w:r>
      <w:r w:rsidR="00261ED0">
        <w:rPr>
          <w:snapToGrid w:val="0"/>
        </w:rPr>
        <w:t>rebuild</w:t>
      </w:r>
      <w:r w:rsidRPr="00E81CC6" w:rsidR="00261ED0">
        <w:rPr>
          <w:snapToGrid w:val="0"/>
        </w:rPr>
        <w:t xml:space="preserve"> </w:t>
      </w:r>
      <w:r w:rsidRPr="00E81CC6">
        <w:rPr>
          <w:snapToGrid w:val="0"/>
        </w:rPr>
        <w:t xml:space="preserve">and who could participate in installing or upgrading their facilities in conjunction with </w:t>
      </w:r>
      <w:r w:rsidR="00ED6C8F">
        <w:t xml:space="preserve">the Rebuild Program </w:t>
      </w:r>
      <w:r w:rsidRPr="00E81CC6">
        <w:rPr>
          <w:snapToGrid w:val="0"/>
        </w:rPr>
        <w:t>work</w:t>
      </w:r>
      <w:r w:rsidR="00B30B49">
        <w:rPr>
          <w:snapToGrid w:val="0"/>
        </w:rPr>
        <w:t xml:space="preserve">.  Coordination should be </w:t>
      </w:r>
      <w:r w:rsidR="00491455">
        <w:rPr>
          <w:snapToGrid w:val="0"/>
        </w:rPr>
        <w:t>performed</w:t>
      </w:r>
      <w:r w:rsidR="00EF0B65">
        <w:rPr>
          <w:snapToGrid w:val="0"/>
        </w:rPr>
        <w:t xml:space="preserve"> </w:t>
      </w:r>
      <w:r w:rsidRPr="00E81CC6">
        <w:rPr>
          <w:snapToGrid w:val="0"/>
        </w:rPr>
        <w:t xml:space="preserve">in a manner which benefits </w:t>
      </w:r>
      <w:r w:rsidR="00F86910">
        <w:rPr>
          <w:snapToGrid w:val="0"/>
        </w:rPr>
        <w:t>CPUC</w:t>
      </w:r>
      <w:r w:rsidRPr="00E81CC6">
        <w:rPr>
          <w:snapToGrid w:val="0"/>
        </w:rPr>
        <w:t xml:space="preserve"> regulated gas and/or electric utility customers.</w:t>
      </w:r>
      <w:r w:rsidR="009030DB">
        <w:t xml:space="preserve">  </w:t>
      </w:r>
    </w:p>
    <w:p w:rsidR="009B5B61" w:rsidP="00365A54" w:rsidRDefault="009B5B61" w14:paraId="63E5F5EB" w14:textId="5A2455B6">
      <w:pPr>
        <w:numPr>
          <w:ilvl w:val="0"/>
          <w:numId w:val="5"/>
        </w:numPr>
        <w:rPr>
          <w:snapToGrid w:val="0"/>
        </w:rPr>
      </w:pPr>
      <w:bookmarkStart w:name="_Hlk56682889" w:id="18"/>
      <w:r w:rsidRPr="009B5B61">
        <w:rPr>
          <w:snapToGrid w:val="0"/>
        </w:rPr>
        <w:t xml:space="preserve">PG&amp;E is not required to retrofit construction in progress </w:t>
      </w:r>
      <w:r w:rsidR="001300B8">
        <w:rPr>
          <w:snapToGrid w:val="0"/>
        </w:rPr>
        <w:t xml:space="preserve">as of the effective date of this resolution </w:t>
      </w:r>
      <w:r w:rsidR="00231BB0">
        <w:rPr>
          <w:snapToGrid w:val="0"/>
        </w:rPr>
        <w:t>or</w:t>
      </w:r>
      <w:r w:rsidRPr="009B5B61">
        <w:rPr>
          <w:snapToGrid w:val="0"/>
        </w:rPr>
        <w:t xml:space="preserve"> mobilehome parks </w:t>
      </w:r>
      <w:r w:rsidRPr="009B5B61" w:rsidR="00894A14">
        <w:rPr>
          <w:snapToGrid w:val="0"/>
        </w:rPr>
        <w:t xml:space="preserve">completed </w:t>
      </w:r>
      <w:r w:rsidR="00894A14">
        <w:rPr>
          <w:snapToGrid w:val="0"/>
        </w:rPr>
        <w:t xml:space="preserve">through </w:t>
      </w:r>
      <w:r w:rsidRPr="009B5B61">
        <w:rPr>
          <w:snapToGrid w:val="0"/>
        </w:rPr>
        <w:t>the Rebuild Program to satisfy the requirements set forth in this Resolution.</w:t>
      </w:r>
    </w:p>
    <w:p w:rsidRPr="009B5B61" w:rsidR="007F35CA" w:rsidP="009B5B61" w:rsidRDefault="00365A54" w14:paraId="0351B714" w14:textId="501E8499">
      <w:pPr>
        <w:numPr>
          <w:ilvl w:val="0"/>
          <w:numId w:val="5"/>
        </w:numPr>
        <w:rPr>
          <w:snapToGrid w:val="0"/>
        </w:rPr>
      </w:pPr>
      <w:r w:rsidRPr="00753F8A">
        <w:rPr>
          <w:snapToGrid w:val="0"/>
        </w:rPr>
        <w:t xml:space="preserve">PG&amp;E shall use the template in Table </w:t>
      </w:r>
      <w:r w:rsidR="00BA01C6">
        <w:rPr>
          <w:snapToGrid w:val="0"/>
        </w:rPr>
        <w:t>1</w:t>
      </w:r>
      <w:r w:rsidRPr="00753F8A" w:rsidR="00BA01C6">
        <w:rPr>
          <w:snapToGrid w:val="0"/>
        </w:rPr>
        <w:t xml:space="preserve"> </w:t>
      </w:r>
      <w:r w:rsidRPr="00753F8A">
        <w:rPr>
          <w:snapToGrid w:val="0"/>
        </w:rPr>
        <w:t xml:space="preserve">of Appendix A to report </w:t>
      </w:r>
      <w:r w:rsidR="00C84710">
        <w:t>to-the-meter</w:t>
      </w:r>
      <w:r w:rsidRPr="00753F8A">
        <w:rPr>
          <w:snapToGrid w:val="0"/>
        </w:rPr>
        <w:t xml:space="preserve"> </w:t>
      </w:r>
      <w:r w:rsidR="00383CEA">
        <w:rPr>
          <w:snapToGrid w:val="0"/>
        </w:rPr>
        <w:t xml:space="preserve">and </w:t>
      </w:r>
      <w:r w:rsidRPr="00EC7807" w:rsidR="00966C38">
        <w:rPr>
          <w:bCs/>
        </w:rPr>
        <w:t>beyond-the-meter</w:t>
      </w:r>
      <w:r w:rsidR="00383CEA">
        <w:rPr>
          <w:snapToGrid w:val="0"/>
        </w:rPr>
        <w:t xml:space="preserve"> </w:t>
      </w:r>
      <w:r w:rsidRPr="00753F8A">
        <w:rPr>
          <w:snapToGrid w:val="0"/>
        </w:rPr>
        <w:t xml:space="preserve">data of the </w:t>
      </w:r>
      <w:r w:rsidR="00ED6C8F">
        <w:t>Rebuild Program</w:t>
      </w:r>
      <w:r w:rsidRPr="00753F8A">
        <w:rPr>
          <w:snapToGrid w:val="0"/>
        </w:rPr>
        <w:t xml:space="preserve">.  </w:t>
      </w:r>
      <w:r w:rsidR="00AC2A84">
        <w:rPr>
          <w:snapToGrid w:val="0"/>
        </w:rPr>
        <w:t xml:space="preserve">Both </w:t>
      </w:r>
      <w:r w:rsidR="00E23F97">
        <w:rPr>
          <w:snapToGrid w:val="0"/>
        </w:rPr>
        <w:t xml:space="preserve">public </w:t>
      </w:r>
      <w:r w:rsidR="00261ED0">
        <w:rPr>
          <w:snapToGrid w:val="0"/>
        </w:rPr>
        <w:t xml:space="preserve">and </w:t>
      </w:r>
      <w:r w:rsidRPr="00753F8A">
        <w:rPr>
          <w:snapToGrid w:val="0"/>
        </w:rPr>
        <w:t>confidential version</w:t>
      </w:r>
      <w:r w:rsidR="00383CEA">
        <w:rPr>
          <w:snapToGrid w:val="0"/>
        </w:rPr>
        <w:t>s</w:t>
      </w:r>
      <w:r w:rsidRPr="00753F8A">
        <w:rPr>
          <w:snapToGrid w:val="0"/>
        </w:rPr>
        <w:t xml:space="preserve"> </w:t>
      </w:r>
      <w:r>
        <w:rPr>
          <w:snapToGrid w:val="0"/>
        </w:rPr>
        <w:t xml:space="preserve">of the annual report </w:t>
      </w:r>
      <w:r w:rsidRPr="00753F8A">
        <w:rPr>
          <w:snapToGrid w:val="0"/>
        </w:rPr>
        <w:t>sh</w:t>
      </w:r>
      <w:r w:rsidR="00F92C06">
        <w:rPr>
          <w:snapToGrid w:val="0"/>
        </w:rPr>
        <w:t>all</w:t>
      </w:r>
      <w:r w:rsidRPr="00753F8A">
        <w:rPr>
          <w:snapToGrid w:val="0"/>
        </w:rPr>
        <w:t xml:space="preserve"> be </w:t>
      </w:r>
      <w:bookmarkStart w:name="_Hlk54622474" w:id="19"/>
      <w:r>
        <w:rPr>
          <w:snapToGrid w:val="0"/>
        </w:rPr>
        <w:t xml:space="preserve">submitted to </w:t>
      </w:r>
      <w:bookmarkEnd w:id="19"/>
      <w:r>
        <w:rPr>
          <w:snapToGrid w:val="0"/>
        </w:rPr>
        <w:t>Energy Division (ED) and Safety and Enforcement Division (SED) on March 1</w:t>
      </w:r>
      <w:r w:rsidRPr="00365A54">
        <w:rPr>
          <w:snapToGrid w:val="0"/>
          <w:vertAlign w:val="superscript"/>
        </w:rPr>
        <w:t>st</w:t>
      </w:r>
      <w:r>
        <w:rPr>
          <w:snapToGrid w:val="0"/>
        </w:rPr>
        <w:t xml:space="preserve"> of each year until </w:t>
      </w:r>
      <w:r w:rsidR="000429EA">
        <w:rPr>
          <w:snapToGrid w:val="0"/>
        </w:rPr>
        <w:t xml:space="preserve">the </w:t>
      </w:r>
      <w:r>
        <w:rPr>
          <w:snapToGrid w:val="0"/>
        </w:rPr>
        <w:t xml:space="preserve">closing of the </w:t>
      </w:r>
      <w:r w:rsidR="00ED6C8F">
        <w:t>Rebuild Program</w:t>
      </w:r>
      <w:r w:rsidRPr="00753F8A">
        <w:rPr>
          <w:snapToGrid w:val="0"/>
        </w:rPr>
        <w:t>.</w:t>
      </w:r>
    </w:p>
    <w:bookmarkEnd w:id="18"/>
    <w:p w:rsidRPr="00753F8A" w:rsidR="003D7315" w:rsidP="003D7315" w:rsidRDefault="003D7315" w14:paraId="1D18DB08" w14:textId="353A8B70">
      <w:pPr>
        <w:numPr>
          <w:ilvl w:val="0"/>
          <w:numId w:val="5"/>
        </w:numPr>
        <w:rPr>
          <w:snapToGrid w:val="0"/>
        </w:rPr>
      </w:pPr>
      <w:r w:rsidRPr="00753F8A">
        <w:rPr>
          <w:snapToGrid w:val="0"/>
        </w:rPr>
        <w:t xml:space="preserve">PG&amp;E shall submit a Tier 1 </w:t>
      </w:r>
      <w:r w:rsidR="00BF143F">
        <w:t xml:space="preserve">supplemental compliance </w:t>
      </w:r>
      <w:r w:rsidRPr="00753F8A">
        <w:rPr>
          <w:snapToGrid w:val="0"/>
        </w:rPr>
        <w:t xml:space="preserve">Advice Letter within 30 days </w:t>
      </w:r>
      <w:r w:rsidR="002029FE">
        <w:rPr>
          <w:bCs/>
          <w:snapToGrid w:val="0"/>
        </w:rPr>
        <w:t>of</w:t>
      </w:r>
      <w:r w:rsidRPr="00AD3118" w:rsidR="00AD3118">
        <w:rPr>
          <w:bCs/>
          <w:snapToGrid w:val="0"/>
        </w:rPr>
        <w:t xml:space="preserve"> </w:t>
      </w:r>
      <w:r w:rsidRPr="00753F8A">
        <w:rPr>
          <w:snapToGrid w:val="0"/>
        </w:rPr>
        <w:t xml:space="preserve">the effective date of this Resolution </w:t>
      </w:r>
      <w:r w:rsidR="00872522">
        <w:t xml:space="preserve">for approval of </w:t>
      </w:r>
      <w:r w:rsidRPr="00AD3118" w:rsidR="00AD3118">
        <w:rPr>
          <w:bCs/>
          <w:snapToGrid w:val="0"/>
        </w:rPr>
        <w:t xml:space="preserve">the updated </w:t>
      </w:r>
      <w:r w:rsidRPr="00753F8A">
        <w:rPr>
          <w:snapToGrid w:val="0"/>
        </w:rPr>
        <w:t xml:space="preserve">Butte County </w:t>
      </w:r>
      <w:r w:rsidR="00835803">
        <w:t>Mobilehome Park</w:t>
      </w:r>
      <w:r w:rsidRPr="00753F8A">
        <w:rPr>
          <w:snapToGrid w:val="0"/>
        </w:rPr>
        <w:t xml:space="preserve"> Rebuild Program Agreement</w:t>
      </w:r>
      <w:r w:rsidR="001B2CE2">
        <w:rPr>
          <w:snapToGrid w:val="0"/>
        </w:rPr>
        <w:t xml:space="preserve"> (Form 79-1201)</w:t>
      </w:r>
      <w:r w:rsidR="00815D67">
        <w:rPr>
          <w:snapToGrid w:val="0"/>
        </w:rPr>
        <w:t xml:space="preserve"> </w:t>
      </w:r>
      <w:r w:rsidR="00C43D24">
        <w:rPr>
          <w:snapToGrid w:val="0"/>
        </w:rPr>
        <w:t>in accordance with the requirements</w:t>
      </w:r>
      <w:r w:rsidR="006D3A71">
        <w:rPr>
          <w:snapToGrid w:val="0"/>
        </w:rPr>
        <w:t xml:space="preserve"> set forth</w:t>
      </w:r>
      <w:r w:rsidR="00C43D24">
        <w:rPr>
          <w:snapToGrid w:val="0"/>
        </w:rPr>
        <w:t xml:space="preserve"> in this Resolution</w:t>
      </w:r>
      <w:r w:rsidRPr="00753F8A">
        <w:rPr>
          <w:snapToGrid w:val="0"/>
        </w:rPr>
        <w:t>.</w:t>
      </w:r>
    </w:p>
    <w:bookmarkEnd w:id="8"/>
    <w:p w:rsidR="00774C01" w:rsidP="00774C01" w:rsidRDefault="00774C01" w14:paraId="16708116" w14:textId="77777777">
      <w:pPr>
        <w:rPr>
          <w:snapToGrid w:val="0"/>
        </w:rPr>
      </w:pPr>
    </w:p>
    <w:p w:rsidR="00774C01" w:rsidRDefault="00BC0BBB" w14:paraId="59322F3E" w14:textId="696F66FE">
      <w:pPr>
        <w:rPr>
          <w:snapToGrid w:val="0"/>
        </w:rPr>
      </w:pPr>
      <w:r>
        <w:lastRenderedPageBreak/>
        <w:t>As this resolution responds</w:t>
      </w:r>
      <w:r w:rsidRPr="00774C01" w:rsidR="00774C01">
        <w:rPr>
          <w:snapToGrid w:val="0"/>
        </w:rPr>
        <w:t xml:space="preserve"> to a Tier 2 Advice Letter</w:t>
      </w:r>
      <w:r>
        <w:t xml:space="preserve"> filing</w:t>
      </w:r>
      <w:r w:rsidR="00774C01">
        <w:t xml:space="preserve">, </w:t>
      </w:r>
      <w:r>
        <w:t xml:space="preserve">it </w:t>
      </w:r>
      <w:r w:rsidRPr="00774C01" w:rsidR="00774C01">
        <w:rPr>
          <w:snapToGrid w:val="0"/>
        </w:rPr>
        <w:t xml:space="preserve">does not </w:t>
      </w:r>
      <w:r>
        <w:t>grant any authority</w:t>
      </w:r>
      <w:r w:rsidRPr="00774C01" w:rsidR="00774C01">
        <w:rPr>
          <w:snapToGrid w:val="0"/>
        </w:rPr>
        <w:t xml:space="preserve"> to track </w:t>
      </w:r>
      <w:r w:rsidR="00ED6C8F">
        <w:t>the Rebuild Program</w:t>
      </w:r>
      <w:r w:rsidRPr="00774C01" w:rsidR="00774C01">
        <w:rPr>
          <w:snapToGrid w:val="0"/>
        </w:rPr>
        <w:t xml:space="preserve"> expenditures within existing memoranda accounts or to establish any new memoranda accounts.</w:t>
      </w:r>
      <w:r w:rsidR="00774C01">
        <w:rPr>
          <w:rStyle w:val="FootnoteReference"/>
          <w:snapToGrid w:val="0"/>
        </w:rPr>
        <w:footnoteReference w:id="9"/>
      </w:r>
    </w:p>
    <w:p w:rsidR="008A0324" w:rsidRDefault="008A0324" w14:paraId="2751771A" w14:textId="367503EC">
      <w:pPr>
        <w:rPr>
          <w:snapToGrid w:val="0"/>
        </w:rPr>
      </w:pPr>
    </w:p>
    <w:p w:rsidRPr="00116861" w:rsidR="008A0324" w:rsidP="008A0324" w:rsidRDefault="008A0324" w14:paraId="0BD78B6C" w14:textId="7A8E9C88">
      <w:r w:rsidRPr="00116861">
        <w:t>PG&amp;E beg</w:t>
      </w:r>
      <w:r w:rsidR="004337A3">
        <w:t>a</w:t>
      </w:r>
      <w:r w:rsidRPr="00116861">
        <w:t xml:space="preserve">n rebuilding of the MHPs in Butte County </w:t>
      </w:r>
      <w:r>
        <w:t>in</w:t>
      </w:r>
      <w:r w:rsidRPr="00116861">
        <w:t xml:space="preserve"> 2019 with the proposed </w:t>
      </w:r>
      <w:r w:rsidRPr="00116861">
        <w:rPr>
          <w:bCs/>
        </w:rPr>
        <w:t>Mobilehome Park (MHP) Rebuild Program Agreement</w:t>
      </w:r>
      <w:r w:rsidRPr="00116861">
        <w:t xml:space="preserve">.  Therefore, </w:t>
      </w:r>
      <w:r>
        <w:t xml:space="preserve">the </w:t>
      </w:r>
      <w:r w:rsidR="00547071">
        <w:t xml:space="preserve">timeframe for the </w:t>
      </w:r>
      <w:r>
        <w:t xml:space="preserve">issuance of this Resolution has not delayed or interfered with PG&amp;E's ability to expeditiously rebuild infrastructure to serve the community after the fire.  Furthermore, </w:t>
      </w:r>
      <w:r w:rsidRPr="00116861">
        <w:t xml:space="preserve">this Resolution will support the rebuild effort with </w:t>
      </w:r>
      <w:r>
        <w:t xml:space="preserve">a modified agreement which </w:t>
      </w:r>
      <w:r w:rsidR="0019297B">
        <w:t xml:space="preserve">addresses comments, </w:t>
      </w:r>
      <w:r>
        <w:t xml:space="preserve">includes </w:t>
      </w:r>
      <w:r w:rsidRPr="00116861">
        <w:t>minor enhancements to prepare for electrification</w:t>
      </w:r>
      <w:r w:rsidR="0019297B">
        <w:t>,</w:t>
      </w:r>
      <w:r w:rsidRPr="00116861">
        <w:t xml:space="preserve"> and align</w:t>
      </w:r>
      <w:r w:rsidR="0019297B">
        <w:t>s</w:t>
      </w:r>
      <w:r w:rsidRPr="00116861">
        <w:t xml:space="preserve"> with requirements in Decision </w:t>
      </w:r>
      <w:r w:rsidR="002238AE">
        <w:br/>
      </w:r>
      <w:r w:rsidRPr="00116861">
        <w:t>(D.) 20-04-004.</w:t>
      </w:r>
      <w:r>
        <w:t xml:space="preserve">  </w:t>
      </w:r>
    </w:p>
    <w:p w:rsidRPr="00FB78FA" w:rsidR="003D7C82" w:rsidP="00EC7807" w:rsidRDefault="003D7C82" w14:paraId="0EDAF928" w14:textId="77777777"/>
    <w:p w:rsidR="00CF17DE" w:rsidRDefault="00CF17DE" w14:paraId="0BFDDE4C" w14:textId="77777777">
      <w:pPr>
        <w:pStyle w:val="Heading1"/>
      </w:pPr>
      <w:r>
        <w:t>Background</w:t>
      </w:r>
    </w:p>
    <w:p w:rsidR="00CA1990" w:rsidRDefault="00EB0F04" w14:paraId="1383D97F" w14:textId="0F8F9450">
      <w:r w:rsidRPr="00EB0F04">
        <w:t xml:space="preserve">The Camp Fire started on </w:t>
      </w:r>
      <w:r w:rsidRPr="00EB0F04" w:rsidR="00FA732B">
        <w:t>November 8, 2018</w:t>
      </w:r>
      <w:r w:rsidR="00877BF8">
        <w:t>,</w:t>
      </w:r>
      <w:r w:rsidRPr="00EB0F04" w:rsidR="00FA732B">
        <w:t xml:space="preserve"> </w:t>
      </w:r>
      <w:r w:rsidRPr="00EB0F04">
        <w:t>lasted 17 days</w:t>
      </w:r>
      <w:r w:rsidR="00877BF8">
        <w:t>, and caused significant damage to infrastructure in Butte County</w:t>
      </w:r>
      <w:r w:rsidRPr="00EB0F04">
        <w:t xml:space="preserve">. </w:t>
      </w:r>
      <w:r w:rsidR="00877BF8">
        <w:t xml:space="preserve">Since </w:t>
      </w:r>
      <w:r w:rsidR="004D249C">
        <w:t xml:space="preserve">April </w:t>
      </w:r>
      <w:r w:rsidR="00120A08">
        <w:t>2019</w:t>
      </w:r>
      <w:r w:rsidR="00877BF8">
        <w:t>,</w:t>
      </w:r>
      <w:r w:rsidRPr="00EB0F04">
        <w:t xml:space="preserve"> </w:t>
      </w:r>
      <w:r w:rsidRPr="006A7F03" w:rsidR="006A7F03">
        <w:t xml:space="preserve">PG&amp;E </w:t>
      </w:r>
      <w:r w:rsidR="006A7F03">
        <w:t>has been</w:t>
      </w:r>
      <w:r w:rsidRPr="006A7F03" w:rsidR="006A7F03">
        <w:t xml:space="preserve"> working towards restoring services for </w:t>
      </w:r>
      <w:r w:rsidR="00066808">
        <w:t xml:space="preserve">MHP </w:t>
      </w:r>
      <w:r w:rsidRPr="006A7F03" w:rsidR="006A7F03">
        <w:t xml:space="preserve">facilities that were damaged or destroyed </w:t>
      </w:r>
      <w:r w:rsidR="00877BF8">
        <w:t>by</w:t>
      </w:r>
      <w:r w:rsidRPr="006A7F03" w:rsidR="006A7F03">
        <w:t xml:space="preserve"> the Camp </w:t>
      </w:r>
      <w:r w:rsidR="00877BF8">
        <w:t>F</w:t>
      </w:r>
      <w:r w:rsidRPr="006A7F03" w:rsidR="006A7F03">
        <w:t xml:space="preserve">ire.  </w:t>
      </w:r>
      <w:r w:rsidR="00C90F48">
        <w:t xml:space="preserve">As part of these efforts, </w:t>
      </w:r>
      <w:r w:rsidRPr="002179A5" w:rsidR="002179A5">
        <w:t xml:space="preserve">PG&amp;E has created </w:t>
      </w:r>
      <w:r w:rsidR="00B745FE">
        <w:t>the</w:t>
      </w:r>
      <w:r w:rsidRPr="002179A5" w:rsidR="002179A5">
        <w:t xml:space="preserve"> </w:t>
      </w:r>
      <w:r w:rsidRPr="00ED6C8F" w:rsidR="00ED6C8F">
        <w:t>Rebuild Program</w:t>
      </w:r>
      <w:r w:rsidRPr="002179A5" w:rsidR="002179A5">
        <w:t xml:space="preserve">) specifically for </w:t>
      </w:r>
      <w:r w:rsidR="00FE4777">
        <w:t>MHP</w:t>
      </w:r>
      <w:r w:rsidRPr="002179A5" w:rsidR="002179A5">
        <w:t>s affected by the Camp Fire</w:t>
      </w:r>
      <w:r w:rsidR="00877BF8">
        <w:t>.</w:t>
      </w:r>
      <w:r w:rsidRPr="002179A5" w:rsidR="002179A5">
        <w:t xml:space="preserve"> </w:t>
      </w:r>
      <w:r w:rsidR="00774C01">
        <w:t xml:space="preserve">The </w:t>
      </w:r>
      <w:r w:rsidRPr="00ED6C8F" w:rsidR="00ED6C8F">
        <w:t>Rebuild Program</w:t>
      </w:r>
      <w:r w:rsidR="00774C01">
        <w:t xml:space="preserve"> is intended to </w:t>
      </w:r>
      <w:r w:rsidRPr="002179A5" w:rsidR="00774C01">
        <w:t xml:space="preserve">expedite the reestablishment of utility service to the </w:t>
      </w:r>
      <w:r w:rsidR="00774C01">
        <w:t>MHP</w:t>
      </w:r>
      <w:r w:rsidRPr="002179A5" w:rsidR="00774C01">
        <w:t>s</w:t>
      </w:r>
      <w:r w:rsidR="00774C01">
        <w:t xml:space="preserve"> in Butte County</w:t>
      </w:r>
      <w:r w:rsidRPr="002179A5" w:rsidR="00774C01">
        <w:t xml:space="preserve"> and provide </w:t>
      </w:r>
      <w:r w:rsidR="00774C01">
        <w:t xml:space="preserve">direct </w:t>
      </w:r>
      <w:r w:rsidRPr="002179A5" w:rsidR="00774C01">
        <w:t xml:space="preserve">utility service to the individual mobilehomes. </w:t>
      </w:r>
      <w:r w:rsidR="00774C01">
        <w:t xml:space="preserve"> </w:t>
      </w:r>
      <w:r w:rsidR="00B745FE">
        <w:t xml:space="preserve">Direct utility service refers to electric and gas services from PG&amp;E that serve utility owned meters in each mobilehome space.  </w:t>
      </w:r>
      <w:r w:rsidR="00877BF8">
        <w:t>This program</w:t>
      </w:r>
      <w:r w:rsidRPr="002179A5" w:rsidR="00877BF8">
        <w:t xml:space="preserve"> </w:t>
      </w:r>
      <w:r w:rsidRPr="002179A5" w:rsidR="002179A5">
        <w:t xml:space="preserve">is </w:t>
      </w:r>
      <w:r w:rsidRPr="002179A5" w:rsidR="002179A5">
        <w:lastRenderedPageBreak/>
        <w:t xml:space="preserve">fashioned after the </w:t>
      </w:r>
      <w:r w:rsidR="00835803">
        <w:t>Mobilehome Park</w:t>
      </w:r>
      <w:r w:rsidRPr="002179A5" w:rsidR="002179A5">
        <w:t xml:space="preserve"> Utility Upgrade Program</w:t>
      </w:r>
      <w:r w:rsidR="009B6695">
        <w:t xml:space="preserve"> (MHP Pilot)</w:t>
      </w:r>
      <w:r w:rsidR="002179A5">
        <w:rPr>
          <w:rStyle w:val="FootnoteReference"/>
        </w:rPr>
        <w:footnoteReference w:id="10"/>
      </w:r>
      <w:r w:rsidR="00D96248">
        <w:t>.</w:t>
      </w:r>
      <w:r w:rsidRPr="002179A5" w:rsidR="002179A5">
        <w:t xml:space="preserve"> </w:t>
      </w:r>
      <w:r w:rsidR="00D96248">
        <w:t xml:space="preserve">The </w:t>
      </w:r>
      <w:r w:rsidRPr="008416E6" w:rsidR="00D96248">
        <w:t>MHP Pilot</w:t>
      </w:r>
      <w:r w:rsidRPr="008416E6" w:rsidDel="008416E6" w:rsidR="00D96248">
        <w:t xml:space="preserve"> </w:t>
      </w:r>
      <w:r w:rsidR="00D96248">
        <w:t xml:space="preserve">is the predecessor to the permanent </w:t>
      </w:r>
      <w:r w:rsidRPr="00835803" w:rsidR="00835803">
        <w:t>Mobilehome Park</w:t>
      </w:r>
      <w:r w:rsidR="00D96248">
        <w:t xml:space="preserve"> Utility Conversion Program (MHP Conversion Program) established by D.20-04-004. </w:t>
      </w:r>
      <w:r w:rsidR="009F365A">
        <w:t>Both the MHP Pilot and MHP Conversion Program provide direct utility service to mobilehome</w:t>
      </w:r>
      <w:r w:rsidR="00B96C69">
        <w:t xml:space="preserve"> spaces</w:t>
      </w:r>
      <w:r w:rsidR="009F365A">
        <w:t>.</w:t>
      </w:r>
    </w:p>
    <w:p w:rsidR="00CA1990" w:rsidRDefault="00CA1990" w14:paraId="3E582F7D" w14:textId="77777777"/>
    <w:p w:rsidR="002179A5" w:rsidRDefault="004475FF" w14:paraId="4A299A27" w14:textId="436EFEA5">
      <w:r>
        <w:t>Under direct utility service, t</w:t>
      </w:r>
      <w:r w:rsidR="008A14BC">
        <w:t>he mobilehome owners</w:t>
      </w:r>
      <w:r w:rsidR="000C7BB8">
        <w:t xml:space="preserve"> or residents</w:t>
      </w:r>
      <w:r w:rsidR="008A14BC">
        <w:t xml:space="preserve"> become PG&amp;E</w:t>
      </w:r>
      <w:r w:rsidR="009816B6">
        <w:t>’s</w:t>
      </w:r>
      <w:r w:rsidR="008A14BC">
        <w:t xml:space="preserve"> customers</w:t>
      </w:r>
      <w:r w:rsidR="001E1207">
        <w:t>.</w:t>
      </w:r>
      <w:r w:rsidR="008A14BC">
        <w:t xml:space="preserve"> </w:t>
      </w:r>
      <w:r w:rsidR="0051750E">
        <w:t>B</w:t>
      </w:r>
      <w:r w:rsidRPr="00495480" w:rsidR="00495480">
        <w:t xml:space="preserve">efore the </w:t>
      </w:r>
      <w:r w:rsidR="00495480">
        <w:t>conversion</w:t>
      </w:r>
      <w:r w:rsidR="00E31498">
        <w:t xml:space="preserve"> </w:t>
      </w:r>
      <w:r w:rsidR="004C7D67">
        <w:t>to direct utility service</w:t>
      </w:r>
      <w:r w:rsidR="008D1003">
        <w:t xml:space="preserve"> </w:t>
      </w:r>
      <w:r w:rsidR="0051750E">
        <w:t xml:space="preserve">provided by </w:t>
      </w:r>
      <w:r w:rsidR="00ED6C8F">
        <w:t xml:space="preserve">the </w:t>
      </w:r>
      <w:r w:rsidRPr="00ED6C8F" w:rsidR="00ED6C8F">
        <w:t>Rebuild Program</w:t>
      </w:r>
      <w:r w:rsidRPr="00495480" w:rsidR="00495480">
        <w:t xml:space="preserve">, </w:t>
      </w:r>
      <w:r w:rsidR="006F75E3">
        <w:t xml:space="preserve">approximately </w:t>
      </w:r>
      <w:r w:rsidR="003A3DD0">
        <w:t xml:space="preserve">38% of the electric mobilehome spaces and </w:t>
      </w:r>
      <w:r w:rsidR="00154967">
        <w:t>52% of the gas spaces</w:t>
      </w:r>
      <w:r w:rsidR="006F75E3">
        <w:t xml:space="preserve"> </w:t>
      </w:r>
      <w:r w:rsidR="008123D8">
        <w:t xml:space="preserve">were </w:t>
      </w:r>
      <w:r w:rsidRPr="00495480" w:rsidR="00495480">
        <w:t>served by master-meter</w:t>
      </w:r>
      <w:r w:rsidR="001A5334">
        <w:t>s</w:t>
      </w:r>
      <w:r w:rsidR="00F06BBB">
        <w:t xml:space="preserve"> with the</w:t>
      </w:r>
      <w:r w:rsidRPr="00495480" w:rsidR="00495480">
        <w:t xml:space="preserve"> </w:t>
      </w:r>
      <w:r w:rsidR="00F06BBB">
        <w:t>MHP owne</w:t>
      </w:r>
      <w:r w:rsidR="00276676">
        <w:t xml:space="preserve">rs and </w:t>
      </w:r>
      <w:r w:rsidR="00F06BBB">
        <w:t>operator</w:t>
      </w:r>
      <w:r w:rsidR="00276676">
        <w:t>s</w:t>
      </w:r>
      <w:r w:rsidR="00F06BBB">
        <w:t xml:space="preserve"> </w:t>
      </w:r>
      <w:r w:rsidR="00D304AC">
        <w:t xml:space="preserve">being </w:t>
      </w:r>
      <w:r w:rsidR="00F06BBB">
        <w:t>PG&amp;E’s customer</w:t>
      </w:r>
      <w:r w:rsidR="00D304AC">
        <w:t xml:space="preserve"> of record</w:t>
      </w:r>
      <w:r w:rsidR="00CA7053">
        <w:t>.</w:t>
      </w:r>
      <w:r w:rsidR="00D946E2">
        <w:rPr>
          <w:rStyle w:val="FootnoteReference"/>
        </w:rPr>
        <w:footnoteReference w:id="11"/>
      </w:r>
      <w:r w:rsidR="00CA7053">
        <w:t xml:space="preserve">  Service would then be provided to the mobilehomes</w:t>
      </w:r>
      <w:r w:rsidRPr="00495480" w:rsidR="00495480">
        <w:t xml:space="preserve"> </w:t>
      </w:r>
      <w:r w:rsidR="00D304AC">
        <w:t>by the owner</w:t>
      </w:r>
      <w:r w:rsidR="001C64F1">
        <w:t xml:space="preserve"> and </w:t>
      </w:r>
      <w:r w:rsidR="00D304AC">
        <w:t xml:space="preserve">operator </w:t>
      </w:r>
      <w:r w:rsidRPr="00495480" w:rsidR="00495480">
        <w:t>with or without a submeter at the mobilehome</w:t>
      </w:r>
      <w:r w:rsidR="009816B6">
        <w:t>,</w:t>
      </w:r>
      <w:r w:rsidR="008A14BC">
        <w:t xml:space="preserve"> and the</w:t>
      </w:r>
      <w:r w:rsidR="00185DBC">
        <w:t xml:space="preserve"> tenant would be charged for the power by the MHP owner</w:t>
      </w:r>
      <w:r w:rsidR="001C64F1">
        <w:t xml:space="preserve"> and </w:t>
      </w:r>
      <w:r w:rsidR="00185DBC">
        <w:t>operator</w:t>
      </w:r>
      <w:r w:rsidR="00C77D83">
        <w:t xml:space="preserve"> according to metered or assumed usage</w:t>
      </w:r>
      <w:r w:rsidR="009816B6">
        <w:t>.</w:t>
      </w:r>
      <w:r w:rsidR="00495480">
        <w:t xml:space="preserve">  </w:t>
      </w:r>
      <w:r w:rsidRPr="00072458" w:rsidR="00072458">
        <w:rPr>
          <w:bCs/>
        </w:rPr>
        <w:t xml:space="preserve">Once MHP residents </w:t>
      </w:r>
      <w:r w:rsidR="00925477">
        <w:rPr>
          <w:bCs/>
        </w:rPr>
        <w:t xml:space="preserve">are </w:t>
      </w:r>
      <w:r w:rsidR="00DE0576">
        <w:rPr>
          <w:bCs/>
        </w:rPr>
        <w:t>provided direct</w:t>
      </w:r>
      <w:r w:rsidR="004C7D67">
        <w:rPr>
          <w:bCs/>
        </w:rPr>
        <w:t xml:space="preserve"> utility</w:t>
      </w:r>
      <w:r w:rsidR="00DE0576">
        <w:rPr>
          <w:bCs/>
        </w:rPr>
        <w:t xml:space="preserve"> service</w:t>
      </w:r>
      <w:r w:rsidR="00350B90">
        <w:rPr>
          <w:bCs/>
        </w:rPr>
        <w:t>,</w:t>
      </w:r>
      <w:r w:rsidR="00647572">
        <w:rPr>
          <w:bCs/>
        </w:rPr>
        <w:t xml:space="preserve"> they</w:t>
      </w:r>
      <w:r w:rsidR="00DE0576">
        <w:rPr>
          <w:bCs/>
        </w:rPr>
        <w:t xml:space="preserve"> </w:t>
      </w:r>
      <w:r w:rsidRPr="00072458" w:rsidR="00072458">
        <w:rPr>
          <w:bCs/>
        </w:rPr>
        <w:t>become PG&amp;E customers</w:t>
      </w:r>
      <w:r w:rsidR="00952F05">
        <w:rPr>
          <w:bCs/>
        </w:rPr>
        <w:t xml:space="preserve">.  </w:t>
      </w:r>
      <w:r w:rsidR="00925477">
        <w:rPr>
          <w:bCs/>
        </w:rPr>
        <w:t xml:space="preserve">As </w:t>
      </w:r>
      <w:r w:rsidR="00FF320D">
        <w:rPr>
          <w:bCs/>
        </w:rPr>
        <w:t xml:space="preserve">PG&amp;E </w:t>
      </w:r>
      <w:r w:rsidR="00925477">
        <w:rPr>
          <w:bCs/>
        </w:rPr>
        <w:t>customers</w:t>
      </w:r>
      <w:r w:rsidRPr="00072458" w:rsidR="00072458">
        <w:rPr>
          <w:bCs/>
        </w:rPr>
        <w:t xml:space="preserve">, they can more easily participate in low-income programs such as CARE </w:t>
      </w:r>
      <w:r w:rsidR="002D0DB6">
        <w:rPr>
          <w:bCs/>
        </w:rPr>
        <w:t>(</w:t>
      </w:r>
      <w:r w:rsidRPr="00072458" w:rsidR="00072458">
        <w:rPr>
          <w:bCs/>
        </w:rPr>
        <w:t>California Alternate Rates for Energy</w:t>
      </w:r>
      <w:r w:rsidR="002D0DB6">
        <w:rPr>
          <w:bCs/>
        </w:rPr>
        <w:t>)</w:t>
      </w:r>
      <w:r w:rsidRPr="00072458" w:rsidR="00072458">
        <w:rPr>
          <w:bCs/>
        </w:rPr>
        <w:t xml:space="preserve">, FERA </w:t>
      </w:r>
      <w:r w:rsidR="002D0DB6">
        <w:rPr>
          <w:bCs/>
        </w:rPr>
        <w:t>(</w:t>
      </w:r>
      <w:r w:rsidRPr="00072458" w:rsidR="00072458">
        <w:rPr>
          <w:bCs/>
        </w:rPr>
        <w:t>Family Electric Rate Assistance</w:t>
      </w:r>
      <w:r w:rsidR="002D0DB6">
        <w:rPr>
          <w:bCs/>
        </w:rPr>
        <w:t>)</w:t>
      </w:r>
      <w:r w:rsidRPr="00072458" w:rsidR="00072458">
        <w:rPr>
          <w:bCs/>
        </w:rPr>
        <w:t>, and Medical Baseline</w:t>
      </w:r>
      <w:r w:rsidR="002D0DB6">
        <w:rPr>
          <w:bCs/>
        </w:rPr>
        <w:t xml:space="preserve">.  This direct eligibility has the potential to </w:t>
      </w:r>
      <w:r w:rsidRPr="00072458" w:rsidR="00072458">
        <w:rPr>
          <w:bCs/>
        </w:rPr>
        <w:t>mak</w:t>
      </w:r>
      <w:r w:rsidR="002D0DB6">
        <w:rPr>
          <w:bCs/>
        </w:rPr>
        <w:t>e</w:t>
      </w:r>
      <w:r w:rsidRPr="00072458" w:rsidR="00072458">
        <w:rPr>
          <w:bCs/>
        </w:rPr>
        <w:t xml:space="preserve"> the cost of gas and electric services more affordable for eligible MHP residents.</w:t>
      </w:r>
      <w:r w:rsidRPr="00072458" w:rsidR="00072458">
        <w:rPr>
          <w:bCs/>
          <w:vertAlign w:val="superscript"/>
        </w:rPr>
        <w:footnoteReference w:id="12"/>
      </w:r>
      <w:r w:rsidRPr="00072458" w:rsidR="00072458">
        <w:rPr>
          <w:bCs/>
        </w:rPr>
        <w:t xml:space="preserve">  </w:t>
      </w:r>
    </w:p>
    <w:p w:rsidRPr="00514B2F" w:rsidR="00514B2F" w:rsidP="00566B5A" w:rsidRDefault="00E828A7" w14:paraId="7CED370E" w14:textId="77620707">
      <w:pPr>
        <w:rPr>
          <w:bCs/>
        </w:rPr>
      </w:pPr>
      <w:r>
        <w:lastRenderedPageBreak/>
        <w:t>O</w:t>
      </w:r>
      <w:r w:rsidRPr="00EE78F7" w:rsidR="00C97965">
        <w:t xml:space="preserve">n July 2, 2019, </w:t>
      </w:r>
      <w:r>
        <w:t xml:space="preserve">PG&amp;E submitted AL </w:t>
      </w:r>
      <w:r w:rsidRPr="00EE78F7">
        <w:t>4116-G/5581-E</w:t>
      </w:r>
      <w:r w:rsidRPr="00EE78F7" w:rsidR="00C97965">
        <w:t xml:space="preserve"> </w:t>
      </w:r>
      <w:r w:rsidRPr="002179A5" w:rsidR="002179A5">
        <w:t xml:space="preserve">seeking approval of </w:t>
      </w:r>
      <w:bookmarkStart w:name="_Hlk32923810" w:id="21"/>
      <w:r w:rsidRPr="002179A5" w:rsidR="002179A5">
        <w:t xml:space="preserve">PG&amp;E’s Butte County </w:t>
      </w:r>
      <w:r w:rsidR="00230A7D">
        <w:t>M</w:t>
      </w:r>
      <w:r w:rsidRPr="00835803" w:rsidR="00835803">
        <w:t>obilehome</w:t>
      </w:r>
      <w:r w:rsidRPr="00835803" w:rsidDel="00835803" w:rsidR="00835803">
        <w:t xml:space="preserve"> </w:t>
      </w:r>
      <w:r w:rsidR="00A134F5">
        <w:t>Park</w:t>
      </w:r>
      <w:r w:rsidRPr="002179A5" w:rsidR="002179A5">
        <w:t xml:space="preserve"> Rebuild Program Agreement (Form 79-1201)</w:t>
      </w:r>
      <w:r w:rsidR="007D6D7F">
        <w:t>. This form serves</w:t>
      </w:r>
      <w:r w:rsidRPr="002179A5" w:rsidR="002179A5">
        <w:t xml:space="preserve"> to establish an agreement between PG&amp;E and the </w:t>
      </w:r>
      <w:r w:rsidR="007D6D7F">
        <w:t xml:space="preserve">participating </w:t>
      </w:r>
      <w:r w:rsidR="00FE4777">
        <w:t>MHP</w:t>
      </w:r>
      <w:r w:rsidRPr="002179A5" w:rsidR="002179A5">
        <w:t xml:space="preserve"> </w:t>
      </w:r>
      <w:r w:rsidR="002649C7">
        <w:t>o</w:t>
      </w:r>
      <w:r w:rsidRPr="002179A5" w:rsidR="002649C7">
        <w:t>wner</w:t>
      </w:r>
      <w:r w:rsidR="00C34026">
        <w:t xml:space="preserve">s and </w:t>
      </w:r>
      <w:r w:rsidR="002649C7">
        <w:t>o</w:t>
      </w:r>
      <w:r w:rsidRPr="002179A5" w:rsidR="002649C7">
        <w:t>perator</w:t>
      </w:r>
      <w:r w:rsidR="00C34026">
        <w:t>s</w:t>
      </w:r>
      <w:r w:rsidRPr="002179A5" w:rsidR="002649C7">
        <w:t xml:space="preserve"> </w:t>
      </w:r>
      <w:r w:rsidR="009076F8">
        <w:t>under which</w:t>
      </w:r>
      <w:r w:rsidRPr="002179A5" w:rsidR="009076F8">
        <w:t xml:space="preserve"> </w:t>
      </w:r>
      <w:r w:rsidRPr="002179A5" w:rsidR="002179A5">
        <w:t xml:space="preserve">PG&amp;E </w:t>
      </w:r>
      <w:r w:rsidR="009076F8">
        <w:t>would</w:t>
      </w:r>
      <w:r w:rsidRPr="002179A5" w:rsidR="009076F8">
        <w:t xml:space="preserve"> </w:t>
      </w:r>
      <w:r w:rsidRPr="002179A5" w:rsidR="002179A5">
        <w:t>install, own</w:t>
      </w:r>
      <w:r w:rsidR="007D6D7F">
        <w:t>,</w:t>
      </w:r>
      <w:r w:rsidRPr="002179A5" w:rsidR="002179A5">
        <w:t xml:space="preserve"> and operate traditional utility services in </w:t>
      </w:r>
      <w:r w:rsidR="00FE4777">
        <w:t>MHP</w:t>
      </w:r>
      <w:r w:rsidRPr="002179A5" w:rsidR="002179A5">
        <w:t>s located in Butte County.</w:t>
      </w:r>
      <w:bookmarkEnd w:id="21"/>
      <w:r w:rsidRPr="002179A5" w:rsidR="002179A5">
        <w:t xml:space="preserve"> </w:t>
      </w:r>
      <w:r w:rsidR="002179A5">
        <w:t xml:space="preserve"> </w:t>
      </w:r>
      <w:r w:rsidR="00ED1B23">
        <w:t xml:space="preserve">This agreement </w:t>
      </w:r>
      <w:bookmarkStart w:name="_Hlk32923911" w:id="22"/>
      <w:r w:rsidR="009567A7">
        <w:t>details</w:t>
      </w:r>
      <w:r w:rsidRPr="00ED1B23" w:rsidR="009567A7">
        <w:t xml:space="preserve"> </w:t>
      </w:r>
      <w:r w:rsidRPr="00ED1B23" w:rsidR="00ED1B23">
        <w:t xml:space="preserve">the work </w:t>
      </w:r>
      <w:r w:rsidR="009567A7">
        <w:t>that will be</w:t>
      </w:r>
      <w:r w:rsidRPr="00ED1B23" w:rsidR="009567A7">
        <w:t xml:space="preserve"> </w:t>
      </w:r>
      <w:r w:rsidRPr="00ED1B23" w:rsidR="00ED1B23">
        <w:t xml:space="preserve">performed by PG&amp;E and </w:t>
      </w:r>
      <w:r w:rsidR="009567A7">
        <w:t xml:space="preserve">by </w:t>
      </w:r>
      <w:r w:rsidRPr="00ED1B23" w:rsidR="00ED1B23">
        <w:t xml:space="preserve">the MHP </w:t>
      </w:r>
      <w:r w:rsidR="00B57116">
        <w:t>o</w:t>
      </w:r>
      <w:r w:rsidRPr="00ED1B23" w:rsidR="00ED1B23">
        <w:t>wners</w:t>
      </w:r>
      <w:r w:rsidR="00A14C0A">
        <w:t>’</w:t>
      </w:r>
      <w:r w:rsidR="00734F38">
        <w:t xml:space="preserve"> and</w:t>
      </w:r>
      <w:r w:rsidRPr="00ED1B23" w:rsidDel="00B57116" w:rsidR="00ED1B23">
        <w:t xml:space="preserve"> </w:t>
      </w:r>
      <w:r w:rsidR="00B57116">
        <w:t>o</w:t>
      </w:r>
      <w:r w:rsidRPr="00ED1B23" w:rsidR="00B57116">
        <w:t xml:space="preserve">perators’ </w:t>
      </w:r>
      <w:r w:rsidRPr="00ED1B23" w:rsidR="00ED1B23">
        <w:t xml:space="preserve">designated contractor </w:t>
      </w:r>
      <w:r w:rsidR="00836E7E">
        <w:t>to</w:t>
      </w:r>
      <w:r w:rsidRPr="00ED1B23" w:rsidR="00836E7E">
        <w:t xml:space="preserve"> </w:t>
      </w:r>
      <w:r w:rsidRPr="00ED1B23" w:rsidR="00ED1B23">
        <w:t>restor</w:t>
      </w:r>
      <w:r w:rsidR="00836E7E">
        <w:t>e</w:t>
      </w:r>
      <w:r w:rsidRPr="00ED1B23" w:rsidR="00ED1B23">
        <w:t xml:space="preserve"> the utility service to the MHP.</w:t>
      </w:r>
      <w:bookmarkEnd w:id="22"/>
      <w:r w:rsidR="00ED1B23">
        <w:t xml:space="preserve">  </w:t>
      </w:r>
      <w:bookmarkStart w:name="_Hlk32923973" w:id="23"/>
      <w:r w:rsidR="00A8734E">
        <w:t xml:space="preserve">The </w:t>
      </w:r>
      <w:r w:rsidRPr="00ED6C8F" w:rsidR="00ED6C8F">
        <w:t>Rebuild Program</w:t>
      </w:r>
      <w:r w:rsidRPr="006A7F03" w:rsidR="006A7F03">
        <w:t xml:space="preserve"> does not cover new developments –</w:t>
      </w:r>
      <w:r w:rsidR="00075F89">
        <w:t xml:space="preserve"> </w:t>
      </w:r>
      <w:r w:rsidRPr="006A7F03" w:rsidR="006A7F03">
        <w:t xml:space="preserve">it is focused on restoring service and replacing facilities </w:t>
      </w:r>
      <w:r w:rsidRPr="00C97965" w:rsidR="00C97965">
        <w:t>for</w:t>
      </w:r>
      <w:r w:rsidR="00473774">
        <w:t xml:space="preserve"> the</w:t>
      </w:r>
      <w:r w:rsidRPr="00C97965" w:rsidR="00C97965">
        <w:t xml:space="preserve"> 36 MHP</w:t>
      </w:r>
      <w:r w:rsidR="004D1EF7">
        <w:t xml:space="preserve">s, </w:t>
      </w:r>
      <w:r w:rsidRPr="00C97965" w:rsidR="00C97965">
        <w:t>representing approximately 1,652 spaces</w:t>
      </w:r>
      <w:r w:rsidR="009567A7">
        <w:t>,</w:t>
      </w:r>
      <w:r w:rsidRPr="00C97965" w:rsidR="00C97965">
        <w:t xml:space="preserve"> that lost service or had electric and gas facilities damaged or destroyed </w:t>
      </w:r>
      <w:r w:rsidR="009567A7">
        <w:t>by</w:t>
      </w:r>
      <w:r w:rsidRPr="00C97965" w:rsidR="00C97965">
        <w:t xml:space="preserve"> the Camp Fire.</w:t>
      </w:r>
      <w:bookmarkEnd w:id="23"/>
      <w:r w:rsidRPr="00C97965" w:rsidR="00C97965">
        <w:t xml:space="preserve">  </w:t>
      </w:r>
      <w:r w:rsidR="00F54D2F">
        <w:rPr>
          <w:bCs/>
        </w:rPr>
        <w:t xml:space="preserve">Although most of the MHPs have </w:t>
      </w:r>
      <w:r w:rsidR="00917BBA">
        <w:rPr>
          <w:bCs/>
        </w:rPr>
        <w:t xml:space="preserve">submitted </w:t>
      </w:r>
      <w:r w:rsidR="005A69A7">
        <w:rPr>
          <w:bCs/>
        </w:rPr>
        <w:t xml:space="preserve">formal </w:t>
      </w:r>
      <w:r w:rsidR="00917BBA">
        <w:rPr>
          <w:bCs/>
        </w:rPr>
        <w:t xml:space="preserve">applications for </w:t>
      </w:r>
      <w:r w:rsidRPr="00ED6C8F" w:rsidR="00ED6C8F">
        <w:rPr>
          <w:bCs/>
        </w:rPr>
        <w:t>Rebuild Program</w:t>
      </w:r>
      <w:r w:rsidR="005A69A7">
        <w:rPr>
          <w:bCs/>
        </w:rPr>
        <w:t>, t</w:t>
      </w:r>
      <w:r w:rsidRPr="00514B2F" w:rsidR="00514B2F">
        <w:rPr>
          <w:bCs/>
        </w:rPr>
        <w:t>here are 8 mobilehome parks representing approximately 395 spaces that have yet to submit a formal application for</w:t>
      </w:r>
      <w:r w:rsidR="005A69A7">
        <w:rPr>
          <w:bCs/>
        </w:rPr>
        <w:t xml:space="preserve"> the program</w:t>
      </w:r>
      <w:r w:rsidRPr="00514B2F" w:rsidR="00514B2F">
        <w:rPr>
          <w:bCs/>
        </w:rPr>
        <w:t>.</w:t>
      </w:r>
      <w:r w:rsidRPr="00514B2F" w:rsidR="00514B2F">
        <w:rPr>
          <w:bCs/>
          <w:vertAlign w:val="superscript"/>
        </w:rPr>
        <w:footnoteReference w:id="13"/>
      </w:r>
      <w:r w:rsidRPr="00514B2F" w:rsidR="00514B2F">
        <w:rPr>
          <w:bCs/>
        </w:rPr>
        <w:t xml:space="preserve">  </w:t>
      </w:r>
    </w:p>
    <w:p w:rsidR="00ED1B23" w:rsidRDefault="00ED1B23" w14:paraId="37EC7C14" w14:textId="0D816C71">
      <w:pPr>
        <w:rPr>
          <w:rFonts w:ascii="Arial" w:hAnsi="Arial" w:eastAsia="Arial" w:cs="Arial"/>
          <w:sz w:val="24"/>
          <w:szCs w:val="24"/>
        </w:rPr>
      </w:pPr>
      <w:r w:rsidRPr="00ED1B23">
        <w:rPr>
          <w:rFonts w:ascii="Arial" w:hAnsi="Arial" w:eastAsia="Arial" w:cs="Arial"/>
          <w:sz w:val="24"/>
          <w:szCs w:val="24"/>
        </w:rPr>
        <w:t xml:space="preserve"> </w:t>
      </w:r>
    </w:p>
    <w:p w:rsidR="00787A63" w:rsidRDefault="004C7D67" w14:paraId="5A29CF7C" w14:textId="003D2AF8">
      <w:bookmarkStart w:name="_Hlk40971677" w:id="24"/>
      <w:bookmarkStart w:name="_Hlk32924096" w:id="25"/>
      <w:r>
        <w:t xml:space="preserve">While the </w:t>
      </w:r>
      <w:r w:rsidRPr="00ED6C8F" w:rsidR="00ED6C8F">
        <w:t>Rebuild Program</w:t>
      </w:r>
      <w:bookmarkEnd w:id="24"/>
      <w:r w:rsidRPr="00ED1B23" w:rsidR="00ED1B23">
        <w:t xml:space="preserve"> is modeled after the MHP</w:t>
      </w:r>
      <w:r w:rsidR="0060111A">
        <w:t xml:space="preserve"> Pilot</w:t>
      </w:r>
      <w:r>
        <w:t>, it introduces</w:t>
      </w:r>
      <w:bookmarkStart w:name="_Hlk48906822" w:id="26"/>
      <w:r w:rsidR="00156C43">
        <w:t xml:space="preserve"> modifications</w:t>
      </w:r>
      <w:r w:rsidR="000E2271">
        <w:t xml:space="preserve"> </w:t>
      </w:r>
      <w:r w:rsidR="004D0EC2">
        <w:t>to</w:t>
      </w:r>
      <w:r w:rsidR="000E2271">
        <w:t xml:space="preserve"> the Pilot agreement</w:t>
      </w:r>
      <w:r w:rsidR="00156C43">
        <w:t xml:space="preserve"> </w:t>
      </w:r>
      <w:bookmarkEnd w:id="26"/>
      <w:r w:rsidRPr="00ED1B23" w:rsidR="00ED1B23">
        <w:t>to</w:t>
      </w:r>
      <w:r w:rsidR="00441AAB">
        <w:t xml:space="preserve"> expedite</w:t>
      </w:r>
      <w:r w:rsidRPr="00ED1B23" w:rsidR="00712477">
        <w:t xml:space="preserve"> </w:t>
      </w:r>
      <w:r w:rsidRPr="00ED1B23" w:rsidR="00ED1B23">
        <w:t xml:space="preserve">and </w:t>
      </w:r>
      <w:r w:rsidR="00441AAB">
        <w:t>tailor</w:t>
      </w:r>
      <w:r w:rsidR="00425DB2">
        <w:t xml:space="preserve"> </w:t>
      </w:r>
      <w:r w:rsidRPr="00ED1B23" w:rsidR="00ED1B23">
        <w:t xml:space="preserve">the </w:t>
      </w:r>
      <w:r w:rsidRPr="00ED6C8F" w:rsidR="00ED6C8F">
        <w:t>Rebuild Program</w:t>
      </w:r>
      <w:r w:rsidRPr="00441AAB" w:rsidR="00441AAB">
        <w:t xml:space="preserve"> </w:t>
      </w:r>
      <w:r w:rsidR="00441AAB">
        <w:t xml:space="preserve">to </w:t>
      </w:r>
      <w:r w:rsidRPr="00ED1B23" w:rsidR="00441AAB">
        <w:t xml:space="preserve">the </w:t>
      </w:r>
      <w:r w:rsidR="00441AAB">
        <w:t>needs of Butte County MHP residents</w:t>
      </w:r>
      <w:r w:rsidRPr="00ED1B23" w:rsidR="00ED1B23">
        <w:t xml:space="preserve">. </w:t>
      </w:r>
      <w:bookmarkEnd w:id="25"/>
      <w:r w:rsidR="00C97965">
        <w:t>T</w:t>
      </w:r>
      <w:r w:rsidR="00ED1B23">
        <w:t>he</w:t>
      </w:r>
      <w:r w:rsidRPr="00ED1B23" w:rsidR="00ED1B23">
        <w:t xml:space="preserve"> difference</w:t>
      </w:r>
      <w:r w:rsidR="00C97965">
        <w:t>s</w:t>
      </w:r>
      <w:r w:rsidRPr="00ED1B23" w:rsidR="00ED1B23">
        <w:t xml:space="preserve"> between the MHP </w:t>
      </w:r>
      <w:r w:rsidR="0060111A">
        <w:t>Pilot</w:t>
      </w:r>
      <w:r w:rsidRPr="00ED1B23" w:rsidR="00ED1B23">
        <w:t xml:space="preserve"> and the </w:t>
      </w:r>
      <w:r w:rsidRPr="00ED6C8F" w:rsidR="00ED6C8F">
        <w:t>Rebuild Program</w:t>
      </w:r>
      <w:r w:rsidR="00C97965">
        <w:t xml:space="preserve"> are </w:t>
      </w:r>
      <w:r w:rsidR="00C90F48">
        <w:t>described as</w:t>
      </w:r>
      <w:r w:rsidR="00C97965">
        <w:t xml:space="preserve"> follow</w:t>
      </w:r>
      <w:r w:rsidR="009567A7">
        <w:t>s</w:t>
      </w:r>
      <w:r w:rsidR="00C97965">
        <w:t>:</w:t>
      </w:r>
    </w:p>
    <w:p w:rsidRPr="00C97965" w:rsidR="00C97965" w:rsidP="00C97965" w:rsidRDefault="00ED6C8F" w14:paraId="6B936535" w14:textId="45A60FAF">
      <w:pPr>
        <w:numPr>
          <w:ilvl w:val="0"/>
          <w:numId w:val="18"/>
        </w:numPr>
      </w:pPr>
      <w:r>
        <w:rPr>
          <w:bCs/>
        </w:rPr>
        <w:t xml:space="preserve">The </w:t>
      </w:r>
      <w:r w:rsidRPr="00ED6C8F">
        <w:rPr>
          <w:bCs/>
        </w:rPr>
        <w:t>Rebuild Program</w:t>
      </w:r>
      <w:r w:rsidRPr="00C97965" w:rsidR="00C97965">
        <w:rPr>
          <w:bCs/>
        </w:rPr>
        <w:t xml:space="preserve"> is proposed by PG&amp;</w:t>
      </w:r>
      <w:r w:rsidR="00960117">
        <w:rPr>
          <w:bCs/>
        </w:rPr>
        <w:t>E</w:t>
      </w:r>
      <w:r w:rsidRPr="00C97965" w:rsidR="00960117">
        <w:rPr>
          <w:bCs/>
        </w:rPr>
        <w:t xml:space="preserve"> </w:t>
      </w:r>
      <w:r w:rsidRPr="00C97965" w:rsidR="00C97965">
        <w:rPr>
          <w:bCs/>
        </w:rPr>
        <w:t>for</w:t>
      </w:r>
      <w:r w:rsidR="00EC4D6D">
        <w:rPr>
          <w:bCs/>
        </w:rPr>
        <w:t xml:space="preserve"> restoration of facilities within</w:t>
      </w:r>
      <w:r w:rsidRPr="00C97965" w:rsidR="00C97965">
        <w:rPr>
          <w:bCs/>
        </w:rPr>
        <w:t xml:space="preserve"> </w:t>
      </w:r>
      <w:r w:rsidR="00FE4777">
        <w:rPr>
          <w:bCs/>
        </w:rPr>
        <w:t>MHP</w:t>
      </w:r>
      <w:r w:rsidRPr="00C97965" w:rsidR="00C97965">
        <w:rPr>
          <w:bCs/>
        </w:rPr>
        <w:t xml:space="preserve">s in Butte County that had electric and gas facilities damaged or destroyed </w:t>
      </w:r>
      <w:r w:rsidR="009567A7">
        <w:rPr>
          <w:bCs/>
        </w:rPr>
        <w:t>by</w:t>
      </w:r>
      <w:r w:rsidRPr="00C97965" w:rsidR="00C97965">
        <w:rPr>
          <w:bCs/>
        </w:rPr>
        <w:t xml:space="preserve"> the Camp Fire</w:t>
      </w:r>
      <w:r w:rsidR="009567A7">
        <w:rPr>
          <w:bCs/>
        </w:rPr>
        <w:t xml:space="preserve"> while the</w:t>
      </w:r>
      <w:r w:rsidRPr="00C97965" w:rsidR="00C97965">
        <w:rPr>
          <w:bCs/>
        </w:rPr>
        <w:t xml:space="preserve"> MHP Pilot was designed for all </w:t>
      </w:r>
      <w:r w:rsidR="00FE4777">
        <w:rPr>
          <w:bCs/>
        </w:rPr>
        <w:t>MHP</w:t>
      </w:r>
      <w:r w:rsidRPr="00C97965" w:rsidR="00C97965">
        <w:rPr>
          <w:bCs/>
        </w:rPr>
        <w:t>s</w:t>
      </w:r>
      <w:r w:rsidR="00471DCF">
        <w:rPr>
          <w:bCs/>
        </w:rPr>
        <w:t xml:space="preserve"> served by California Investor Owned Utilities (IOUs)</w:t>
      </w:r>
      <w:r w:rsidRPr="00C97965" w:rsidR="00C97965">
        <w:rPr>
          <w:bCs/>
        </w:rPr>
        <w:t xml:space="preserve"> </w:t>
      </w:r>
      <w:r w:rsidR="009567A7">
        <w:rPr>
          <w:bCs/>
        </w:rPr>
        <w:t xml:space="preserve">and </w:t>
      </w:r>
      <w:r w:rsidR="00D66CAF">
        <w:rPr>
          <w:bCs/>
        </w:rPr>
        <w:t xml:space="preserve">is focused upon </w:t>
      </w:r>
      <w:r w:rsidRPr="00C97965" w:rsidR="00C97965">
        <w:rPr>
          <w:bCs/>
        </w:rPr>
        <w:t>improv</w:t>
      </w:r>
      <w:r w:rsidR="00855E6F">
        <w:rPr>
          <w:bCs/>
        </w:rPr>
        <w:t>ing</w:t>
      </w:r>
      <w:r w:rsidRPr="00C97965" w:rsidR="00C97965">
        <w:rPr>
          <w:bCs/>
        </w:rPr>
        <w:t xml:space="preserve"> </w:t>
      </w:r>
      <w:r w:rsidR="009567A7">
        <w:rPr>
          <w:bCs/>
        </w:rPr>
        <w:t xml:space="preserve">the </w:t>
      </w:r>
      <w:r w:rsidRPr="00C97965" w:rsidR="00C97965">
        <w:rPr>
          <w:bCs/>
        </w:rPr>
        <w:t xml:space="preserve">safety, reliability, and capacity of existing mobilehomes. </w:t>
      </w:r>
    </w:p>
    <w:p w:rsidRPr="00D61BEC" w:rsidR="00D61BEC" w:rsidP="00C97965" w:rsidRDefault="00C97965" w14:paraId="04458C1D" w14:textId="0EB49122">
      <w:pPr>
        <w:numPr>
          <w:ilvl w:val="0"/>
          <w:numId w:val="18"/>
        </w:numPr>
      </w:pPr>
      <w:bookmarkStart w:name="_Hlk20822357" w:id="27"/>
      <w:r w:rsidRPr="00C97965">
        <w:rPr>
          <w:bCs/>
        </w:rPr>
        <w:t xml:space="preserve">MHPs in </w:t>
      </w:r>
      <w:r w:rsidR="00ED6C8F">
        <w:rPr>
          <w:bCs/>
        </w:rPr>
        <w:t xml:space="preserve">the </w:t>
      </w:r>
      <w:r w:rsidRPr="00ED6C8F" w:rsidR="00ED6C8F">
        <w:rPr>
          <w:bCs/>
        </w:rPr>
        <w:t>Rebuild Program</w:t>
      </w:r>
      <w:r w:rsidR="009567A7">
        <w:rPr>
          <w:bCs/>
        </w:rPr>
        <w:t>,</w:t>
      </w:r>
      <w:r w:rsidRPr="00C97965">
        <w:rPr>
          <w:bCs/>
        </w:rPr>
        <w:t xml:space="preserve"> as proposed by PG&amp;E</w:t>
      </w:r>
      <w:r w:rsidR="009567A7">
        <w:rPr>
          <w:bCs/>
        </w:rPr>
        <w:t>,</w:t>
      </w:r>
      <w:r w:rsidRPr="00C97965">
        <w:rPr>
          <w:bCs/>
        </w:rPr>
        <w:t xml:space="preserve"> are not required to be prioritized or pre-qualified</w:t>
      </w:r>
      <w:r w:rsidRPr="00C97965" w:rsidR="00D61BEC">
        <w:rPr>
          <w:bCs/>
        </w:rPr>
        <w:t>,</w:t>
      </w:r>
      <w:r w:rsidR="003378AC">
        <w:rPr>
          <w:bCs/>
        </w:rPr>
        <w:t xml:space="preserve"> while</w:t>
      </w:r>
      <w:r w:rsidRPr="00C97965" w:rsidR="00D61BEC">
        <w:rPr>
          <w:bCs/>
        </w:rPr>
        <w:t xml:space="preserve"> the MHP Pilot program </w:t>
      </w:r>
      <w:r w:rsidR="00C00C4C">
        <w:rPr>
          <w:bCs/>
        </w:rPr>
        <w:t>authorizes the CPUC’s Safety and Enforcement Division (</w:t>
      </w:r>
      <w:r w:rsidR="00DE6925">
        <w:rPr>
          <w:bCs/>
        </w:rPr>
        <w:t>SED</w:t>
      </w:r>
      <w:r w:rsidR="00C00C4C">
        <w:rPr>
          <w:bCs/>
        </w:rPr>
        <w:t>)</w:t>
      </w:r>
      <w:r w:rsidR="00DE6925">
        <w:rPr>
          <w:bCs/>
        </w:rPr>
        <w:t xml:space="preserve"> to </w:t>
      </w:r>
      <w:r w:rsidRPr="00C97965" w:rsidR="00D61BEC">
        <w:rPr>
          <w:bCs/>
        </w:rPr>
        <w:t xml:space="preserve">prioritize MHP </w:t>
      </w:r>
      <w:r w:rsidRPr="00C97965" w:rsidR="00D61BEC">
        <w:rPr>
          <w:bCs/>
        </w:rPr>
        <w:lastRenderedPageBreak/>
        <w:t xml:space="preserve">applications by safety, electric reliability, </w:t>
      </w:r>
      <w:r w:rsidR="00E31498">
        <w:rPr>
          <w:bCs/>
        </w:rPr>
        <w:t>dual conversion</w:t>
      </w:r>
      <w:r w:rsidR="009816B6">
        <w:rPr>
          <w:rStyle w:val="FootnoteReference"/>
          <w:bCs/>
        </w:rPr>
        <w:footnoteReference w:id="14"/>
      </w:r>
      <w:r w:rsidR="00E31498">
        <w:rPr>
          <w:bCs/>
        </w:rPr>
        <w:t xml:space="preserve">, </w:t>
      </w:r>
      <w:r w:rsidRPr="00C97965" w:rsidR="00D61BEC">
        <w:rPr>
          <w:bCs/>
        </w:rPr>
        <w:t>and capacity</w:t>
      </w:r>
      <w:r w:rsidR="00E31498">
        <w:rPr>
          <w:bCs/>
        </w:rPr>
        <w:t xml:space="preserve"> improvement</w:t>
      </w:r>
      <w:r w:rsidRPr="00C97965" w:rsidR="00D61BEC">
        <w:rPr>
          <w:bCs/>
        </w:rPr>
        <w:t>.</w:t>
      </w:r>
      <w:r w:rsidRPr="00502DA2" w:rsidR="00D61BEC">
        <w:rPr>
          <w:bCs/>
          <w:vertAlign w:val="superscript"/>
        </w:rPr>
        <w:footnoteReference w:id="15"/>
      </w:r>
    </w:p>
    <w:p w:rsidRPr="00C97965" w:rsidR="00C97965" w:rsidP="00C97965" w:rsidRDefault="00ED6C8F" w14:paraId="109E8862" w14:textId="7684E3AC">
      <w:pPr>
        <w:numPr>
          <w:ilvl w:val="0"/>
          <w:numId w:val="18"/>
        </w:numPr>
      </w:pPr>
      <w:r>
        <w:rPr>
          <w:bCs/>
        </w:rPr>
        <w:t xml:space="preserve">The </w:t>
      </w:r>
      <w:r w:rsidRPr="00ED6C8F">
        <w:rPr>
          <w:bCs/>
        </w:rPr>
        <w:t>Rebuild Program</w:t>
      </w:r>
      <w:r w:rsidR="00E15A6C">
        <w:rPr>
          <w:bCs/>
        </w:rPr>
        <w:t xml:space="preserve"> prioritization is </w:t>
      </w:r>
      <w:r w:rsidR="00960117">
        <w:rPr>
          <w:bCs/>
        </w:rPr>
        <w:t xml:space="preserve">based on the </w:t>
      </w:r>
      <w:r w:rsidR="00816C02">
        <w:rPr>
          <w:bCs/>
        </w:rPr>
        <w:t>order in which</w:t>
      </w:r>
      <w:r w:rsidR="00193DBF">
        <w:rPr>
          <w:bCs/>
        </w:rPr>
        <w:t xml:space="preserve"> </w:t>
      </w:r>
      <w:r w:rsidRPr="00B01539" w:rsidR="00B01539">
        <w:rPr>
          <w:bCs/>
        </w:rPr>
        <w:t xml:space="preserve">the MHP owners and operators submit a complete application for </w:t>
      </w:r>
      <w:r>
        <w:rPr>
          <w:bCs/>
        </w:rPr>
        <w:t>the</w:t>
      </w:r>
      <w:r w:rsidRPr="00ED6C8F">
        <w:t xml:space="preserve"> </w:t>
      </w:r>
      <w:r w:rsidRPr="00ED6C8F">
        <w:rPr>
          <w:bCs/>
        </w:rPr>
        <w:t>Rebuild Program</w:t>
      </w:r>
      <w:r w:rsidR="00C1486D">
        <w:rPr>
          <w:bCs/>
        </w:rPr>
        <w:t>.</w:t>
      </w:r>
      <w:r w:rsidR="00B01539">
        <w:rPr>
          <w:bCs/>
        </w:rPr>
        <w:t xml:space="preserve"> </w:t>
      </w:r>
      <w:r w:rsidR="00B42F68">
        <w:rPr>
          <w:bCs/>
        </w:rPr>
        <w:t>T</w:t>
      </w:r>
      <w:r w:rsidR="00B01539">
        <w:rPr>
          <w:bCs/>
        </w:rPr>
        <w:t xml:space="preserve">he </w:t>
      </w:r>
      <w:r w:rsidR="00193DBF">
        <w:rPr>
          <w:bCs/>
        </w:rPr>
        <w:t xml:space="preserve">MHP </w:t>
      </w:r>
      <w:r w:rsidR="00734F38">
        <w:rPr>
          <w:bCs/>
        </w:rPr>
        <w:t>owners and operators</w:t>
      </w:r>
      <w:r w:rsidR="00E15A6C">
        <w:rPr>
          <w:bCs/>
        </w:rPr>
        <w:t xml:space="preserve"> </w:t>
      </w:r>
      <w:r w:rsidR="00623FCA">
        <w:rPr>
          <w:bCs/>
        </w:rPr>
        <w:t>may</w:t>
      </w:r>
      <w:r w:rsidR="00155B37">
        <w:rPr>
          <w:bCs/>
        </w:rPr>
        <w:t xml:space="preserve"> concurrently </w:t>
      </w:r>
      <w:r w:rsidR="00E15A6C">
        <w:rPr>
          <w:bCs/>
        </w:rPr>
        <w:t>obtai</w:t>
      </w:r>
      <w:r w:rsidR="00960117">
        <w:rPr>
          <w:bCs/>
        </w:rPr>
        <w:t>n</w:t>
      </w:r>
      <w:r w:rsidR="00E15A6C">
        <w:rPr>
          <w:bCs/>
        </w:rPr>
        <w:t xml:space="preserve"> clearance from the </w:t>
      </w:r>
      <w:r w:rsidRPr="00E15A6C" w:rsidR="00E15A6C">
        <w:rPr>
          <w:bCs/>
        </w:rPr>
        <w:t>Butte County</w:t>
      </w:r>
      <w:r w:rsidR="00E15A6C">
        <w:rPr>
          <w:bCs/>
        </w:rPr>
        <w:t xml:space="preserve"> and </w:t>
      </w:r>
      <w:r w:rsidR="009F517A">
        <w:rPr>
          <w:bCs/>
        </w:rPr>
        <w:t xml:space="preserve">the </w:t>
      </w:r>
      <w:r w:rsidR="00E15A6C">
        <w:rPr>
          <w:bCs/>
        </w:rPr>
        <w:t>California Office of Emergency Services (</w:t>
      </w:r>
      <w:r w:rsidRPr="00E15A6C" w:rsidR="00E15A6C">
        <w:rPr>
          <w:bCs/>
        </w:rPr>
        <w:t>CalOES</w:t>
      </w:r>
      <w:r w:rsidR="00E15A6C">
        <w:rPr>
          <w:bCs/>
        </w:rPr>
        <w:t>)</w:t>
      </w:r>
      <w:r w:rsidRPr="00E15A6C" w:rsidR="00E15A6C">
        <w:rPr>
          <w:bCs/>
        </w:rPr>
        <w:t xml:space="preserve"> Right-</w:t>
      </w:r>
      <w:r w:rsidR="00E15A6C">
        <w:rPr>
          <w:bCs/>
        </w:rPr>
        <w:t>o</w:t>
      </w:r>
      <w:r w:rsidRPr="00E15A6C" w:rsidR="00E15A6C">
        <w:rPr>
          <w:bCs/>
        </w:rPr>
        <w:t>f-Entry Permit Program</w:t>
      </w:r>
      <w:r w:rsidR="00E15A6C">
        <w:rPr>
          <w:bCs/>
        </w:rPr>
        <w:t xml:space="preserve"> </w:t>
      </w:r>
      <w:r w:rsidR="00AA2D23">
        <w:rPr>
          <w:bCs/>
        </w:rPr>
        <w:t>allowing</w:t>
      </w:r>
      <w:r w:rsidR="00FF459E">
        <w:rPr>
          <w:bCs/>
        </w:rPr>
        <w:t xml:space="preserve"> PG&amp;E to enter the MHPs </w:t>
      </w:r>
      <w:r w:rsidR="00AA2D23">
        <w:rPr>
          <w:bCs/>
        </w:rPr>
        <w:t>to perform design and construction</w:t>
      </w:r>
      <w:r w:rsidR="00E15A6C">
        <w:rPr>
          <w:bCs/>
        </w:rPr>
        <w:t xml:space="preserve">.  </w:t>
      </w:r>
    </w:p>
    <w:bookmarkEnd w:id="27"/>
    <w:p w:rsidRPr="00C97965" w:rsidR="00C97965" w:rsidP="00C97965" w:rsidRDefault="00C97965" w14:paraId="2CE2E142" w14:textId="78575237">
      <w:pPr>
        <w:numPr>
          <w:ilvl w:val="0"/>
          <w:numId w:val="18"/>
        </w:numPr>
      </w:pPr>
      <w:r w:rsidRPr="00C97965">
        <w:t xml:space="preserve">PG&amp;E proposes to </w:t>
      </w:r>
      <w:r w:rsidR="00B9191B">
        <w:t>ex</w:t>
      </w:r>
      <w:r w:rsidRPr="00C97965">
        <w:t xml:space="preserve">clude </w:t>
      </w:r>
      <w:r w:rsidRPr="00A814ED" w:rsidR="00A814ED">
        <w:rPr>
          <w:bCs/>
        </w:rPr>
        <w:t>beyond-the-meter</w:t>
      </w:r>
      <w:r w:rsidRPr="00C97965">
        <w:rPr>
          <w:bCs/>
        </w:rPr>
        <w:t xml:space="preserve"> work in the </w:t>
      </w:r>
      <w:r w:rsidRPr="00ED6C8F" w:rsidR="00ED6C8F">
        <w:rPr>
          <w:bCs/>
        </w:rPr>
        <w:t>Rebuild Program</w:t>
      </w:r>
      <w:r w:rsidR="009567A7">
        <w:rPr>
          <w:bCs/>
        </w:rPr>
        <w:t>,</w:t>
      </w:r>
      <w:r w:rsidRPr="00C97965">
        <w:rPr>
          <w:bCs/>
        </w:rPr>
        <w:t xml:space="preserve"> except </w:t>
      </w:r>
      <w:r w:rsidR="00564E79">
        <w:rPr>
          <w:bCs/>
        </w:rPr>
        <w:t xml:space="preserve">when </w:t>
      </w:r>
      <w:r w:rsidRPr="00C97965" w:rsidR="00B267AA">
        <w:t>reimburs</w:t>
      </w:r>
      <w:r w:rsidR="00B267AA">
        <w:t>ing</w:t>
      </w:r>
      <w:r w:rsidRPr="00C97965" w:rsidR="00B267AA">
        <w:t xml:space="preserve"> the MHP </w:t>
      </w:r>
      <w:r w:rsidR="00526FC0">
        <w:t>o</w:t>
      </w:r>
      <w:r w:rsidRPr="00C97965" w:rsidR="00526FC0">
        <w:t>wner</w:t>
      </w:r>
      <w:r w:rsidR="0076309B">
        <w:t xml:space="preserve"> and </w:t>
      </w:r>
      <w:r w:rsidR="00526FC0">
        <w:t>o</w:t>
      </w:r>
      <w:r w:rsidRPr="00C97965" w:rsidR="00526FC0">
        <w:t xml:space="preserve">perator’s </w:t>
      </w:r>
      <w:r w:rsidRPr="00C97965" w:rsidR="00B267AA">
        <w:t>contractor</w:t>
      </w:r>
      <w:r w:rsidR="00B267AA">
        <w:rPr>
          <w:bCs/>
        </w:rPr>
        <w:t xml:space="preserve"> </w:t>
      </w:r>
      <w:r w:rsidR="00B9191B">
        <w:rPr>
          <w:bCs/>
        </w:rPr>
        <w:t xml:space="preserve">for </w:t>
      </w:r>
      <w:r w:rsidR="009567A7">
        <w:rPr>
          <w:bCs/>
        </w:rPr>
        <w:t xml:space="preserve">the </w:t>
      </w:r>
      <w:r w:rsidRPr="00C97965" w:rsidR="00B71D91">
        <w:t xml:space="preserve">purchase and installation </w:t>
      </w:r>
      <w:r w:rsidR="009567A7">
        <w:rPr>
          <w:bCs/>
        </w:rPr>
        <w:t>of</w:t>
      </w:r>
      <w:r w:rsidRPr="00C97965" w:rsidR="009567A7">
        <w:rPr>
          <w:bCs/>
        </w:rPr>
        <w:t xml:space="preserve"> </w:t>
      </w:r>
      <w:r w:rsidRPr="00C97965">
        <w:t>electric meter pedestals</w:t>
      </w:r>
      <w:r w:rsidRPr="00C97965">
        <w:rPr>
          <w:bCs/>
        </w:rPr>
        <w:t xml:space="preserve">.  </w:t>
      </w:r>
      <w:r w:rsidR="00176A07">
        <w:rPr>
          <w:bCs/>
        </w:rPr>
        <w:t xml:space="preserve">However, </w:t>
      </w:r>
      <w:r w:rsidRPr="00C97965">
        <w:rPr>
          <w:bCs/>
        </w:rPr>
        <w:t xml:space="preserve">PG&amp;E will reimburse </w:t>
      </w:r>
      <w:r w:rsidRPr="00C97965" w:rsidR="0006548F">
        <w:rPr>
          <w:bCs/>
        </w:rPr>
        <w:t xml:space="preserve">the MHP </w:t>
      </w:r>
      <w:r w:rsidR="0006548F">
        <w:rPr>
          <w:bCs/>
        </w:rPr>
        <w:t>o</w:t>
      </w:r>
      <w:r w:rsidRPr="00C97965" w:rsidR="0006548F">
        <w:rPr>
          <w:bCs/>
        </w:rPr>
        <w:t>wner</w:t>
      </w:r>
      <w:r w:rsidR="0076309B">
        <w:rPr>
          <w:bCs/>
        </w:rPr>
        <w:t xml:space="preserve"> and </w:t>
      </w:r>
      <w:r w:rsidR="0006548F">
        <w:rPr>
          <w:bCs/>
        </w:rPr>
        <w:t>o</w:t>
      </w:r>
      <w:r w:rsidRPr="00C97965" w:rsidR="0006548F">
        <w:rPr>
          <w:bCs/>
        </w:rPr>
        <w:t xml:space="preserve">perator </w:t>
      </w:r>
      <w:r w:rsidR="0006548F">
        <w:rPr>
          <w:bCs/>
        </w:rPr>
        <w:t xml:space="preserve">for </w:t>
      </w:r>
      <w:r w:rsidRPr="00C97965">
        <w:rPr>
          <w:bCs/>
        </w:rPr>
        <w:t xml:space="preserve">all </w:t>
      </w:r>
      <w:r w:rsidRPr="00A814ED" w:rsidR="00A814ED">
        <w:rPr>
          <w:bCs/>
        </w:rPr>
        <w:t>beyond-the-meter</w:t>
      </w:r>
      <w:r w:rsidRPr="00C97965">
        <w:rPr>
          <w:bCs/>
        </w:rPr>
        <w:t xml:space="preserve"> equipment and installation costs in the MHP Pilot.  </w:t>
      </w:r>
    </w:p>
    <w:p w:rsidRPr="00C97965" w:rsidR="00C97965" w:rsidP="00C97965" w:rsidRDefault="00C97965" w14:paraId="16E869A9" w14:textId="6CCCBB53">
      <w:pPr>
        <w:numPr>
          <w:ilvl w:val="0"/>
          <w:numId w:val="18"/>
        </w:numPr>
      </w:pPr>
      <w:r w:rsidRPr="00C97965">
        <w:rPr>
          <w:bCs/>
        </w:rPr>
        <w:t xml:space="preserve">PG&amp;E proposes </w:t>
      </w:r>
      <w:r w:rsidR="006E77AC">
        <w:rPr>
          <w:bCs/>
        </w:rPr>
        <w:t xml:space="preserve">that </w:t>
      </w:r>
      <w:r w:rsidR="002B39E8">
        <w:rPr>
          <w:bCs/>
        </w:rPr>
        <w:t xml:space="preserve">the </w:t>
      </w:r>
      <w:r w:rsidRPr="00ED6C8F" w:rsidR="00ED6C8F">
        <w:rPr>
          <w:bCs/>
        </w:rPr>
        <w:t>Rebuild Program</w:t>
      </w:r>
      <w:r w:rsidRPr="00C97965">
        <w:t xml:space="preserve"> cover the cost to provide utility services to any habitable</w:t>
      </w:r>
      <w:r w:rsidR="007C4D1D">
        <w:t xml:space="preserve"> or</w:t>
      </w:r>
      <w:r w:rsidR="004B2C3F">
        <w:t xml:space="preserve"> </w:t>
      </w:r>
      <w:r w:rsidRPr="00C97965">
        <w:t xml:space="preserve">useable structure on the </w:t>
      </w:r>
      <w:r w:rsidR="00F55DFE">
        <w:t xml:space="preserve">MHP </w:t>
      </w:r>
      <w:r w:rsidRPr="00C97965">
        <w:t xml:space="preserve">property whereas the MHP Pilot </w:t>
      </w:r>
      <w:r w:rsidRPr="00C97965" w:rsidR="00006681">
        <w:t>does not</w:t>
      </w:r>
      <w:r w:rsidRPr="00C97965">
        <w:t xml:space="preserve"> cover </w:t>
      </w:r>
      <w:r w:rsidR="006F4489">
        <w:t>all habitable or usable structures but only certain common use buildings</w:t>
      </w:r>
      <w:r w:rsidRPr="00C97965">
        <w:t>.</w:t>
      </w:r>
    </w:p>
    <w:p w:rsidRPr="00C97965" w:rsidR="00C97965" w:rsidP="00C97965" w:rsidRDefault="00C97965" w14:paraId="6D2A3336" w14:textId="0FC9C268">
      <w:pPr>
        <w:numPr>
          <w:ilvl w:val="0"/>
          <w:numId w:val="18"/>
        </w:numPr>
      </w:pPr>
      <w:r w:rsidRPr="00C97965">
        <w:t xml:space="preserve">The </w:t>
      </w:r>
      <w:r w:rsidRPr="00ED6C8F" w:rsidR="00ED6C8F">
        <w:t>Rebuild Program</w:t>
      </w:r>
      <w:r w:rsidRPr="00C97965">
        <w:t xml:space="preserve"> </w:t>
      </w:r>
      <w:r w:rsidR="003F446F">
        <w:t xml:space="preserve">allows for the </w:t>
      </w:r>
      <w:r w:rsidRPr="00C97965">
        <w:t>rebuild</w:t>
      </w:r>
      <w:r w:rsidR="003F446F">
        <w:t>ing</w:t>
      </w:r>
      <w:r w:rsidR="007750C6">
        <w:t xml:space="preserve"> of</w:t>
      </w:r>
      <w:r w:rsidRPr="00C97965">
        <w:t xml:space="preserve"> </w:t>
      </w:r>
      <w:r w:rsidR="00C84710">
        <w:t>to-the-meter</w:t>
      </w:r>
      <w:r w:rsidR="00C679EF">
        <w:t xml:space="preserve"> and </w:t>
      </w:r>
      <w:r w:rsidRPr="00A814ED" w:rsidR="00A814ED">
        <w:rPr>
          <w:bCs/>
        </w:rPr>
        <w:t>beyond-the-meter</w:t>
      </w:r>
      <w:r w:rsidRPr="00C97965">
        <w:t xml:space="preserve"> utilities </w:t>
      </w:r>
      <w:r w:rsidR="00185C86">
        <w:t>for totally and partially destroyed MHPs</w:t>
      </w:r>
      <w:r w:rsidR="00294F91">
        <w:t xml:space="preserve"> while </w:t>
      </w:r>
      <w:r w:rsidR="00CA629D">
        <w:t xml:space="preserve">they are being </w:t>
      </w:r>
      <w:r w:rsidR="00294F91">
        <w:t>re</w:t>
      </w:r>
      <w:r w:rsidRPr="00C97965">
        <w:t>populat</w:t>
      </w:r>
      <w:r w:rsidR="00D82C2C">
        <w:t>ed with</w:t>
      </w:r>
      <w:r w:rsidRPr="00C97965">
        <w:t xml:space="preserve"> residents whereas the MHP Pilot convert</w:t>
      </w:r>
      <w:r w:rsidR="006E77AC">
        <w:t>s</w:t>
      </w:r>
      <w:r w:rsidRPr="00C97965">
        <w:t xml:space="preserve"> </w:t>
      </w:r>
      <w:r w:rsidR="00756895">
        <w:t xml:space="preserve">mostly populated </w:t>
      </w:r>
      <w:r w:rsidR="005250B9">
        <w:t xml:space="preserve">California Department of Housing </w:t>
      </w:r>
      <w:r w:rsidR="00BD7116">
        <w:t>and</w:t>
      </w:r>
      <w:r w:rsidR="005250B9">
        <w:t xml:space="preserve"> Community </w:t>
      </w:r>
      <w:r w:rsidRPr="007F547A" w:rsidR="005250B9">
        <w:t>Development (</w:t>
      </w:r>
      <w:r w:rsidRPr="007F547A" w:rsidR="00AA0779">
        <w:t>HCD</w:t>
      </w:r>
      <w:r w:rsidRPr="007F547A" w:rsidR="005250B9">
        <w:t>)</w:t>
      </w:r>
      <w:r w:rsidRPr="007F547A" w:rsidR="00AA0779">
        <w:t xml:space="preserve"> </w:t>
      </w:r>
      <w:r w:rsidRPr="007F547A" w:rsidR="00F434A2">
        <w:t>registered</w:t>
      </w:r>
      <w:r w:rsidR="00F434A2">
        <w:t xml:space="preserve"> spaces</w:t>
      </w:r>
      <w:r w:rsidRPr="00C97965">
        <w:t xml:space="preserve"> to direct utility service</w:t>
      </w:r>
      <w:r w:rsidR="00F36CD6">
        <w:t>(</w:t>
      </w:r>
      <w:r w:rsidRPr="00C97965">
        <w:t>s</w:t>
      </w:r>
      <w:r w:rsidR="00F36CD6">
        <w:t>)</w:t>
      </w:r>
      <w:r w:rsidRPr="00C97965">
        <w:t>.</w:t>
      </w:r>
    </w:p>
    <w:p w:rsidRPr="00C97965" w:rsidR="008A1715" w:rsidP="00EB11D0" w:rsidRDefault="00280501" w14:paraId="28F93F33" w14:textId="4A33C5F4">
      <w:pPr>
        <w:numPr>
          <w:ilvl w:val="0"/>
          <w:numId w:val="18"/>
        </w:numPr>
      </w:pPr>
      <w:r>
        <w:t>I</w:t>
      </w:r>
      <w:r w:rsidRPr="00C97965" w:rsidR="00C97965">
        <w:t xml:space="preserve">nsurance </w:t>
      </w:r>
      <w:r w:rsidR="003D0C7F">
        <w:t xml:space="preserve">on utility infrastructure </w:t>
      </w:r>
      <w:r w:rsidRPr="00C97965" w:rsidR="00C97965">
        <w:t>carr</w:t>
      </w:r>
      <w:r w:rsidR="006E77AC">
        <w:t>ied</w:t>
      </w:r>
      <w:r w:rsidRPr="00C97965" w:rsidR="00C97965">
        <w:t xml:space="preserve"> by the MHP owner might reduce the </w:t>
      </w:r>
      <w:r w:rsidR="003A2B52">
        <w:t>program cost</w:t>
      </w:r>
      <w:r w:rsidRPr="00C97965" w:rsidR="003A2B52">
        <w:t xml:space="preserve"> </w:t>
      </w:r>
      <w:r w:rsidRPr="00C97965" w:rsidR="00C97965">
        <w:t xml:space="preserve">of the </w:t>
      </w:r>
      <w:r w:rsidRPr="00ED6C8F" w:rsidR="00ED6C8F">
        <w:t>Rebuild Program</w:t>
      </w:r>
      <w:r w:rsidRPr="00C97965" w:rsidR="00C97965">
        <w:t xml:space="preserve"> whereas the MHP Pilot does not involve insurance coverage.</w:t>
      </w:r>
    </w:p>
    <w:p w:rsidRPr="00C97965" w:rsidR="00C97965" w:rsidP="003C541D" w:rsidRDefault="00C97965" w14:paraId="7BAA2B3F" w14:textId="49C579C2">
      <w:pPr>
        <w:numPr>
          <w:ilvl w:val="0"/>
          <w:numId w:val="18"/>
        </w:numPr>
      </w:pPr>
      <w:bookmarkStart w:name="_Hlk22053733" w:id="28"/>
      <w:r w:rsidRPr="00C97965">
        <w:lastRenderedPageBreak/>
        <w:t xml:space="preserve">The </w:t>
      </w:r>
      <w:r w:rsidR="003E5159">
        <w:t xml:space="preserve">per space </w:t>
      </w:r>
      <w:r w:rsidRPr="00C97965">
        <w:t xml:space="preserve">cost of </w:t>
      </w:r>
      <w:r w:rsidR="00C84710">
        <w:t>to-the-meter</w:t>
      </w:r>
      <w:r w:rsidRPr="00C97965">
        <w:t xml:space="preserve"> conversion </w:t>
      </w:r>
      <w:r w:rsidR="00D31D14">
        <w:t>within</w:t>
      </w:r>
      <w:r w:rsidRPr="00C97965" w:rsidR="00D31D14">
        <w:t xml:space="preserve"> </w:t>
      </w:r>
      <w:r w:rsidRPr="00C97965">
        <w:t xml:space="preserve">the </w:t>
      </w:r>
      <w:r w:rsidRPr="00ED6C8F" w:rsidR="00ED6C8F">
        <w:t>Rebuild Program</w:t>
      </w:r>
      <w:r w:rsidRPr="00C97965">
        <w:t xml:space="preserve"> </w:t>
      </w:r>
      <w:r w:rsidR="009F64A3">
        <w:t>is projected to</w:t>
      </w:r>
      <w:r w:rsidRPr="00C97965" w:rsidR="009F64A3">
        <w:t xml:space="preserve"> </w:t>
      </w:r>
      <w:r w:rsidRPr="00C97965">
        <w:t xml:space="preserve">be higher than the </w:t>
      </w:r>
      <w:r w:rsidR="009F64A3">
        <w:t xml:space="preserve">conversion cost in the </w:t>
      </w:r>
      <w:r w:rsidRPr="00C97965">
        <w:t>MHP Pilot (see cost information below)</w:t>
      </w:r>
      <w:bookmarkEnd w:id="28"/>
      <w:r w:rsidR="00EE78F7">
        <w:t>.</w:t>
      </w:r>
    </w:p>
    <w:p w:rsidR="00C97965" w:rsidRDefault="00C97965" w14:paraId="6105C1D0" w14:textId="77777777"/>
    <w:p w:rsidR="00A94985" w:rsidP="00FE38FB" w:rsidRDefault="00DE4133" w14:paraId="487058BC" w14:textId="3CA6366D">
      <w:r w:rsidRPr="004A2B4D">
        <w:t>D.20-04-004</w:t>
      </w:r>
      <w:r w:rsidRPr="00DE4133">
        <w:t xml:space="preserve"> </w:t>
      </w:r>
      <w:r w:rsidR="002A078C">
        <w:t xml:space="preserve">established a ten-year </w:t>
      </w:r>
      <w:r w:rsidR="00AA51E7">
        <w:t>M</w:t>
      </w:r>
      <w:r w:rsidR="003F2C9F">
        <w:t>HP</w:t>
      </w:r>
      <w:r w:rsidR="002A078C">
        <w:t xml:space="preserve"> Conversion</w:t>
      </w:r>
      <w:r w:rsidR="000D3F75">
        <w:t xml:space="preserve"> Program </w:t>
      </w:r>
      <w:r w:rsidR="006A1FDB">
        <w:t>beg</w:t>
      </w:r>
      <w:r w:rsidR="00984C02">
        <w:t>inning</w:t>
      </w:r>
      <w:r w:rsidR="006A1FDB">
        <w:t xml:space="preserve"> in 2021</w:t>
      </w:r>
      <w:r w:rsidR="00775E46">
        <w:t xml:space="preserve"> that primarily replie</w:t>
      </w:r>
      <w:r w:rsidR="008E598E">
        <w:t>d</w:t>
      </w:r>
      <w:r w:rsidR="00775E46">
        <w:t xml:space="preserve"> </w:t>
      </w:r>
      <w:r w:rsidR="00D25955">
        <w:t>on the MHP Pilot</w:t>
      </w:r>
      <w:r w:rsidR="003E68BD">
        <w:t xml:space="preserve"> requirements and features</w:t>
      </w:r>
      <w:r w:rsidR="00C7610A">
        <w:t xml:space="preserve">.  Notable </w:t>
      </w:r>
      <w:r w:rsidR="00970658">
        <w:t>divergence from the MHP Pilot program includes</w:t>
      </w:r>
      <w:r w:rsidR="003E68BD">
        <w:t xml:space="preserve"> </w:t>
      </w:r>
      <w:r w:rsidR="00E8022D">
        <w:t>expanded program eli</w:t>
      </w:r>
      <w:r w:rsidR="007A1DD8">
        <w:t xml:space="preserve">gibility and established annual target conversion rates and cost targets. </w:t>
      </w:r>
      <w:r w:rsidR="006A0624">
        <w:t xml:space="preserve"> </w:t>
      </w:r>
      <w:r w:rsidRPr="00BE10C1" w:rsidR="004A2B4D">
        <w:t>D.20-04-004</w:t>
      </w:r>
      <w:r w:rsidRPr="00BE10C1" w:rsidR="00B9265B">
        <w:t xml:space="preserve"> </w:t>
      </w:r>
      <w:r w:rsidRPr="00BE10C1" w:rsidR="00895192">
        <w:t xml:space="preserve">also </w:t>
      </w:r>
      <w:r w:rsidRPr="00BE10C1" w:rsidR="004A2B4D">
        <w:t xml:space="preserve">noted that </w:t>
      </w:r>
      <w:r w:rsidRPr="00BE10C1" w:rsidR="0023347C">
        <w:t xml:space="preserve">Phase II of </w:t>
      </w:r>
      <w:r w:rsidRPr="00BE10C1" w:rsidR="00E06158">
        <w:t xml:space="preserve">R.18-04-018 </w:t>
      </w:r>
      <w:r w:rsidRPr="00BE10C1" w:rsidR="00C150C0">
        <w:t xml:space="preserve">will </w:t>
      </w:r>
      <w:r w:rsidRPr="00BE10C1" w:rsidR="0023347C">
        <w:t xml:space="preserve">explore the </w:t>
      </w:r>
      <w:r w:rsidRPr="00BE10C1" w:rsidR="00C150C0">
        <w:t>narrow issue of standardizing MHP 200-amp electric service system upgrades from a cost, technical, legal, and public policy perspective</w:t>
      </w:r>
      <w:r w:rsidRPr="00BE10C1" w:rsidR="00420825">
        <w:t>.</w:t>
      </w:r>
      <w:r w:rsidRPr="00BE10C1" w:rsidR="0054135C">
        <w:rPr>
          <w:rStyle w:val="FootnoteReference"/>
        </w:rPr>
        <w:footnoteReference w:id="16"/>
      </w:r>
      <w:r w:rsidRPr="00BE10C1" w:rsidR="00420825">
        <w:t xml:space="preserve">  </w:t>
      </w:r>
      <w:r w:rsidR="004F2E9F">
        <w:t xml:space="preserve">Section 2.2 of the </w:t>
      </w:r>
      <w:r w:rsidR="00EA61E0">
        <w:t xml:space="preserve">Assigned Commissioner’s Phase 2 Scoping Memo and Ruling </w:t>
      </w:r>
      <w:r w:rsidR="00BE7769">
        <w:t xml:space="preserve">for R.18-04-018 </w:t>
      </w:r>
      <w:r w:rsidR="007C031E">
        <w:t xml:space="preserve">brought up questions </w:t>
      </w:r>
      <w:r w:rsidR="00C735F3">
        <w:t xml:space="preserve">related to </w:t>
      </w:r>
      <w:r w:rsidR="00D60AA8">
        <w:t>elec</w:t>
      </w:r>
      <w:r w:rsidR="00EF5CFE">
        <w:t xml:space="preserve">trification ready standards </w:t>
      </w:r>
      <w:r w:rsidR="00A563E3">
        <w:t xml:space="preserve">of </w:t>
      </w:r>
      <w:r w:rsidR="008863B6">
        <w:t>200</w:t>
      </w:r>
      <w:r w:rsidR="007043B0">
        <w:t>-amp service to</w:t>
      </w:r>
      <w:r w:rsidR="00726326">
        <w:t>-the</w:t>
      </w:r>
      <w:r w:rsidR="00057386">
        <w:t>-meter and beyond-the-meter</w:t>
      </w:r>
      <w:r w:rsidR="00C26EDE">
        <w:t xml:space="preserve"> </w:t>
      </w:r>
      <w:r w:rsidR="00227969">
        <w:t>illustrated</w:t>
      </w:r>
      <w:r w:rsidR="00066AB9">
        <w:t xml:space="preserve"> the desire</w:t>
      </w:r>
      <w:r w:rsidR="00F92234">
        <w:t>s</w:t>
      </w:r>
      <w:r w:rsidR="00066AB9">
        <w:t xml:space="preserve"> of the MHP</w:t>
      </w:r>
      <w:r w:rsidR="00AC4084">
        <w:t xml:space="preserve"> owners </w:t>
      </w:r>
      <w:r w:rsidR="00496EC8">
        <w:t xml:space="preserve">for higher capacity electric </w:t>
      </w:r>
      <w:r w:rsidR="00E958F6">
        <w:t>service</w:t>
      </w:r>
      <w:r w:rsidR="00F92234">
        <w:t>s</w:t>
      </w:r>
      <w:r w:rsidR="00E958F6">
        <w:t xml:space="preserve"> in the future.</w:t>
      </w:r>
      <w:r w:rsidR="00BE1097">
        <w:rPr>
          <w:rStyle w:val="FootnoteReference"/>
        </w:rPr>
        <w:footnoteReference w:id="17"/>
      </w:r>
      <w:r w:rsidR="00995C8A">
        <w:t xml:space="preserve"> </w:t>
      </w:r>
      <w:r w:rsidR="00D45FCE">
        <w:t xml:space="preserve"> </w:t>
      </w:r>
      <w:r w:rsidRPr="007F275A" w:rsidR="007F275A">
        <w:t xml:space="preserve"> </w:t>
      </w:r>
    </w:p>
    <w:p w:rsidR="00AF251B" w:rsidP="00FE38FB" w:rsidRDefault="00AF251B" w14:paraId="7F9AA0FB" w14:textId="2EB29A0D"/>
    <w:p w:rsidR="002B5BD8" w:rsidP="00FE38FB" w:rsidRDefault="00BE38D7" w14:paraId="68EEE1CE" w14:textId="328D4E77">
      <w:r>
        <w:t>T</w:t>
      </w:r>
      <w:r w:rsidR="00A55A97">
        <w:t xml:space="preserve">he implication of this Resolution on Phase II of </w:t>
      </w:r>
      <w:r w:rsidRPr="00FC325E" w:rsidR="00FC325E">
        <w:t>R.18-04-018</w:t>
      </w:r>
      <w:r w:rsidRPr="002B5BD8" w:rsidR="00FC325E">
        <w:t xml:space="preserve"> </w:t>
      </w:r>
      <w:r w:rsidR="00A55A97">
        <w:t>will be</w:t>
      </w:r>
      <w:r w:rsidRPr="007F275A" w:rsidR="007F275A">
        <w:t xml:space="preserve"> discussed under the heading “</w:t>
      </w:r>
      <w:r w:rsidRPr="009A2015" w:rsidR="006D5CC3">
        <w:rPr>
          <w:bCs/>
          <w:i/>
        </w:rPr>
        <w:t>Alignment with the MHP Decision (D.) 20-04-004 and Phase II of R.18-04-018</w:t>
      </w:r>
      <w:r w:rsidRPr="007F275A" w:rsidR="007F275A">
        <w:t>“</w:t>
      </w:r>
      <w:r w:rsidR="006E0003">
        <w:t xml:space="preserve"> </w:t>
      </w:r>
      <w:r w:rsidRPr="007F275A" w:rsidR="007F275A">
        <w:t>in the Discussion section of this resolution.</w:t>
      </w:r>
    </w:p>
    <w:p w:rsidR="00902647" w:rsidP="00C150C0" w:rsidRDefault="00902647" w14:paraId="3D60A386" w14:textId="77777777"/>
    <w:p w:rsidR="00CF17DE" w:rsidRDefault="00394B3A" w14:paraId="66788129" w14:textId="77777777">
      <w:pPr>
        <w:pStyle w:val="Heading1"/>
      </w:pPr>
      <w:r>
        <w:t>Notice</w:t>
      </w:r>
    </w:p>
    <w:p w:rsidR="00CF17DE" w:rsidRDefault="00CF17DE" w14:paraId="37FFE207" w14:textId="5DDBEEEA">
      <w:r>
        <w:t xml:space="preserve">Notice of </w:t>
      </w:r>
      <w:r w:rsidR="001C5088">
        <w:t xml:space="preserve">AL </w:t>
      </w:r>
      <w:r w:rsidR="00673A01">
        <w:t>4116-G/5581-E</w:t>
      </w:r>
      <w:r w:rsidR="001C5088">
        <w:t xml:space="preserve"> </w:t>
      </w:r>
      <w:r w:rsidR="00051481">
        <w:t>was</w:t>
      </w:r>
      <w:r w:rsidR="00E42659">
        <w:t xml:space="preserve"> </w:t>
      </w:r>
      <w:r>
        <w:t>made by publication in the Commission’s Daily Calendar</w:t>
      </w:r>
      <w:r w:rsidR="00D31D14">
        <w:t xml:space="preserve"> on </w:t>
      </w:r>
      <w:r w:rsidR="00515A82">
        <w:t>July 8, 2019</w:t>
      </w:r>
      <w:r>
        <w:t xml:space="preserve">.  </w:t>
      </w:r>
      <w:r w:rsidR="00094986">
        <w:t>PG&amp;E</w:t>
      </w:r>
      <w:r>
        <w:t xml:space="preserve"> states that a copy of the Advice Letter </w:t>
      </w:r>
      <w:r w:rsidR="00051481">
        <w:t>was</w:t>
      </w:r>
      <w:r w:rsidR="00E42659">
        <w:t xml:space="preserve"> </w:t>
      </w:r>
      <w:r>
        <w:t>mailed and distributed in accordance with Sec</w:t>
      </w:r>
      <w:r w:rsidR="00A1526C">
        <w:t xml:space="preserve">tion </w:t>
      </w:r>
      <w:r w:rsidR="0069631C">
        <w:t>4</w:t>
      </w:r>
      <w:r w:rsidR="00E928CF">
        <w:t xml:space="preserve"> of General Order 96-B</w:t>
      </w:r>
      <w:r>
        <w:t xml:space="preserve">. </w:t>
      </w:r>
    </w:p>
    <w:p w:rsidR="00CF17DE" w:rsidRDefault="00CF17DE" w14:paraId="7B88D082" w14:textId="77777777"/>
    <w:p w:rsidR="00CF17DE" w:rsidRDefault="00CF17DE" w14:paraId="7F509E4C" w14:textId="77777777">
      <w:pPr>
        <w:pStyle w:val="Heading1"/>
      </w:pPr>
      <w:r>
        <w:t>Protests</w:t>
      </w:r>
    </w:p>
    <w:p w:rsidR="00F5216A" w:rsidP="00FA0D57" w:rsidRDefault="006E77AC" w14:paraId="436B5328" w14:textId="67392FE9">
      <w:pPr>
        <w:rPr>
          <w:rFonts w:ascii="Palatino Linotype" w:hAnsi="Palatino Linotype"/>
          <w:sz w:val="22"/>
        </w:rPr>
      </w:pPr>
      <w:r>
        <w:t>AL</w:t>
      </w:r>
      <w:r w:rsidR="000A6D20">
        <w:t xml:space="preserve"> </w:t>
      </w:r>
      <w:r w:rsidR="00673A01">
        <w:t>4116-G/5581-E</w:t>
      </w:r>
      <w:r w:rsidRPr="00E42659" w:rsidR="00E42659">
        <w:t xml:space="preserve"> </w:t>
      </w:r>
      <w:r w:rsidR="00051481">
        <w:t>was</w:t>
      </w:r>
      <w:r w:rsidR="001D1B0F">
        <w:t xml:space="preserve"> </w:t>
      </w:r>
      <w:r w:rsidR="00CF17DE">
        <w:t>protested</w:t>
      </w:r>
      <w:r w:rsidR="00605BA9">
        <w:t xml:space="preserve"> by </w:t>
      </w:r>
      <w:r w:rsidRPr="005527D5" w:rsidR="0095635A">
        <w:t>Forest Glenn MHP on July 16, 2019</w:t>
      </w:r>
      <w:r w:rsidR="001C4F21">
        <w:t>;</w:t>
      </w:r>
      <w:r w:rsidRPr="005527D5" w:rsidR="0095635A">
        <w:t xml:space="preserve"> </w:t>
      </w:r>
      <w:r w:rsidRPr="00F37B4F" w:rsidR="00605BA9">
        <w:t>Ridgewood MHP</w:t>
      </w:r>
      <w:r w:rsidRPr="005527D5" w:rsidR="00605BA9">
        <w:t xml:space="preserve"> on July 18, 2019</w:t>
      </w:r>
      <w:r w:rsidR="001C4F21">
        <w:t>;</w:t>
      </w:r>
      <w:r w:rsidRPr="005527D5" w:rsidR="00605BA9">
        <w:t xml:space="preserve"> </w:t>
      </w:r>
      <w:r w:rsidRPr="005527D5" w:rsidR="0095635A">
        <w:t>Skyway Villa MHP on July 18, 2019</w:t>
      </w:r>
      <w:r w:rsidR="001C4F21">
        <w:t>;</w:t>
      </w:r>
      <w:r w:rsidRPr="005527D5" w:rsidR="0095635A">
        <w:t xml:space="preserve"> </w:t>
      </w:r>
      <w:r w:rsidRPr="005527D5" w:rsidR="00605BA9">
        <w:t>Pheasant Mobile Estate on July 19, 2019</w:t>
      </w:r>
      <w:r w:rsidR="001C4F21">
        <w:t>;</w:t>
      </w:r>
      <w:r w:rsidRPr="005527D5" w:rsidR="00605BA9">
        <w:t xml:space="preserve"> </w:t>
      </w:r>
      <w:r w:rsidRPr="005527D5" w:rsidR="0095635A">
        <w:t>Pine Springs MHP on July 19, 2019</w:t>
      </w:r>
      <w:r w:rsidR="001C4F21">
        <w:t>;</w:t>
      </w:r>
      <w:r w:rsidRPr="005527D5" w:rsidR="0095635A">
        <w:t xml:space="preserve"> and </w:t>
      </w:r>
      <w:r w:rsidRPr="005527D5" w:rsidR="00605BA9">
        <w:t>Evergreen MHP on July 22, 2019</w:t>
      </w:r>
      <w:r w:rsidR="00051481">
        <w:t xml:space="preserve">.  </w:t>
      </w:r>
      <w:r w:rsidRPr="00F5216A" w:rsidR="00F5216A">
        <w:rPr>
          <w:rFonts w:ascii="Palatino Linotype" w:hAnsi="Palatino Linotype"/>
          <w:sz w:val="22"/>
        </w:rPr>
        <w:t xml:space="preserve"> </w:t>
      </w:r>
    </w:p>
    <w:p w:rsidRPr="00F5216A" w:rsidR="0095635A" w:rsidP="002E5951" w:rsidRDefault="0095635A" w14:paraId="1A84D041" w14:textId="77777777"/>
    <w:p w:rsidRPr="00F5216A" w:rsidR="00F5216A" w:rsidP="002E5951" w:rsidRDefault="00605BA9" w14:paraId="529D9311" w14:textId="57C08AC5">
      <w:bookmarkStart w:name="_Hlk38892978" w:id="29"/>
      <w:r>
        <w:lastRenderedPageBreak/>
        <w:t xml:space="preserve">PG&amp;E filed a reply to protests on July 29, 2019.  </w:t>
      </w:r>
      <w:r w:rsidRPr="00F5216A" w:rsidR="00F5216A">
        <w:t>Ridgewood MHP</w:t>
      </w:r>
      <w:bookmarkEnd w:id="29"/>
      <w:r>
        <w:t xml:space="preserve"> responded to PG&amp;E’s reply to protest on August 1, 2019.</w:t>
      </w:r>
      <w:r w:rsidR="00834695">
        <w:t xml:space="preserve">  Jeffrey Mishkin sent out comments in an email in response to PG&amp;E’s reply to protest on August 1, 2019.</w:t>
      </w:r>
      <w:r w:rsidR="00834695">
        <w:rPr>
          <w:rStyle w:val="FootnoteReference"/>
        </w:rPr>
        <w:footnoteReference w:id="18"/>
      </w:r>
    </w:p>
    <w:p w:rsidRPr="00F5216A" w:rsidR="00F5216A" w:rsidP="00FA0D57" w:rsidRDefault="00F5216A" w14:paraId="4FD89995" w14:textId="77777777"/>
    <w:p w:rsidR="00F5216A" w:rsidP="00BD1D76" w:rsidRDefault="00F5216A" w14:paraId="3A86E8CE" w14:textId="698C2DDE">
      <w:r>
        <w:t xml:space="preserve">This section </w:t>
      </w:r>
      <w:r w:rsidR="00051481">
        <w:t xml:space="preserve">describes the issues </w:t>
      </w:r>
      <w:r w:rsidR="006264A4">
        <w:t xml:space="preserve">raised </w:t>
      </w:r>
      <w:r w:rsidR="00051481">
        <w:t>in the protests</w:t>
      </w:r>
      <w:r>
        <w:t xml:space="preserve">, </w:t>
      </w:r>
      <w:r w:rsidR="006264A4">
        <w:t xml:space="preserve">PG&amp;E’s </w:t>
      </w:r>
      <w:r w:rsidR="00051481">
        <w:t>replies to these protests</w:t>
      </w:r>
      <w:r>
        <w:t>, and c</w:t>
      </w:r>
      <w:r w:rsidR="00051481">
        <w:t xml:space="preserve">omments </w:t>
      </w:r>
      <w:r w:rsidR="0095635A">
        <w:t xml:space="preserve">to PG&amp;E’s </w:t>
      </w:r>
      <w:r w:rsidR="00051481">
        <w:t xml:space="preserve">reply </w:t>
      </w:r>
      <w:r w:rsidR="0095635A">
        <w:t xml:space="preserve">to </w:t>
      </w:r>
      <w:r w:rsidR="00051481">
        <w:t>protests.</w:t>
      </w:r>
    </w:p>
    <w:p w:rsidR="00281B2F" w:rsidP="00BD1D76" w:rsidRDefault="00281B2F" w14:paraId="6F16A3DE" w14:textId="77777777"/>
    <w:p w:rsidR="007271E0" w:rsidP="000C2543" w:rsidRDefault="00F37B4F" w14:paraId="15469B80" w14:textId="5CAB0EAB">
      <w:pPr>
        <w:pStyle w:val="Heading2"/>
        <w:numPr>
          <w:ilvl w:val="0"/>
          <w:numId w:val="0"/>
        </w:numPr>
      </w:pPr>
      <w:r w:rsidRPr="005527D5">
        <w:t>Rebuilt Utilit</w:t>
      </w:r>
      <w:r w:rsidR="00F445DD">
        <w:t>y Placement</w:t>
      </w:r>
    </w:p>
    <w:p w:rsidRPr="00F445DD" w:rsidR="00051481" w:rsidP="005527D5" w:rsidRDefault="006900D0" w14:paraId="745931CE" w14:textId="11B13CFC">
      <w:r>
        <w:t xml:space="preserve">Evergreen Mobile Home Park, </w:t>
      </w:r>
      <w:r w:rsidRPr="00E901AD" w:rsidR="00E901AD">
        <w:t>Pheasant Ridge Mobile Estate</w:t>
      </w:r>
      <w:r w:rsidR="00E901AD">
        <w:t>,</w:t>
      </w:r>
      <w:r w:rsidRPr="00E901AD" w:rsidR="00E901AD">
        <w:t xml:space="preserve"> </w:t>
      </w:r>
      <w:r w:rsidR="00F445DD">
        <w:t>P</w:t>
      </w:r>
      <w:r w:rsidRPr="00F445DD" w:rsidR="00F445DD">
        <w:t xml:space="preserve">ine Springs MHP, </w:t>
      </w:r>
      <w:r w:rsidR="00554650">
        <w:t xml:space="preserve">and </w:t>
      </w:r>
      <w:r w:rsidRPr="00F445DD" w:rsidR="00F445DD">
        <w:t xml:space="preserve">Ridgewood MHP </w:t>
      </w:r>
      <w:r w:rsidR="005E7EC7">
        <w:t>indicated</w:t>
      </w:r>
      <w:r w:rsidRPr="00F445DD" w:rsidR="00F445DD">
        <w:t xml:space="preserve"> in their protests that </w:t>
      </w:r>
      <w:r w:rsidR="00F2359D">
        <w:t>e</w:t>
      </w:r>
      <w:r w:rsidRPr="00F445DD" w:rsidR="00F2359D">
        <w:t xml:space="preserve">lectric </w:t>
      </w:r>
      <w:r w:rsidRPr="00F445DD" w:rsidR="00F445DD">
        <w:t>and gas utilities do</w:t>
      </w:r>
      <w:r w:rsidR="008224BE">
        <w:t xml:space="preserve"> </w:t>
      </w:r>
      <w:r w:rsidRPr="00F445DD" w:rsidR="008224BE">
        <w:t>not</w:t>
      </w:r>
      <w:r w:rsidRPr="00F445DD" w:rsidR="00F445DD">
        <w:t xml:space="preserve"> have to be placed in the streets.</w:t>
      </w:r>
      <w:r w:rsidRPr="003E0CB9" w:rsidR="003E0CB9">
        <w:rPr>
          <w:vertAlign w:val="superscript"/>
        </w:rPr>
        <w:footnoteReference w:id="19"/>
      </w:r>
      <w:r w:rsidRPr="00F445DD" w:rsidR="00F445DD">
        <w:t xml:space="preserve"> </w:t>
      </w:r>
      <w:r w:rsidRPr="00CE4B68" w:rsidR="00CE4B68">
        <w:t>Mr. Daniel Bennett of Evergreen MHP indicated that since there are no mobile homes in the way of installing services</w:t>
      </w:r>
      <w:r w:rsidR="00491C70">
        <w:t>,</w:t>
      </w:r>
      <w:r w:rsidRPr="00CE4B68" w:rsidR="00CE4B68">
        <w:t xml:space="preserve"> the electric and gas utilities and the pedestal can be placed where the </w:t>
      </w:r>
      <w:r w:rsidR="0097185A">
        <w:t xml:space="preserve">previous </w:t>
      </w:r>
      <w:r w:rsidRPr="00CE4B68" w:rsidR="00CE4B68">
        <w:t xml:space="preserve">electrical service </w:t>
      </w:r>
      <w:r w:rsidR="0097185A">
        <w:t>had been routed</w:t>
      </w:r>
      <w:r w:rsidRPr="00CE4B68" w:rsidR="00CE4B68">
        <w:t>.  PG&amp;E did not reply to this issue.</w:t>
      </w:r>
      <w:r w:rsidDel="00CE4B68" w:rsidR="00CE4B68">
        <w:t xml:space="preserve"> </w:t>
      </w:r>
    </w:p>
    <w:p w:rsidR="00F445DD" w:rsidP="00463683" w:rsidRDefault="00F445DD" w14:paraId="6ACAD93D" w14:textId="14BC33DF"/>
    <w:p w:rsidRPr="005527D5" w:rsidR="00F6776C" w:rsidP="00F6776C" w:rsidRDefault="00F6776C" w14:paraId="58A3F340" w14:textId="77777777">
      <w:pPr>
        <w:pStyle w:val="Heading2"/>
        <w:numPr>
          <w:ilvl w:val="0"/>
          <w:numId w:val="0"/>
        </w:numPr>
      </w:pPr>
      <w:r w:rsidRPr="000C2543">
        <w:t>Damage to Existing Salvageable Utilities During Electric and Gas Utilities Installations</w:t>
      </w:r>
    </w:p>
    <w:p w:rsidR="00F6776C" w:rsidP="00F6776C" w:rsidRDefault="00F6776C" w14:paraId="24B7C8A6" w14:textId="79FA4BC2">
      <w:r w:rsidRPr="00501DF1">
        <w:t xml:space="preserve">Forest Glenn MHP, Pheasant Ridge Mobile Estate, </w:t>
      </w:r>
      <w:r>
        <w:t xml:space="preserve">Pine Springs MHP, Ridgewood MHP, and Skyway Villa MHP expressed concern that </w:t>
      </w:r>
      <w:r w:rsidRPr="005E7EC7">
        <w:t xml:space="preserve">PG&amp;E’s </w:t>
      </w:r>
      <w:r w:rsidR="00F92136">
        <w:t xml:space="preserve">proposed </w:t>
      </w:r>
      <w:r w:rsidRPr="005E7EC7">
        <w:t xml:space="preserve">service route might damage salvageable utilities, </w:t>
      </w:r>
      <w:r>
        <w:t xml:space="preserve">such as </w:t>
      </w:r>
      <w:r w:rsidRPr="005E7EC7">
        <w:t>the septic system</w:t>
      </w:r>
      <w:r>
        <w:t xml:space="preserve">, by </w:t>
      </w:r>
      <w:r w:rsidRPr="005E7EC7">
        <w:t>cross</w:t>
      </w:r>
      <w:r>
        <w:t>ing over</w:t>
      </w:r>
      <w:r w:rsidRPr="005E7EC7">
        <w:t xml:space="preserve"> leach fields.</w:t>
      </w:r>
      <w:r>
        <w:rPr>
          <w:rStyle w:val="FootnoteReference"/>
        </w:rPr>
        <w:footnoteReference w:id="20"/>
      </w:r>
      <w:r>
        <w:t xml:space="preserve">  </w:t>
      </w:r>
      <w:r w:rsidRPr="006430CC" w:rsidR="006430CC">
        <w:t xml:space="preserve">Pheasant Ridge, in particular, notes that the location of legacy leach fields will make installation according to PG&amp;E standard locations impossible without catastrophic damage to those fields.  Pheasant Ridge notes that this damage would necessitate the rebuilding of these systems according to newer, more restrictive regulations.  They assert that this </w:t>
      </w:r>
      <w:r w:rsidRPr="006430CC" w:rsidR="006430CC">
        <w:lastRenderedPageBreak/>
        <w:t>would require installation of a secondary treatment system, and that many of the</w:t>
      </w:r>
      <w:r w:rsidR="007E486D">
        <w:t xml:space="preserve"> MHPs eligible for the </w:t>
      </w:r>
      <w:r w:rsidRPr="00ED6C8F" w:rsidR="00ED6C8F">
        <w:t>Rebuild Program</w:t>
      </w:r>
      <w:r w:rsidRPr="006430CC" w:rsidR="006430CC">
        <w:t xml:space="preserve"> probably have the same issues.</w:t>
      </w:r>
      <w:r w:rsidRPr="006430CC" w:rsidR="006430CC">
        <w:rPr>
          <w:vertAlign w:val="superscript"/>
        </w:rPr>
        <w:footnoteReference w:id="21"/>
      </w:r>
    </w:p>
    <w:p w:rsidR="00F6776C" w:rsidP="00F6776C" w:rsidRDefault="00F6776C" w14:paraId="39995F72" w14:textId="77777777"/>
    <w:p w:rsidRPr="005E7EC7" w:rsidR="00F6776C" w:rsidP="00F6776C" w:rsidRDefault="00F6776C" w14:paraId="4BEF7BC5" w14:textId="3B73FA7C">
      <w:r w:rsidRPr="005E7EC7">
        <w:t xml:space="preserve">PG&amp;E </w:t>
      </w:r>
      <w:r>
        <w:t xml:space="preserve">indicated in its reply that it </w:t>
      </w:r>
      <w:r w:rsidRPr="005E7EC7">
        <w:t>must ensure that newly installed gas and electric utilities meet current utility design standards and applicable codes, regulations</w:t>
      </w:r>
      <w:r w:rsidR="005D5CBC">
        <w:t>,</w:t>
      </w:r>
      <w:r w:rsidRPr="005E7EC7">
        <w:t xml:space="preserve"> and requirements based on the most economic, convenient, safe, and efficient service route.  PG&amp;E </w:t>
      </w:r>
      <w:r w:rsidR="005D5CBC">
        <w:t xml:space="preserve">stated that it </w:t>
      </w:r>
      <w:r w:rsidR="00C90992">
        <w:t>“</w:t>
      </w:r>
      <w:r w:rsidRPr="005E7EC7">
        <w:t>will consider the area occupied by the original utility system if it meets all the requirements mentioned above.</w:t>
      </w:r>
      <w:r w:rsidR="00C90992">
        <w:t>”</w:t>
      </w:r>
      <w:r w:rsidR="00C90992">
        <w:rPr>
          <w:rStyle w:val="FootnoteReference"/>
        </w:rPr>
        <w:footnoteReference w:id="22"/>
      </w:r>
      <w:r w:rsidRPr="005E7EC7">
        <w:t xml:space="preserve">  </w:t>
      </w:r>
      <w:r>
        <w:t>However, w</w:t>
      </w:r>
      <w:r w:rsidRPr="005E7EC7">
        <w:t>ith regards to damages to salvageable utilities, PG&amp;E proposes no changes to its current practices with this advice letter.</w:t>
      </w:r>
      <w:r>
        <w:rPr>
          <w:rStyle w:val="FootnoteReference"/>
        </w:rPr>
        <w:footnoteReference w:id="23"/>
      </w:r>
    </w:p>
    <w:p w:rsidR="00F6776C" w:rsidP="00F6776C" w:rsidRDefault="00F6776C" w14:paraId="15DC882C" w14:textId="77777777"/>
    <w:p w:rsidRPr="005527D5" w:rsidR="00F6776C" w:rsidP="008974A9" w:rsidRDefault="00F6776C" w14:paraId="4860BE1A" w14:textId="3E2F7C21">
      <w:pPr>
        <w:pStyle w:val="Heading2"/>
        <w:numPr>
          <w:ilvl w:val="1"/>
          <w:numId w:val="0"/>
        </w:numPr>
      </w:pPr>
      <w:r w:rsidRPr="005527D5">
        <w:t xml:space="preserve">Damage to Underground Facilities During the </w:t>
      </w:r>
      <w:r>
        <w:t>Debris Removal</w:t>
      </w:r>
      <w:r w:rsidRPr="005527D5">
        <w:t xml:space="preserve"> Process</w:t>
      </w:r>
      <w:r w:rsidR="00826D9C">
        <w:rPr>
          <w:rStyle w:val="FootnoteReference"/>
        </w:rPr>
        <w:footnoteReference w:id="24"/>
      </w:r>
    </w:p>
    <w:p w:rsidR="00F6776C" w:rsidP="00F6776C" w:rsidRDefault="00F6776C" w14:paraId="4269B52D" w14:textId="774D161E">
      <w:r w:rsidRPr="00463683">
        <w:t>Evergreen MHP</w:t>
      </w:r>
      <w:r>
        <w:t xml:space="preserve"> indicated that </w:t>
      </w:r>
      <w:r w:rsidRPr="00463683">
        <w:t xml:space="preserve">PG&amp;E’s </w:t>
      </w:r>
      <w:r>
        <w:t>debris removal</w:t>
      </w:r>
      <w:r w:rsidRPr="00463683">
        <w:t xml:space="preserve"> process might damage underground septic tanks, sewer lines and leach field</w:t>
      </w:r>
      <w:r>
        <w:t>s</w:t>
      </w:r>
      <w:r w:rsidRPr="00463683">
        <w:t>.</w:t>
      </w:r>
      <w:r>
        <w:rPr>
          <w:rStyle w:val="FootnoteReference"/>
        </w:rPr>
        <w:footnoteReference w:id="25"/>
      </w:r>
      <w:r w:rsidRPr="00463683">
        <w:t xml:space="preserve">  </w:t>
      </w:r>
      <w:r w:rsidR="00391EBD">
        <w:t xml:space="preserve">Evergreen </w:t>
      </w:r>
      <w:r w:rsidRPr="00463683">
        <w:t>MHP</w:t>
      </w:r>
      <w:r>
        <w:t xml:space="preserve"> </w:t>
      </w:r>
      <w:r w:rsidR="00391EBD">
        <w:t>also</w:t>
      </w:r>
      <w:r>
        <w:t xml:space="preserve"> state</w:t>
      </w:r>
      <w:r w:rsidR="00391EBD">
        <w:t>d</w:t>
      </w:r>
      <w:r>
        <w:t xml:space="preserve"> that</w:t>
      </w:r>
      <w:r w:rsidRPr="00463683">
        <w:t xml:space="preserve"> </w:t>
      </w:r>
      <w:r w:rsidR="00BA01B2">
        <w:t xml:space="preserve">its </w:t>
      </w:r>
      <w:r w:rsidRPr="00463683">
        <w:t>insurance policy does not cover utilities.</w:t>
      </w:r>
      <w:r>
        <w:rPr>
          <w:rStyle w:val="FootnoteReference"/>
        </w:rPr>
        <w:footnoteReference w:id="26"/>
      </w:r>
    </w:p>
    <w:p w:rsidR="00F1349D" w:rsidP="00F6776C" w:rsidRDefault="00F1349D" w14:paraId="269A71DC" w14:textId="77777777"/>
    <w:p w:rsidR="00F1349D" w:rsidP="00F6776C" w:rsidRDefault="00F1349D" w14:paraId="67C49BB4" w14:textId="79236FFE">
      <w:r w:rsidRPr="00F1349D">
        <w:t xml:space="preserve">Daniel Bennett, principal owner of the Evergreen MHP stated "We have spent a great deal of money upgrading our systems and if the clean up is not done with some care and consideration it will all be destroyed and like other </w:t>
      </w:r>
      <w:r w:rsidRPr="00F1349D" w:rsidR="00C501D7">
        <w:t>owners,</w:t>
      </w:r>
      <w:r w:rsidRPr="00F1349D">
        <w:t xml:space="preserve"> I have spoken with my insurance policy</w:t>
      </w:r>
      <w:r w:rsidR="00DB6E81">
        <w:t xml:space="preserve"> and </w:t>
      </w:r>
      <w:r w:rsidR="003B3CA1">
        <w:t>i</w:t>
      </w:r>
      <w:r w:rsidR="00DB6E81">
        <w:t>t</w:t>
      </w:r>
      <w:r w:rsidRPr="00F1349D">
        <w:t xml:space="preserve"> does not cover utilities."  He further </w:t>
      </w:r>
      <w:r w:rsidRPr="00F1349D">
        <w:lastRenderedPageBreak/>
        <w:t>stated that "These are my main concerns other than when will the clean up actually happen and how will I afford the work not covered by insurance."</w:t>
      </w:r>
      <w:r w:rsidRPr="00F1349D">
        <w:rPr>
          <w:vertAlign w:val="superscript"/>
        </w:rPr>
        <w:footnoteReference w:id="27"/>
      </w:r>
    </w:p>
    <w:p w:rsidR="00F6776C" w:rsidP="00F6776C" w:rsidRDefault="00F6776C" w14:paraId="6C584EFE" w14:textId="77777777"/>
    <w:p w:rsidR="00F6776C" w:rsidP="00F6776C" w:rsidRDefault="00F6776C" w14:paraId="12DB69B3" w14:textId="5F8C66B2">
      <w:r>
        <w:t>PG&amp;E indicated in its reply that e</w:t>
      </w:r>
      <w:r w:rsidRPr="00463683">
        <w:t xml:space="preserve">lectric infrastructure is the focus of </w:t>
      </w:r>
      <w:r w:rsidRPr="00ED6C8F" w:rsidR="00ED6C8F">
        <w:rPr>
          <w:bCs/>
          <w:iCs/>
        </w:rPr>
        <w:t xml:space="preserve">Rebuild Program </w:t>
      </w:r>
      <w:r w:rsidRPr="00463683">
        <w:t xml:space="preserve"> and septic system rebuilding is not included in the program.</w:t>
      </w:r>
      <w:r>
        <w:rPr>
          <w:rStyle w:val="FootnoteReference"/>
        </w:rPr>
        <w:footnoteReference w:id="28"/>
      </w:r>
    </w:p>
    <w:p w:rsidR="00BE10C1" w:rsidP="00F6776C" w:rsidRDefault="00BE10C1" w14:paraId="3814D046" w14:textId="77777777"/>
    <w:p w:rsidRPr="005527D5" w:rsidR="00143EA7" w:rsidP="00143EA7" w:rsidRDefault="00143EA7" w14:paraId="05C2095F" w14:textId="6FB728E0">
      <w:pPr>
        <w:pStyle w:val="Heading2"/>
        <w:numPr>
          <w:ilvl w:val="0"/>
          <w:numId w:val="0"/>
        </w:numPr>
      </w:pPr>
      <w:r w:rsidRPr="005527D5">
        <w:t>Legacy Utility</w:t>
      </w:r>
      <w:r w:rsidR="00B47DE0">
        <w:t xml:space="preserve"> Owned</w:t>
      </w:r>
      <w:r w:rsidRPr="005527D5">
        <w:t xml:space="preserve"> </w:t>
      </w:r>
      <w:r w:rsidR="00B47DE0">
        <w:t>I</w:t>
      </w:r>
      <w:r w:rsidRPr="005527D5">
        <w:t>nfrastructure Removal</w:t>
      </w:r>
    </w:p>
    <w:p w:rsidR="00143EA7" w:rsidP="00143EA7" w:rsidRDefault="00143EA7" w14:paraId="7FEE2254" w14:textId="1633A013">
      <w:r w:rsidRPr="00F30069">
        <w:t>Forest Glenn MHP</w:t>
      </w:r>
      <w:r>
        <w:t>,</w:t>
      </w:r>
      <w:r w:rsidRPr="00F30069">
        <w:t xml:space="preserve"> Pheasant Ridge Mobile Estate, </w:t>
      </w:r>
      <w:r w:rsidRPr="0045105F">
        <w:t>Pine Springs MHP</w:t>
      </w:r>
      <w:r>
        <w:t xml:space="preserve">, </w:t>
      </w:r>
      <w:r w:rsidRPr="00F30069">
        <w:t xml:space="preserve">and </w:t>
      </w:r>
      <w:r w:rsidRPr="0045105F">
        <w:t>Ridgewood MHP</w:t>
      </w:r>
      <w:r>
        <w:t xml:space="preserve"> suggest that l</w:t>
      </w:r>
      <w:r w:rsidRPr="00372462">
        <w:t>egacy infrastructure such as aboveground and below</w:t>
      </w:r>
      <w:r w:rsidR="001874B2">
        <w:t xml:space="preserve"> </w:t>
      </w:r>
      <w:r w:rsidRPr="00372462">
        <w:t>ground transformers should be removed by PG&amp;E at no cost to the MHP owner.</w:t>
      </w:r>
      <w:r>
        <w:rPr>
          <w:rStyle w:val="FootnoteReference"/>
        </w:rPr>
        <w:footnoteReference w:id="29"/>
      </w:r>
    </w:p>
    <w:p w:rsidR="00143EA7" w:rsidP="00143EA7" w:rsidRDefault="00143EA7" w14:paraId="6DA7DFC8" w14:textId="77777777"/>
    <w:p w:rsidR="00143EA7" w:rsidP="00143EA7" w:rsidRDefault="00143EA7" w14:paraId="5C40F1D1" w14:textId="77777777">
      <w:r w:rsidRPr="005E7EC7">
        <w:t xml:space="preserve">PG&amp;E </w:t>
      </w:r>
      <w:r w:rsidRPr="00372462">
        <w:t>indicated in its reply that PG&amp;E will remove the existing utility-owned assets that are not in use</w:t>
      </w:r>
      <w:r>
        <w:t xml:space="preserve"> u</w:t>
      </w:r>
      <w:r w:rsidRPr="00372462">
        <w:t>pon completion of the rebuild effort.</w:t>
      </w:r>
      <w:r>
        <w:t xml:space="preserve">  </w:t>
      </w:r>
      <w:r w:rsidRPr="00372462">
        <w:t>PG&amp;E</w:t>
      </w:r>
      <w:r>
        <w:t xml:space="preserve"> indicated that they</w:t>
      </w:r>
      <w:r w:rsidRPr="00372462">
        <w:t xml:space="preserve"> will not be removing assets that are not PG&amp;E owned, as PG&amp;E does not have ownership over non-PG&amp;E owned assets.</w:t>
      </w:r>
      <w:r>
        <w:rPr>
          <w:rStyle w:val="FootnoteReference"/>
        </w:rPr>
        <w:footnoteReference w:id="30"/>
      </w:r>
    </w:p>
    <w:p w:rsidR="00143EA7" w:rsidP="00143EA7" w:rsidRDefault="00143EA7" w14:paraId="4289CA00" w14:textId="77777777"/>
    <w:p w:rsidRPr="005527D5" w:rsidR="00463683" w:rsidP="000F2F93" w:rsidRDefault="00463683" w14:paraId="2899B30B" w14:textId="24654181">
      <w:pPr>
        <w:pStyle w:val="Heading2"/>
        <w:numPr>
          <w:ilvl w:val="0"/>
          <w:numId w:val="0"/>
        </w:numPr>
      </w:pPr>
      <w:r w:rsidRPr="005527D5">
        <w:t>Location of the Electric and Gas Meters</w:t>
      </w:r>
    </w:p>
    <w:p w:rsidRPr="00D768DA" w:rsidR="00D768DA" w:rsidP="00D768DA" w:rsidRDefault="00463683" w14:paraId="36D751BE" w14:textId="645A9A27">
      <w:r>
        <w:t xml:space="preserve">All the </w:t>
      </w:r>
      <w:r w:rsidRPr="00172CB1" w:rsidR="00172CB1">
        <w:t>protestant</w:t>
      </w:r>
      <w:r w:rsidR="00172CB1">
        <w:t xml:space="preserve">s </w:t>
      </w:r>
      <w:r>
        <w:t xml:space="preserve">expressed concern that </w:t>
      </w:r>
      <w:r w:rsidR="00D768DA">
        <w:t>p</w:t>
      </w:r>
      <w:r w:rsidRPr="00D768DA" w:rsidR="00D768DA">
        <w:t xml:space="preserve">lacing the gas and electric meters in </w:t>
      </w:r>
      <w:r w:rsidR="00B943CB">
        <w:t>the portion of</w:t>
      </w:r>
      <w:r w:rsidR="00447AA5">
        <w:t xml:space="preserve"> </w:t>
      </w:r>
      <w:r w:rsidRPr="00D768DA" w:rsidR="00D768DA">
        <w:t xml:space="preserve">the </w:t>
      </w:r>
      <w:r w:rsidR="00D768DA">
        <w:t>mobilehome</w:t>
      </w:r>
      <w:r w:rsidR="00DE37B9">
        <w:t xml:space="preserve"> space</w:t>
      </w:r>
      <w:r w:rsidR="00B943CB">
        <w:t xml:space="preserve"> adjacent to the street</w:t>
      </w:r>
      <w:r w:rsidRPr="00D768DA" w:rsidR="00D768DA">
        <w:t xml:space="preserve">, as PG&amp;E requires, makes it difficult to install new </w:t>
      </w:r>
      <w:r w:rsidR="00CA0C86">
        <w:t>mobilehomes</w:t>
      </w:r>
      <w:r w:rsidRPr="00D768DA" w:rsidR="00CA0C86">
        <w:t xml:space="preserve"> </w:t>
      </w:r>
      <w:r w:rsidRPr="00D768DA" w:rsidR="00D768DA">
        <w:t xml:space="preserve">into the space and is unsightly.  </w:t>
      </w:r>
      <w:r w:rsidR="00535798">
        <w:t>The protestants indicated that a</w:t>
      </w:r>
      <w:r w:rsidRPr="00D768DA" w:rsidR="00535798">
        <w:t xml:space="preserve">s </w:t>
      </w:r>
      <w:r w:rsidRPr="00D768DA" w:rsidR="00D768DA">
        <w:t>an alternative, meters can be placed along the side of the mobilehomes toward the rear of the carport.</w:t>
      </w:r>
    </w:p>
    <w:p w:rsidR="00463683" w:rsidP="005527D5" w:rsidRDefault="00463683" w14:paraId="5B8EBF6A" w14:textId="7D67A4BC"/>
    <w:p w:rsidR="00F445DD" w:rsidP="00463683" w:rsidRDefault="00D768DA" w14:paraId="3893C210" w14:textId="6831A458">
      <w:r>
        <w:t>PG&amp;E replied that</w:t>
      </w:r>
      <w:r w:rsidRPr="00D768DA">
        <w:t xml:space="preserve"> all assets that PG&amp;E install</w:t>
      </w:r>
      <w:r w:rsidR="0006597F">
        <w:t>s</w:t>
      </w:r>
      <w:r w:rsidRPr="00D768DA">
        <w:t xml:space="preserve"> need to meet current utility design standards and applicable codes.</w:t>
      </w:r>
      <w:r w:rsidR="00B21D83">
        <w:rPr>
          <w:rStyle w:val="FootnoteReference"/>
        </w:rPr>
        <w:footnoteReference w:id="31"/>
      </w:r>
      <w:r w:rsidRPr="00D768DA">
        <w:t xml:space="preserve"> The meter locations should be determined by the standards outlined in PG&amp;E’s Electric &amp; Gas service </w:t>
      </w:r>
      <w:r w:rsidRPr="00D768DA">
        <w:lastRenderedPageBreak/>
        <w:t>Requirements (Greenbook).</w:t>
      </w:r>
      <w:r w:rsidR="007B2EB8">
        <w:rPr>
          <w:rStyle w:val="FootnoteReference"/>
        </w:rPr>
        <w:footnoteReference w:id="32"/>
      </w:r>
      <w:r w:rsidR="00891E19">
        <w:t xml:space="preserve">  These standards require placing the meters </w:t>
      </w:r>
      <w:r w:rsidR="00DF102D">
        <w:t>near the</w:t>
      </w:r>
      <w:r w:rsidR="00891E19">
        <w:t xml:space="preserve"> front of the mobilehomes.  </w:t>
      </w:r>
    </w:p>
    <w:p w:rsidR="005018A3" w:rsidP="001F019F" w:rsidRDefault="005018A3" w14:paraId="3C402F09" w14:textId="77777777"/>
    <w:p w:rsidRPr="005527D5" w:rsidR="00143EA7" w:rsidP="00143EA7" w:rsidRDefault="00143EA7" w14:paraId="1D5F765E" w14:textId="77777777">
      <w:pPr>
        <w:pStyle w:val="Heading2"/>
        <w:numPr>
          <w:ilvl w:val="0"/>
          <w:numId w:val="0"/>
        </w:numPr>
      </w:pPr>
      <w:r w:rsidRPr="005527D5">
        <w:t>Electric Service</w:t>
      </w:r>
      <w:r>
        <w:t xml:space="preserve"> Amperage Rating</w:t>
      </w:r>
    </w:p>
    <w:p w:rsidR="00143EA7" w:rsidP="00143EA7" w:rsidRDefault="00AD661D" w14:paraId="724CB0C3" w14:textId="0B676612">
      <w:pPr>
        <w:rPr>
          <w:rFonts w:ascii="Times New Roman" w:hAnsi="Times New Roman"/>
          <w:w w:val="110"/>
          <w:sz w:val="24"/>
          <w:szCs w:val="24"/>
        </w:rPr>
      </w:pPr>
      <w:r>
        <w:t xml:space="preserve">All protestants expressed concern that 100 amp electric service as proposed by PG&amp;E would be inadequate. </w:t>
      </w:r>
      <w:r w:rsidRPr="00F445DD" w:rsidR="00143EA7">
        <w:t>Pine Springs MHP</w:t>
      </w:r>
      <w:r w:rsidR="00143EA7">
        <w:t xml:space="preserve">, </w:t>
      </w:r>
      <w:r w:rsidRPr="00F445DD" w:rsidR="00143EA7">
        <w:t>Pheasant Ridge Mobile Estate</w:t>
      </w:r>
      <w:r w:rsidR="00143EA7">
        <w:t xml:space="preserve">, </w:t>
      </w:r>
      <w:r w:rsidRPr="00CE6F4F" w:rsidR="00143EA7">
        <w:t xml:space="preserve">and </w:t>
      </w:r>
      <w:r w:rsidRPr="00F445DD" w:rsidR="00143EA7">
        <w:t>Ridgewood MHP</w:t>
      </w:r>
      <w:r w:rsidR="00143EA7">
        <w:t xml:space="preserve"> commented that e</w:t>
      </w:r>
      <w:r w:rsidRPr="00F445DD" w:rsidR="00143EA7">
        <w:t>lectric service should be at least 150 amps</w:t>
      </w:r>
      <w:r w:rsidR="00143EA7">
        <w:t>.</w:t>
      </w:r>
      <w:r w:rsidRPr="003E0CB9" w:rsidR="00143EA7">
        <w:rPr>
          <w:vertAlign w:val="superscript"/>
        </w:rPr>
        <w:t xml:space="preserve"> </w:t>
      </w:r>
      <w:r w:rsidRPr="003E0CB9" w:rsidR="00143EA7">
        <w:rPr>
          <w:vertAlign w:val="superscript"/>
        </w:rPr>
        <w:footnoteReference w:id="33"/>
      </w:r>
      <w:r w:rsidR="00143EA7">
        <w:t xml:space="preserve">  </w:t>
      </w:r>
      <w:r w:rsidRPr="00E901AD" w:rsidR="00143EA7">
        <w:t xml:space="preserve">Evergreen MHP, </w:t>
      </w:r>
      <w:r w:rsidRPr="00B94B01" w:rsidR="00143EA7">
        <w:t>Forest Glenn MHP</w:t>
      </w:r>
      <w:r w:rsidR="00143EA7">
        <w:t xml:space="preserve">, and </w:t>
      </w:r>
      <w:r w:rsidRPr="00945971" w:rsidR="00143EA7">
        <w:t xml:space="preserve">Skyway Villa MHP </w:t>
      </w:r>
      <w:r w:rsidR="00143EA7">
        <w:t>then recommended 200 amps of electric service.</w:t>
      </w:r>
      <w:r w:rsidR="00143EA7">
        <w:rPr>
          <w:rStyle w:val="FootnoteReference"/>
        </w:rPr>
        <w:footnoteReference w:id="34"/>
      </w:r>
      <w:r w:rsidR="00143EA7">
        <w:t xml:space="preserve">  </w:t>
      </w:r>
      <w:r w:rsidRPr="00CE4B68" w:rsidR="00143EA7">
        <w:rPr>
          <w:rFonts w:ascii="Times New Roman" w:hAnsi="Times New Roman"/>
          <w:w w:val="110"/>
          <w:sz w:val="24"/>
          <w:szCs w:val="24"/>
        </w:rPr>
        <w:t xml:space="preserve"> </w:t>
      </w:r>
    </w:p>
    <w:p w:rsidR="00143EA7" w:rsidP="00143EA7" w:rsidRDefault="00143EA7" w14:paraId="03262706" w14:textId="77777777">
      <w:pPr>
        <w:rPr>
          <w:rFonts w:ascii="Times New Roman" w:hAnsi="Times New Roman"/>
          <w:w w:val="110"/>
          <w:sz w:val="24"/>
          <w:szCs w:val="24"/>
        </w:rPr>
      </w:pPr>
    </w:p>
    <w:p w:rsidRPr="00CE4B68" w:rsidR="00143EA7" w:rsidP="00143EA7" w:rsidRDefault="00143EA7" w14:paraId="69B3C028" w14:textId="77777777">
      <w:r w:rsidRPr="00CE4B68">
        <w:t>Forest Glen MHP indicated that “We would need to have 200 Amp service, which is required for FEMA</w:t>
      </w:r>
      <w:r>
        <w:rPr>
          <w:rStyle w:val="FootnoteReference"/>
        </w:rPr>
        <w:footnoteReference w:id="35"/>
      </w:r>
      <w:r w:rsidRPr="00CE4B68">
        <w:t xml:space="preserve"> trailers that we may acquire.”</w:t>
      </w:r>
      <w:r>
        <w:rPr>
          <w:rStyle w:val="FootnoteReference"/>
        </w:rPr>
        <w:footnoteReference w:id="36"/>
      </w:r>
    </w:p>
    <w:p w:rsidRPr="00CE4B68" w:rsidR="00143EA7" w:rsidP="00143EA7" w:rsidRDefault="00143EA7" w14:paraId="2FDFBA77" w14:textId="77777777"/>
    <w:p w:rsidR="00143EA7" w:rsidP="00143EA7" w:rsidRDefault="00143EA7" w14:paraId="35014258" w14:textId="77777777">
      <w:r w:rsidRPr="00CE4B68">
        <w:t>Skyway Villa MHP indicated that “Contemporary manufactured homes are designed to run on 200 amps. Limiting park</w:t>
      </w:r>
      <w:r>
        <w:t xml:space="preserve"> </w:t>
      </w:r>
      <w:r w:rsidRPr="00CE4B68">
        <w:t>infrastructure to 100 amps would be like building a parking garage where every parking stall is half the size of a normal</w:t>
      </w:r>
      <w:r>
        <w:t xml:space="preserve"> </w:t>
      </w:r>
      <w:r w:rsidRPr="00CE4B68">
        <w:t>car. It just doesn't work.”</w:t>
      </w:r>
      <w:r>
        <w:rPr>
          <w:rStyle w:val="FootnoteReference"/>
        </w:rPr>
        <w:footnoteReference w:id="37"/>
      </w:r>
    </w:p>
    <w:p w:rsidRPr="00CE4B68" w:rsidR="00143EA7" w:rsidP="00143EA7" w:rsidRDefault="00143EA7" w14:paraId="0C5AFF04" w14:textId="77777777"/>
    <w:p w:rsidR="00143EA7" w:rsidP="00143EA7" w:rsidRDefault="00143EA7" w14:paraId="19F5F627" w14:textId="6EA88B16">
      <w:pPr>
        <w:rPr>
          <w:u w:val="single"/>
        </w:rPr>
      </w:pPr>
      <w:r>
        <w:t>Ridgewood MHP indicated that “</w:t>
      </w:r>
      <w:r w:rsidRPr="00C63BCD">
        <w:t>100 Amp service is marginal at best with modern doublewide MHs, commonly as large as 27'</w:t>
      </w:r>
      <w:r>
        <w:t xml:space="preserve"> </w:t>
      </w:r>
      <w:r w:rsidRPr="00C63BCD">
        <w:t>X</w:t>
      </w:r>
      <w:r>
        <w:t xml:space="preserve"> </w:t>
      </w:r>
      <w:r w:rsidRPr="00C63BCD">
        <w:t>56' (1,512 sq. ft.).  I had eliminated many older singlewide MHs and residents brought in</w:t>
      </w:r>
      <w:r w:rsidR="00160B61">
        <w:t xml:space="preserve"> </w:t>
      </w:r>
      <w:r w:rsidRPr="00C63BCD">
        <w:t xml:space="preserve">16 new double wide MHs in my 100 space MHP. They were delivered with every appliance possible on gas so there was enough electrical service remaining for the HVAC system. Then residents switched out some of the gas appliances for electric and </w:t>
      </w:r>
      <w:r w:rsidRPr="00C63BCD">
        <w:lastRenderedPageBreak/>
        <w:t xml:space="preserve">the problems with the overloaded electric system started. </w:t>
      </w:r>
      <w:r w:rsidRPr="00C63BCD">
        <w:rPr>
          <w:u w:val="single"/>
        </w:rPr>
        <w:t>The electric service should be at least 150 Amps for the MHs that buyers want today</w:t>
      </w:r>
      <w:r w:rsidRPr="008435E5">
        <w:t>.”</w:t>
      </w:r>
      <w:r w:rsidRPr="008435E5">
        <w:rPr>
          <w:rStyle w:val="FootnoteReference"/>
        </w:rPr>
        <w:footnoteReference w:id="38"/>
      </w:r>
      <w:r w:rsidRPr="008435E5">
        <w:t xml:space="preserve"> </w:t>
      </w:r>
    </w:p>
    <w:p w:rsidRPr="00B94B01" w:rsidR="00143EA7" w:rsidP="00143EA7" w:rsidRDefault="00143EA7" w14:paraId="3376F9AB" w14:textId="2C07835A">
      <w:pPr>
        <w:rPr>
          <w:bCs/>
        </w:rPr>
      </w:pPr>
      <w:r>
        <w:t xml:space="preserve">PG&amp;E stated in its reply to protests that the </w:t>
      </w:r>
      <w:r w:rsidRPr="00ED6C8F" w:rsidR="00ED6C8F">
        <w:rPr>
          <w:bCs/>
        </w:rPr>
        <w:t>Rebuild Program</w:t>
      </w:r>
      <w:r w:rsidRPr="00F445DD">
        <w:rPr>
          <w:bCs/>
        </w:rPr>
        <w:t xml:space="preserve"> intend</w:t>
      </w:r>
      <w:r w:rsidR="00AC12E1">
        <w:rPr>
          <w:bCs/>
        </w:rPr>
        <w:t xml:space="preserve">s </w:t>
      </w:r>
      <w:r w:rsidRPr="00F445DD">
        <w:rPr>
          <w:bCs/>
        </w:rPr>
        <w:t xml:space="preserve"> to install infrastructure that provides the same level of utility service </w:t>
      </w:r>
      <w:r>
        <w:rPr>
          <w:bCs/>
        </w:rPr>
        <w:t xml:space="preserve">as existed </w:t>
      </w:r>
      <w:r w:rsidRPr="00F445DD">
        <w:rPr>
          <w:bCs/>
        </w:rPr>
        <w:t>at the MHP prior to the Camp Fire or to install infrastructure that meets current utility standards and applicable code</w:t>
      </w:r>
      <w:r w:rsidR="00011BDE">
        <w:rPr>
          <w:bCs/>
        </w:rPr>
        <w:t>. PG&amp;E clarified that the Rebuild Program does</w:t>
      </w:r>
      <w:r w:rsidRPr="00F445DD">
        <w:rPr>
          <w:bCs/>
        </w:rPr>
        <w:t xml:space="preserve"> not</w:t>
      </w:r>
      <w:r w:rsidR="0077528A">
        <w:rPr>
          <w:bCs/>
        </w:rPr>
        <w:t xml:space="preserve"> </w:t>
      </w:r>
      <w:r w:rsidRPr="00F445DD">
        <w:rPr>
          <w:bCs/>
        </w:rPr>
        <w:t>intend to provide a service upgrade.</w:t>
      </w:r>
      <w:r>
        <w:rPr>
          <w:bCs/>
        </w:rPr>
        <w:t xml:space="preserve">  PG&amp;E also indicated that </w:t>
      </w:r>
      <w:r w:rsidR="00AB30D7">
        <w:rPr>
          <w:bCs/>
        </w:rPr>
        <w:t>“</w:t>
      </w:r>
      <w:r>
        <w:rPr>
          <w:bCs/>
        </w:rPr>
        <w:t>t</w:t>
      </w:r>
      <w:r w:rsidRPr="00B94B01">
        <w:rPr>
          <w:bCs/>
        </w:rPr>
        <w:t xml:space="preserve">he infrastructure that PG&amp;E will be installing as part of the </w:t>
      </w:r>
      <w:bookmarkStart w:name="_Hlk61516797" w:id="30"/>
      <w:r w:rsidRPr="00B94B01">
        <w:rPr>
          <w:bCs/>
        </w:rPr>
        <w:t xml:space="preserve">Butte County </w:t>
      </w:r>
      <w:bookmarkStart w:name="_Hlk61438021" w:id="31"/>
      <w:r w:rsidR="0032461D">
        <w:rPr>
          <w:bCs/>
        </w:rPr>
        <w:t>Mobilehome</w:t>
      </w:r>
      <w:bookmarkEnd w:id="31"/>
      <w:r w:rsidR="004C5959">
        <w:rPr>
          <w:bCs/>
        </w:rPr>
        <w:t xml:space="preserve"> Park</w:t>
      </w:r>
      <w:r w:rsidRPr="00B94B01" w:rsidR="0032461D">
        <w:rPr>
          <w:bCs/>
        </w:rPr>
        <w:t xml:space="preserve"> </w:t>
      </w:r>
      <w:r w:rsidRPr="00B94B01">
        <w:rPr>
          <w:bCs/>
        </w:rPr>
        <w:t xml:space="preserve">Rebuild Program </w:t>
      </w:r>
      <w:bookmarkEnd w:id="30"/>
      <w:r w:rsidRPr="00B94B01">
        <w:rPr>
          <w:bCs/>
        </w:rPr>
        <w:t>will be able to accommodate services up to 200 amp</w:t>
      </w:r>
      <w:r>
        <w:rPr>
          <w:bCs/>
        </w:rPr>
        <w:t>s</w:t>
      </w:r>
      <w:r w:rsidRPr="00B94B01">
        <w:rPr>
          <w:bCs/>
        </w:rPr>
        <w:t xml:space="preserve">, but if the MHP was previously served at </w:t>
      </w:r>
      <w:r w:rsidRPr="00B94B01" w:rsidDel="00B04D31">
        <w:rPr>
          <w:bCs/>
        </w:rPr>
        <w:t>100</w:t>
      </w:r>
      <w:r w:rsidR="00B04D31">
        <w:rPr>
          <w:bCs/>
        </w:rPr>
        <w:t xml:space="preserve"> amp</w:t>
      </w:r>
      <w:r>
        <w:rPr>
          <w:bCs/>
        </w:rPr>
        <w:t>s</w:t>
      </w:r>
      <w:r w:rsidR="009E3BEC">
        <w:rPr>
          <w:bCs/>
        </w:rPr>
        <w:t xml:space="preserve"> service</w:t>
      </w:r>
      <w:r w:rsidRPr="00B94B01">
        <w:rPr>
          <w:bCs/>
        </w:rPr>
        <w:t>, the MHP owner</w:t>
      </w:r>
      <w:r w:rsidR="009E3BEC">
        <w:rPr>
          <w:bCs/>
        </w:rPr>
        <w:t>/</w:t>
      </w:r>
      <w:r w:rsidRPr="00B94B01">
        <w:rPr>
          <w:bCs/>
        </w:rPr>
        <w:t xml:space="preserve">operator would need to submit an application for a service upgrade under Rule 3 with a request to increase </w:t>
      </w:r>
      <w:r>
        <w:rPr>
          <w:bCs/>
        </w:rPr>
        <w:t xml:space="preserve">the panel </w:t>
      </w:r>
      <w:r w:rsidRPr="00B94B01">
        <w:rPr>
          <w:bCs/>
        </w:rPr>
        <w:t>size</w:t>
      </w:r>
      <w:r>
        <w:rPr>
          <w:bCs/>
        </w:rPr>
        <w:t xml:space="preserve"> </w:t>
      </w:r>
      <w:r w:rsidRPr="00B94B01">
        <w:rPr>
          <w:bCs/>
        </w:rPr>
        <w:t>meet</w:t>
      </w:r>
      <w:r w:rsidR="00487183">
        <w:rPr>
          <w:bCs/>
        </w:rPr>
        <w:t>ing</w:t>
      </w:r>
      <w:r w:rsidRPr="00B94B01">
        <w:rPr>
          <w:bCs/>
        </w:rPr>
        <w:t xml:space="preserve"> requirements under Rule 2 and Rule 16.</w:t>
      </w:r>
      <w:r w:rsidR="00A71E98">
        <w:rPr>
          <w:bCs/>
        </w:rPr>
        <w:t>”</w:t>
      </w:r>
      <w:r>
        <w:rPr>
          <w:rStyle w:val="FootnoteReference"/>
          <w:bCs/>
        </w:rPr>
        <w:footnoteReference w:id="39"/>
      </w:r>
      <w:r>
        <w:rPr>
          <w:bCs/>
        </w:rPr>
        <w:t xml:space="preserve">  The standard service level PG&amp;E proposes to provide under the </w:t>
      </w:r>
      <w:r w:rsidRPr="00ED6C8F" w:rsidR="00ED6C8F">
        <w:rPr>
          <w:bCs/>
        </w:rPr>
        <w:t>Rebuild Program</w:t>
      </w:r>
      <w:r>
        <w:rPr>
          <w:bCs/>
        </w:rPr>
        <w:t xml:space="preserve"> is 100 amps</w:t>
      </w:r>
      <w:r w:rsidR="00E9038B">
        <w:rPr>
          <w:bCs/>
        </w:rPr>
        <w:t>,</w:t>
      </w:r>
      <w:r>
        <w:rPr>
          <w:bCs/>
        </w:rPr>
        <w:t xml:space="preserve"> a</w:t>
      </w:r>
      <w:r w:rsidRPr="00CE4B68">
        <w:rPr>
          <w:bCs/>
        </w:rPr>
        <w:t xml:space="preserve">ccording to Section 5.3.2 of the Butte County </w:t>
      </w:r>
      <w:r w:rsidRPr="00835803" w:rsidR="00835803">
        <w:rPr>
          <w:bCs/>
        </w:rPr>
        <w:t>Mobilehome</w:t>
      </w:r>
      <w:r w:rsidRPr="00835803" w:rsidDel="00835803" w:rsidR="00835803">
        <w:rPr>
          <w:bCs/>
        </w:rPr>
        <w:t xml:space="preserve"> </w:t>
      </w:r>
      <w:r w:rsidR="00A134F5">
        <w:rPr>
          <w:bCs/>
        </w:rPr>
        <w:t>Park</w:t>
      </w:r>
      <w:r w:rsidRPr="00CE4B68">
        <w:rPr>
          <w:bCs/>
        </w:rPr>
        <w:t xml:space="preserve"> Rebuild Program Agreement</w:t>
      </w:r>
      <w:r w:rsidR="00DB6E81">
        <w:rPr>
          <w:bCs/>
        </w:rPr>
        <w:t>.</w:t>
      </w:r>
    </w:p>
    <w:p w:rsidR="00143EA7" w:rsidP="00143EA7" w:rsidRDefault="00143EA7" w14:paraId="27C9327B" w14:textId="77777777"/>
    <w:p w:rsidR="00143EA7" w:rsidP="00143EA7" w:rsidRDefault="00143EA7" w14:paraId="6CA25A78" w14:textId="049386BF">
      <w:r>
        <w:t xml:space="preserve">PG&amp;E clarified in a data response to Energy Division dated October 3, 2019, that </w:t>
      </w:r>
      <w:r w:rsidR="005F59C4">
        <w:t>“</w:t>
      </w:r>
      <w:r>
        <w:t>t</w:t>
      </w:r>
      <w:r w:rsidRPr="007271E0">
        <w:t xml:space="preserve">he intent of </w:t>
      </w:r>
      <w:r w:rsidRPr="00F445DD">
        <w:rPr>
          <w:bCs/>
        </w:rPr>
        <w:t>BCMHPRP</w:t>
      </w:r>
      <w:r w:rsidRPr="007271E0">
        <w:t xml:space="preserve"> is to rebuild the </w:t>
      </w:r>
      <w:r w:rsidR="00B304A9">
        <w:t>mobilehome parks</w:t>
      </w:r>
      <w:r w:rsidRPr="007271E0" w:rsidR="00B304A9">
        <w:t xml:space="preserve"> </w:t>
      </w:r>
      <w:r w:rsidRPr="007271E0">
        <w:t>to current standards. PG&amp;E is planning on installing conduit that can accommodate</w:t>
      </w:r>
      <w:r>
        <w:t xml:space="preserve"> </w:t>
      </w:r>
      <w:r w:rsidRPr="007271E0">
        <w:t>up to 200 amps, but the transformers would be designed to provide electri</w:t>
      </w:r>
      <w:r w:rsidR="002E0082">
        <w:t>city</w:t>
      </w:r>
      <w:r w:rsidR="004D7160">
        <w:t xml:space="preserve"> </w:t>
      </w:r>
      <w:r w:rsidRPr="007271E0">
        <w:t>based on the current standard of 100 amps per mobilehome.</w:t>
      </w:r>
      <w:r>
        <w:rPr>
          <w:rStyle w:val="FootnoteReference"/>
        </w:rPr>
        <w:footnoteReference w:id="40"/>
      </w:r>
      <w:r>
        <w:rPr>
          <w:b/>
          <w:bCs/>
        </w:rPr>
        <w:t xml:space="preserve"> </w:t>
      </w:r>
      <w:r w:rsidRPr="007271E0">
        <w:rPr>
          <w:b/>
          <w:bCs/>
        </w:rPr>
        <w:t xml:space="preserve"> </w:t>
      </w:r>
      <w:r w:rsidRPr="007271E0">
        <w:t xml:space="preserve">If a mobilehome owner wishes to provide 200 amp service for each of their spaces, the </w:t>
      </w:r>
      <w:r>
        <w:t>MHP</w:t>
      </w:r>
      <w:r w:rsidRPr="007271E0">
        <w:t xml:space="preserve"> owner can request a service modification through the BCM</w:t>
      </w:r>
      <w:r>
        <w:t>H</w:t>
      </w:r>
      <w:r w:rsidRPr="007271E0">
        <w:t>PRP or a Rule 15</w:t>
      </w:r>
      <w:r>
        <w:t xml:space="preserve"> </w:t>
      </w:r>
      <w:r w:rsidRPr="007271E0">
        <w:t xml:space="preserve">application. The added cost for this service modification would be at the </w:t>
      </w:r>
      <w:r>
        <w:t>MHP</w:t>
      </w:r>
      <w:r w:rsidRPr="007271E0">
        <w:t xml:space="preserve"> owner’s expense.</w:t>
      </w:r>
      <w:r w:rsidR="00BE27A6">
        <w:t>”</w:t>
      </w:r>
      <w:r w:rsidRPr="007271E0">
        <w:t xml:space="preserve">  </w:t>
      </w:r>
    </w:p>
    <w:p w:rsidR="00143EA7" w:rsidP="00143EA7" w:rsidRDefault="00143EA7" w14:paraId="2B7599DE" w14:textId="77777777"/>
    <w:p w:rsidR="00143EA7" w:rsidP="00143EA7" w:rsidRDefault="00143EA7" w14:paraId="599C9F41" w14:textId="1CEB9E4F">
      <w:r>
        <w:t>A more detailed discussion of the infrastructure upgrades and costs involved is included in the</w:t>
      </w:r>
      <w:r w:rsidR="003A690D">
        <w:t xml:space="preserve"> </w:t>
      </w:r>
      <w:r w:rsidRPr="00D7459B" w:rsidR="003A690D">
        <w:rPr>
          <w:i/>
          <w:iCs/>
        </w:rPr>
        <w:t>Electric Service Amperage Rating</w:t>
      </w:r>
      <w:r w:rsidR="003A690D">
        <w:t xml:space="preserve"> portion of the</w:t>
      </w:r>
      <w:r>
        <w:t xml:space="preserve"> “Discussion” section of this Resolution below.  </w:t>
      </w:r>
    </w:p>
    <w:p w:rsidR="00143EA7" w:rsidP="00143EA7" w:rsidRDefault="00143EA7" w14:paraId="689676FF" w14:textId="77777777"/>
    <w:p w:rsidR="009B1D13" w:rsidRDefault="00F32A0A" w14:paraId="48BA3160" w14:textId="419CDA23">
      <w:pPr>
        <w:pStyle w:val="Heading2"/>
        <w:numPr>
          <w:ilvl w:val="0"/>
          <w:numId w:val="0"/>
        </w:numPr>
      </w:pPr>
      <w:r>
        <w:lastRenderedPageBreak/>
        <w:t xml:space="preserve">MHP Owner/Operator </w:t>
      </w:r>
      <w:r w:rsidR="00703BEB">
        <w:rPr>
          <w:bCs/>
        </w:rPr>
        <w:t>B</w:t>
      </w:r>
      <w:r w:rsidRPr="00703BEB" w:rsidR="00703BEB">
        <w:rPr>
          <w:bCs/>
        </w:rPr>
        <w:t>eyond-</w:t>
      </w:r>
      <w:r w:rsidR="00703BEB">
        <w:rPr>
          <w:bCs/>
        </w:rPr>
        <w:t>T</w:t>
      </w:r>
      <w:r w:rsidRPr="00703BEB" w:rsidR="00703BEB">
        <w:rPr>
          <w:bCs/>
        </w:rPr>
        <w:t>he-</w:t>
      </w:r>
      <w:r w:rsidR="00703BEB">
        <w:rPr>
          <w:bCs/>
        </w:rPr>
        <w:t>M</w:t>
      </w:r>
      <w:r w:rsidRPr="00703BEB" w:rsidR="00703BEB">
        <w:rPr>
          <w:bCs/>
        </w:rPr>
        <w:t>eter</w:t>
      </w:r>
      <w:r>
        <w:t xml:space="preserve"> Work Completion Deadline</w:t>
      </w:r>
    </w:p>
    <w:p w:rsidR="00186D4B" w:rsidP="00A00C68" w:rsidRDefault="00664022" w14:paraId="5D8E9C7C" w14:textId="25B3AFA0">
      <w:r w:rsidRPr="00664022">
        <w:t>Forest Glenn MHP</w:t>
      </w:r>
      <w:r>
        <w:t>,</w:t>
      </w:r>
      <w:r w:rsidRPr="00664022">
        <w:t xml:space="preserve"> Pheasant Ridge Mobile Estate, </w:t>
      </w:r>
      <w:r w:rsidRPr="003E60C7" w:rsidR="003E60C7">
        <w:t>Pine Springs MHP</w:t>
      </w:r>
      <w:r w:rsidR="00236FA1">
        <w:t xml:space="preserve">, </w:t>
      </w:r>
      <w:r w:rsidRPr="00664022">
        <w:t xml:space="preserve">and </w:t>
      </w:r>
      <w:r w:rsidRPr="003E60C7" w:rsidR="003E60C7">
        <w:t>Ridgewood MHP</w:t>
      </w:r>
      <w:r w:rsidR="00FA7289">
        <w:t xml:space="preserve">, </w:t>
      </w:r>
      <w:r w:rsidR="003448FF">
        <w:t>raise</w:t>
      </w:r>
      <w:r w:rsidR="00463BD7">
        <w:t>d</w:t>
      </w:r>
      <w:r w:rsidR="003448FF">
        <w:t xml:space="preserve"> concerns about</w:t>
      </w:r>
      <w:r w:rsidR="004952E2">
        <w:t xml:space="preserve"> the following language in</w:t>
      </w:r>
      <w:r w:rsidR="00FA7289">
        <w:t xml:space="preserve"> </w:t>
      </w:r>
      <w:r w:rsidRPr="00FA7289" w:rsidR="00FA7289">
        <w:t>Sections 9.1.1 and 9.1.1.3</w:t>
      </w:r>
      <w:r w:rsidR="00FA7289">
        <w:t xml:space="preserve"> of the </w:t>
      </w:r>
      <w:r w:rsidR="003361B4">
        <w:rPr>
          <w:bCs/>
        </w:rPr>
        <w:t>MHP</w:t>
      </w:r>
      <w:r w:rsidRPr="005527D5" w:rsidR="00FA7289">
        <w:rPr>
          <w:bCs/>
        </w:rPr>
        <w:t xml:space="preserve"> Rebuild Program Agreement</w:t>
      </w:r>
      <w:r w:rsidR="003448FF">
        <w:rPr>
          <w:bCs/>
        </w:rPr>
        <w:t>:</w:t>
      </w:r>
      <w:r w:rsidRPr="005527D5" w:rsidR="00FA7289">
        <w:rPr>
          <w:bCs/>
        </w:rPr>
        <w:t xml:space="preserve"> </w:t>
      </w:r>
      <w:r w:rsidRPr="00FA7289" w:rsidR="00FA7289">
        <w:t xml:space="preserve">“PG&amp;E may cancel or suspend this Agreement for, but not limited to, the following situations: The failure or inability of the MHP Owner/Operator to complete the work and be ready to receive service from PG&amp;E within twelve (12) months of the execution of </w:t>
      </w:r>
      <w:r w:rsidRPr="00FA7289" w:rsidR="008747C4">
        <w:t>th</w:t>
      </w:r>
      <w:r w:rsidR="008747C4">
        <w:t>is</w:t>
      </w:r>
      <w:r w:rsidRPr="00FA7289" w:rsidR="008747C4">
        <w:t xml:space="preserve"> </w:t>
      </w:r>
      <w:r w:rsidR="008747C4">
        <w:t>A</w:t>
      </w:r>
      <w:r w:rsidRPr="00FA7289" w:rsidR="008747C4">
        <w:t>greement</w:t>
      </w:r>
      <w:r w:rsidR="000F3467">
        <w:t>; or</w:t>
      </w:r>
      <w:r w:rsidRPr="00FA7289" w:rsidR="00FA7289">
        <w:t>”</w:t>
      </w:r>
      <w:r w:rsidR="003448FF">
        <w:t xml:space="preserve">.  They argue that </w:t>
      </w:r>
      <w:r w:rsidR="00262BC4">
        <w:t>S</w:t>
      </w:r>
      <w:r w:rsidR="003448FF">
        <w:t>ection</w:t>
      </w:r>
      <w:r w:rsidR="00262BC4">
        <w:t xml:space="preserve"> 9.</w:t>
      </w:r>
      <w:r w:rsidR="00BA05CD">
        <w:t>1.1.3.</w:t>
      </w:r>
      <w:r w:rsidRPr="00FA7289" w:rsidR="00FA7289">
        <w:t xml:space="preserve"> should be deleted because it will take many years to repopulate the MHP</w:t>
      </w:r>
      <w:r w:rsidR="00FA7289">
        <w:t>.</w:t>
      </w:r>
      <w:r>
        <w:rPr>
          <w:rStyle w:val="FootnoteReference"/>
        </w:rPr>
        <w:footnoteReference w:id="41"/>
      </w:r>
      <w:r w:rsidR="00FA7289">
        <w:t xml:space="preserve">   </w:t>
      </w:r>
    </w:p>
    <w:p w:rsidR="00186D4B" w:rsidP="00A00C68" w:rsidRDefault="00186D4B" w14:paraId="2D9F7768" w14:textId="77777777"/>
    <w:p w:rsidR="00227993" w:rsidP="00A00C68" w:rsidRDefault="00FA7289" w14:paraId="2CB8129D" w14:textId="40F7A984">
      <w:r w:rsidRPr="00FA7289">
        <w:t xml:space="preserve">PG&amp;E agrees with the MHP owners that </w:t>
      </w:r>
      <w:r w:rsidRPr="00703BEB" w:rsidR="00703BEB">
        <w:rPr>
          <w:bCs/>
        </w:rPr>
        <w:t>beyond-the-meter</w:t>
      </w:r>
      <w:r w:rsidR="00D85F29">
        <w:t xml:space="preserve"> </w:t>
      </w:r>
      <w:r w:rsidRPr="00FA7289">
        <w:t xml:space="preserve">services may not be ready within 12 months of the execution of the Butte County </w:t>
      </w:r>
      <w:r w:rsidRPr="006265D5" w:rsidR="001D5BB2">
        <w:rPr>
          <w:bCs/>
          <w:iCs/>
        </w:rPr>
        <w:t xml:space="preserve">Mobilehome Park Rebuild Program </w:t>
      </w:r>
      <w:r w:rsidR="00607AB9">
        <w:t>A</w:t>
      </w:r>
      <w:r w:rsidRPr="00FA7289">
        <w:t>greement.</w:t>
      </w:r>
      <w:r w:rsidR="001D5BB2">
        <w:rPr>
          <w:bCs/>
          <w:iCs/>
        </w:rPr>
        <w:t xml:space="preserve">  </w:t>
      </w:r>
      <w:r w:rsidRPr="00FA7289">
        <w:t xml:space="preserve">PG&amp;E </w:t>
      </w:r>
      <w:r w:rsidR="00ED6C6E">
        <w:t xml:space="preserve">indicated that it </w:t>
      </w:r>
      <w:r w:rsidRPr="00FA7289" w:rsidR="00D66BDA">
        <w:t>would</w:t>
      </w:r>
      <w:r w:rsidRPr="00FA7289">
        <w:t xml:space="preserve"> submit a supplemental Advice Letter </w:t>
      </w:r>
      <w:r w:rsidR="00395C0E">
        <w:t xml:space="preserve">to 4116-G/5581-E </w:t>
      </w:r>
      <w:r w:rsidRPr="00FA7289">
        <w:t xml:space="preserve">to remove section </w:t>
      </w:r>
      <w:bookmarkStart w:name="_Hlk49174652" w:id="33"/>
      <w:r w:rsidRPr="00FA7289">
        <w:t>9.1.1.3 which currently provides: “The failure or inability of the MHP Owner/Operator to complete the work and be ready to receive service from PG&amp;E within twelve (12) months of the execution of this Agreement;”</w:t>
      </w:r>
      <w:bookmarkEnd w:id="33"/>
      <w:r w:rsidR="006A5134">
        <w:rPr>
          <w:rStyle w:val="FootnoteReference"/>
        </w:rPr>
        <w:footnoteReference w:id="42"/>
      </w:r>
      <w:r w:rsidR="00DD3B25">
        <w:t xml:space="preserve">  </w:t>
      </w:r>
    </w:p>
    <w:p w:rsidR="00B56901" w:rsidP="00A00C68" w:rsidRDefault="00B56901" w14:paraId="17D14B8F" w14:textId="77777777"/>
    <w:p w:rsidR="00B56901" w:rsidP="0094273D" w:rsidRDefault="00B56901" w14:paraId="36A2328C" w14:textId="3794CE09">
      <w:pPr>
        <w:pStyle w:val="Heading2"/>
        <w:numPr>
          <w:ilvl w:val="0"/>
          <w:numId w:val="0"/>
        </w:numPr>
      </w:pPr>
      <w:r w:rsidRPr="00DE3F0F">
        <w:t>Section</w:t>
      </w:r>
      <w:r>
        <w:t>s</w:t>
      </w:r>
      <w:r w:rsidRPr="00DE3F0F">
        <w:t xml:space="preserve"> of the MHP Rebuild Program Agreement on </w:t>
      </w:r>
      <w:r w:rsidR="009B1D13">
        <w:t>Duration of</w:t>
      </w:r>
      <w:r w:rsidR="00FA1D25">
        <w:t xml:space="preserve"> the </w:t>
      </w:r>
      <w:r w:rsidR="00AC1C24">
        <w:t>Rebuild Program</w:t>
      </w:r>
    </w:p>
    <w:p w:rsidR="00132F8B" w:rsidP="003E60C7" w:rsidRDefault="00FA7289" w14:paraId="3F99D093" w14:textId="0C5D21FB">
      <w:pPr>
        <w:rPr>
          <w:bCs/>
          <w:iCs/>
        </w:rPr>
      </w:pPr>
      <w:r w:rsidRPr="00F716FB">
        <w:t>These protestants also suggest that PG&amp;E should revise section 10.6 of the agreement</w:t>
      </w:r>
      <w:r w:rsidRPr="00F716FB" w:rsidR="00574E66">
        <w:t>.</w:t>
      </w:r>
      <w:r w:rsidRPr="00F716FB" w:rsidR="00574E66">
        <w:rPr>
          <w:rStyle w:val="FootnoteReference"/>
        </w:rPr>
        <w:footnoteReference w:id="43"/>
      </w:r>
      <w:r w:rsidRPr="00F716FB" w:rsidR="00574E66">
        <w:t xml:space="preserve">  </w:t>
      </w:r>
      <w:r w:rsidRPr="00F716FB" w:rsidR="008633ED">
        <w:t>Although this</w:t>
      </w:r>
      <w:r w:rsidRPr="00F716FB" w:rsidR="00574E66">
        <w:t xml:space="preserve"> section of the agreement specifies the condition</w:t>
      </w:r>
      <w:r w:rsidRPr="00F716FB" w:rsidR="00837EA1">
        <w:t>s under</w:t>
      </w:r>
      <w:r w:rsidRPr="00F716FB" w:rsidR="00574E66">
        <w:t xml:space="preserve"> which MHP Owner</w:t>
      </w:r>
      <w:r w:rsidRPr="00F716FB" w:rsidR="00A72CCF">
        <w:t xml:space="preserve"> and </w:t>
      </w:r>
      <w:r w:rsidRPr="00F716FB" w:rsidR="00574E66">
        <w:t xml:space="preserve">Operator may </w:t>
      </w:r>
      <w:r w:rsidRPr="00F716FB" w:rsidR="003A7AF8">
        <w:t>be reimbursed for</w:t>
      </w:r>
      <w:r w:rsidRPr="00F716FB">
        <w:t xml:space="preserve"> </w:t>
      </w:r>
      <w:r w:rsidRPr="00F716FB" w:rsidR="00703BEB">
        <w:rPr>
          <w:bCs/>
        </w:rPr>
        <w:t>beyond-the-meter</w:t>
      </w:r>
      <w:r w:rsidRPr="00F716FB">
        <w:t xml:space="preserve"> work</w:t>
      </w:r>
      <w:r w:rsidRPr="00F716FB" w:rsidR="008633ED">
        <w:t>, th</w:t>
      </w:r>
      <w:r w:rsidRPr="00F716FB" w:rsidR="00F32A0A">
        <w:t>e protestants ask that PG&amp;E</w:t>
      </w:r>
      <w:r w:rsidRPr="00F716FB" w:rsidR="00F32A0A">
        <w:rPr>
          <w:bCs/>
          <w:iCs/>
        </w:rPr>
        <w:t xml:space="preserve"> </w:t>
      </w:r>
      <w:r w:rsidRPr="00F716FB" w:rsidR="00EA4A26">
        <w:rPr>
          <w:bCs/>
          <w:iCs/>
        </w:rPr>
        <w:t xml:space="preserve">to </w:t>
      </w:r>
      <w:r w:rsidRPr="00F716FB" w:rsidR="00F32A0A">
        <w:rPr>
          <w:bCs/>
          <w:iCs/>
        </w:rPr>
        <w:t xml:space="preserve">formally acknowledge that the </w:t>
      </w:r>
      <w:r w:rsidRPr="00F716FB" w:rsidR="00AF303C">
        <w:rPr>
          <w:bCs/>
          <w:iCs/>
        </w:rPr>
        <w:lastRenderedPageBreak/>
        <w:t>Rebuild Program</w:t>
      </w:r>
      <w:r w:rsidRPr="00F716FB" w:rsidR="00F32A0A">
        <w:rPr>
          <w:bCs/>
          <w:iCs/>
        </w:rPr>
        <w:t xml:space="preserve"> </w:t>
      </w:r>
      <w:r w:rsidRPr="00F716FB" w:rsidR="00FB683F">
        <w:rPr>
          <w:bCs/>
          <w:iCs/>
        </w:rPr>
        <w:t>will</w:t>
      </w:r>
      <w:r w:rsidRPr="00F716FB" w:rsidR="00F32A0A">
        <w:rPr>
          <w:bCs/>
          <w:iCs/>
        </w:rPr>
        <w:t xml:space="preserve"> be an active program for a decade or more while the MHPs in Butte County are repopulated.</w:t>
      </w:r>
      <w:r w:rsidRPr="00F716FB" w:rsidR="00F32A0A">
        <w:rPr>
          <w:bCs/>
          <w:iCs/>
          <w:vertAlign w:val="superscript"/>
        </w:rPr>
        <w:footnoteReference w:id="44"/>
      </w:r>
      <w:r w:rsidRPr="00F716FB" w:rsidR="00F32A0A">
        <w:rPr>
          <w:bCs/>
          <w:iCs/>
        </w:rPr>
        <w:t xml:space="preserve">  </w:t>
      </w:r>
    </w:p>
    <w:p w:rsidR="00132F8B" w:rsidP="003E60C7" w:rsidRDefault="00132F8B" w14:paraId="74768770" w14:textId="77777777">
      <w:pPr>
        <w:rPr>
          <w:bCs/>
          <w:iCs/>
        </w:rPr>
      </w:pPr>
    </w:p>
    <w:p w:rsidR="00227993" w:rsidP="003E60C7" w:rsidRDefault="00960D2B" w14:paraId="2FB4AD89" w14:textId="0987010B">
      <w:pPr>
        <w:rPr>
          <w:bCs/>
          <w:iCs/>
        </w:rPr>
      </w:pPr>
      <w:r w:rsidRPr="005E7EC7">
        <w:rPr>
          <w:bCs/>
          <w:iCs/>
        </w:rPr>
        <w:t xml:space="preserve">PG&amp;E </w:t>
      </w:r>
      <w:r w:rsidR="00B33DE5">
        <w:rPr>
          <w:bCs/>
          <w:iCs/>
        </w:rPr>
        <w:t>proposed in AL 4116-G/5581-E that t</w:t>
      </w:r>
      <w:r w:rsidRPr="00B33DE5" w:rsidR="00B33DE5">
        <w:rPr>
          <w:bCs/>
          <w:iCs/>
        </w:rPr>
        <w:t xml:space="preserve">he only </w:t>
      </w:r>
      <w:r w:rsidRPr="00703BEB" w:rsidR="00703BEB">
        <w:rPr>
          <w:bCs/>
          <w:iCs/>
        </w:rPr>
        <w:t>beyond-the-meter</w:t>
      </w:r>
      <w:r w:rsidRPr="00B33DE5" w:rsidR="00B33DE5">
        <w:rPr>
          <w:bCs/>
          <w:iCs/>
        </w:rPr>
        <w:t xml:space="preserve"> equipment </w:t>
      </w:r>
      <w:r w:rsidR="00A93D86">
        <w:rPr>
          <w:bCs/>
          <w:iCs/>
        </w:rPr>
        <w:t xml:space="preserve">to be </w:t>
      </w:r>
      <w:r w:rsidRPr="00B33DE5" w:rsidR="00B33DE5">
        <w:rPr>
          <w:bCs/>
          <w:iCs/>
        </w:rPr>
        <w:t>covered by</w:t>
      </w:r>
      <w:r w:rsidR="001D2537">
        <w:rPr>
          <w:bCs/>
          <w:iCs/>
        </w:rPr>
        <w:t xml:space="preserve"> the</w:t>
      </w:r>
      <w:r w:rsidRPr="00B33DE5" w:rsidR="00B33DE5">
        <w:rPr>
          <w:bCs/>
          <w:iCs/>
        </w:rPr>
        <w:t xml:space="preserve"> </w:t>
      </w:r>
      <w:r w:rsidRPr="00AF303C" w:rsidR="00AF303C">
        <w:rPr>
          <w:bCs/>
          <w:iCs/>
        </w:rPr>
        <w:t>Rebuild Program</w:t>
      </w:r>
      <w:r w:rsidRPr="00B33DE5" w:rsidR="00B33DE5">
        <w:rPr>
          <w:bCs/>
          <w:iCs/>
        </w:rPr>
        <w:t xml:space="preserve"> </w:t>
      </w:r>
      <w:r w:rsidR="001D2537">
        <w:rPr>
          <w:bCs/>
          <w:iCs/>
        </w:rPr>
        <w:t>would be</w:t>
      </w:r>
      <w:r w:rsidRPr="00B33DE5" w:rsidR="00B33DE5">
        <w:rPr>
          <w:bCs/>
          <w:iCs/>
        </w:rPr>
        <w:t xml:space="preserve"> the electric pedestal</w:t>
      </w:r>
      <w:r w:rsidR="001B60DC">
        <w:rPr>
          <w:bCs/>
          <w:iCs/>
        </w:rPr>
        <w:t xml:space="preserve"> and/or gas meter</w:t>
      </w:r>
      <w:r w:rsidRPr="00B33DE5" w:rsidR="00B33DE5">
        <w:rPr>
          <w:bCs/>
          <w:iCs/>
        </w:rPr>
        <w:t xml:space="preserve">.  </w:t>
      </w:r>
      <w:r w:rsidR="00B33DE5">
        <w:rPr>
          <w:bCs/>
          <w:iCs/>
        </w:rPr>
        <w:t xml:space="preserve">They also </w:t>
      </w:r>
      <w:r w:rsidRPr="00960D2B">
        <w:rPr>
          <w:bCs/>
          <w:iCs/>
        </w:rPr>
        <w:t xml:space="preserve">indicated in </w:t>
      </w:r>
      <w:r w:rsidR="001D2537">
        <w:rPr>
          <w:bCs/>
          <w:iCs/>
        </w:rPr>
        <w:t>their</w:t>
      </w:r>
      <w:r w:rsidRPr="00960D2B" w:rsidR="001D2537">
        <w:rPr>
          <w:bCs/>
          <w:iCs/>
        </w:rPr>
        <w:t xml:space="preserve"> </w:t>
      </w:r>
      <w:r w:rsidRPr="00960D2B">
        <w:rPr>
          <w:bCs/>
          <w:iCs/>
        </w:rPr>
        <w:t xml:space="preserve">reply that </w:t>
      </w:r>
      <w:r w:rsidR="009E3D5D">
        <w:rPr>
          <w:bCs/>
          <w:iCs/>
        </w:rPr>
        <w:t>“</w:t>
      </w:r>
      <w:r w:rsidRPr="00960D2B">
        <w:rPr>
          <w:bCs/>
          <w:iCs/>
        </w:rPr>
        <w:t>connection from the electric pedestals and/or gas meters to the mobile homes are not covered under this program as most mobile home spaces do not currently have mobile homes available to receive service.</w:t>
      </w:r>
      <w:r w:rsidR="009B76B3">
        <w:rPr>
          <w:bCs/>
          <w:iCs/>
        </w:rPr>
        <w:t>”</w:t>
      </w:r>
      <w:r w:rsidR="009B76B3">
        <w:rPr>
          <w:rStyle w:val="FootnoteReference"/>
          <w:bCs/>
          <w:iCs/>
        </w:rPr>
        <w:footnoteReference w:id="45"/>
      </w:r>
      <w:r w:rsidR="008633ED">
        <w:rPr>
          <w:bCs/>
          <w:iCs/>
        </w:rPr>
        <w:t xml:space="preserve">  </w:t>
      </w:r>
      <w:r w:rsidR="00874380">
        <w:rPr>
          <w:bCs/>
          <w:iCs/>
        </w:rPr>
        <w:t>Hence</w:t>
      </w:r>
      <w:r w:rsidR="003745DA">
        <w:rPr>
          <w:bCs/>
          <w:iCs/>
        </w:rPr>
        <w:t>, g</w:t>
      </w:r>
      <w:r w:rsidRPr="00AB0626" w:rsidR="00AB0626">
        <w:rPr>
          <w:bCs/>
          <w:iCs/>
        </w:rPr>
        <w:t xml:space="preserve">iven the nearly complete absence of </w:t>
      </w:r>
      <w:r w:rsidRPr="00703BEB" w:rsidR="00703BEB">
        <w:rPr>
          <w:bCs/>
          <w:iCs/>
        </w:rPr>
        <w:t>beyond-the-meter</w:t>
      </w:r>
      <w:r w:rsidRPr="00AB0626" w:rsidR="00AB0626">
        <w:rPr>
          <w:bCs/>
          <w:iCs/>
        </w:rPr>
        <w:t xml:space="preserve"> work in the </w:t>
      </w:r>
      <w:r w:rsidRPr="00AF303C" w:rsidR="00AF303C">
        <w:rPr>
          <w:bCs/>
          <w:iCs/>
        </w:rPr>
        <w:t>Rebuild Program</w:t>
      </w:r>
      <w:r w:rsidRPr="00AB0626" w:rsidR="00AB0626">
        <w:rPr>
          <w:bCs/>
          <w:iCs/>
        </w:rPr>
        <w:t xml:space="preserve">, PG&amp;E asserts </w:t>
      </w:r>
      <w:r w:rsidR="00874380">
        <w:rPr>
          <w:bCs/>
          <w:iCs/>
        </w:rPr>
        <w:t>that "</w:t>
      </w:r>
      <w:r w:rsidRPr="00AB0626" w:rsidR="00AB0626">
        <w:rPr>
          <w:bCs/>
          <w:iCs/>
        </w:rPr>
        <w:t xml:space="preserve">the Butte County MHP Rebuild Program would not need to wait for the </w:t>
      </w:r>
      <w:r w:rsidR="00874380">
        <w:rPr>
          <w:bCs/>
          <w:iCs/>
        </w:rPr>
        <w:t>mobilehome parks</w:t>
      </w:r>
      <w:r w:rsidRPr="00AB0626" w:rsidR="00AB0626">
        <w:rPr>
          <w:bCs/>
          <w:iCs/>
        </w:rPr>
        <w:t xml:space="preserve"> to be repopulated. PG&amp;E believes that given this scope, the Butte County Mobilehome Park Rebuild Program will be completed in 3 years and no further extension is warranted.</w:t>
      </w:r>
      <w:r w:rsidR="00874380">
        <w:rPr>
          <w:bCs/>
          <w:iCs/>
        </w:rPr>
        <w:t>"</w:t>
      </w:r>
      <w:r w:rsidRPr="00AB0626" w:rsidR="00AB0626">
        <w:rPr>
          <w:bCs/>
          <w:iCs/>
          <w:vertAlign w:val="superscript"/>
        </w:rPr>
        <w:footnoteReference w:id="46"/>
      </w:r>
      <w:r w:rsidRPr="00AB0626" w:rsidR="00AB0626">
        <w:rPr>
          <w:bCs/>
          <w:iCs/>
        </w:rPr>
        <w:t xml:space="preserve">  </w:t>
      </w:r>
    </w:p>
    <w:p w:rsidR="005A7353" w:rsidP="003E60C7" w:rsidRDefault="005A7353" w14:paraId="295E5105" w14:textId="1F4C0D2D"/>
    <w:p w:rsidR="006265D5" w:rsidP="00CC64D3" w:rsidRDefault="006265D5" w14:paraId="43A22EDF" w14:textId="1B3FC828">
      <w:pPr>
        <w:pStyle w:val="Heading2"/>
        <w:numPr>
          <w:ilvl w:val="0"/>
          <w:numId w:val="0"/>
        </w:numPr>
      </w:pPr>
      <w:r w:rsidRPr="006265D5">
        <w:t xml:space="preserve">Section of the </w:t>
      </w:r>
      <w:r w:rsidRPr="00835803" w:rsidR="00835803">
        <w:rPr>
          <w:bCs/>
        </w:rPr>
        <w:t>Mobilehome</w:t>
      </w:r>
      <w:r w:rsidRPr="00835803" w:rsidDel="00835803" w:rsidR="00835803">
        <w:t xml:space="preserve"> </w:t>
      </w:r>
      <w:r w:rsidR="00A134F5">
        <w:t>Park</w:t>
      </w:r>
      <w:r w:rsidRPr="006265D5">
        <w:t xml:space="preserve"> Rebuild Program Agreement on Indemnification Clause</w:t>
      </w:r>
    </w:p>
    <w:p w:rsidRPr="00912601" w:rsidR="00025C6D" w:rsidP="003E60C7" w:rsidRDefault="002E7CE5" w14:paraId="030A34A3" w14:textId="78EE731B">
      <w:r>
        <w:t>Several</w:t>
      </w:r>
      <w:r w:rsidRPr="00960D2B">
        <w:t xml:space="preserve"> </w:t>
      </w:r>
      <w:r w:rsidRPr="00960D2B" w:rsidR="00960D2B">
        <w:t>protestants also</w:t>
      </w:r>
      <w:r w:rsidR="00960D2B">
        <w:t xml:space="preserve"> </w:t>
      </w:r>
      <w:r w:rsidR="00A44EF8">
        <w:t xml:space="preserve">request </w:t>
      </w:r>
      <w:bookmarkStart w:name="_Hlk49183267" w:id="35"/>
      <w:r w:rsidR="009E591C">
        <w:t xml:space="preserve">that </w:t>
      </w:r>
      <w:r w:rsidRPr="00A44EF8" w:rsidR="00A44EF8">
        <w:t xml:space="preserve">Section 12 of the </w:t>
      </w:r>
      <w:r w:rsidR="00A134F5">
        <w:t xml:space="preserve">Butte County </w:t>
      </w:r>
      <w:r w:rsidRPr="00835803" w:rsidR="00835803">
        <w:rPr>
          <w:bCs/>
        </w:rPr>
        <w:t>Mobilehome</w:t>
      </w:r>
      <w:r w:rsidR="00A134F5">
        <w:rPr>
          <w:bCs/>
        </w:rPr>
        <w:t xml:space="preserve"> Park</w:t>
      </w:r>
      <w:r w:rsidRPr="0AEE5C04" w:rsidR="00A44EF8">
        <w:t xml:space="preserve"> Rebuild Program Agreement</w:t>
      </w:r>
      <w:r w:rsidRPr="00FA0D57" w:rsidR="00A44EF8">
        <w:t xml:space="preserve"> </w:t>
      </w:r>
      <w:r w:rsidRPr="00A44EF8" w:rsidR="00A44EF8">
        <w:t xml:space="preserve">be revised to have a more balanced </w:t>
      </w:r>
      <w:r w:rsidR="00D61C83">
        <w:t>i</w:t>
      </w:r>
      <w:r w:rsidRPr="00A44EF8" w:rsidR="00A44EF8">
        <w:t>ndemnification clau</w:t>
      </w:r>
      <w:bookmarkEnd w:id="35"/>
      <w:r w:rsidRPr="00A44EF8" w:rsidR="00A44EF8">
        <w:t>se.</w:t>
      </w:r>
      <w:r w:rsidR="0090281A">
        <w:rPr>
          <w:rStyle w:val="FootnoteReference"/>
        </w:rPr>
        <w:footnoteReference w:id="47"/>
      </w:r>
      <w:r w:rsidR="00A44EF8">
        <w:t xml:space="preserve">  </w:t>
      </w:r>
      <w:r w:rsidR="00B95630">
        <w:t>T</w:t>
      </w:r>
      <w:r w:rsidRPr="00B95630" w:rsidR="00B95630">
        <w:t xml:space="preserve">he park </w:t>
      </w:r>
      <w:r w:rsidRPr="00B95630" w:rsidDel="00734F38" w:rsidR="00B95630">
        <w:t>owner</w:t>
      </w:r>
      <w:r w:rsidDel="00734F38" w:rsidR="00B95630">
        <w:t>s</w:t>
      </w:r>
      <w:r w:rsidR="00734F38">
        <w:t xml:space="preserve"> and operators</w:t>
      </w:r>
      <w:r w:rsidR="00B95630">
        <w:t xml:space="preserve"> interpret this clause as requiring them </w:t>
      </w:r>
      <w:r w:rsidR="007208B7">
        <w:t>“</w:t>
      </w:r>
      <w:r w:rsidR="00B95630">
        <w:t xml:space="preserve">to </w:t>
      </w:r>
      <w:r w:rsidRPr="00B95630" w:rsidR="00B95630">
        <w:t xml:space="preserve">indemnify, defend and hold </w:t>
      </w:r>
      <w:r w:rsidRPr="00881018" w:rsidR="00881018">
        <w:t xml:space="preserve">harmless </w:t>
      </w:r>
      <w:r w:rsidR="00FC4E96">
        <w:t>PG&amp;E</w:t>
      </w:r>
      <w:r w:rsidR="00CD0017">
        <w:t xml:space="preserve"> et</w:t>
      </w:r>
      <w:r w:rsidR="00745BA8">
        <w:t xml:space="preserve"> </w:t>
      </w:r>
      <w:r w:rsidR="00CD0017">
        <w:t>al.,</w:t>
      </w:r>
      <w:r w:rsidR="00FC4E96">
        <w:t xml:space="preserve"> </w:t>
      </w:r>
      <w:r w:rsidRPr="00B95630" w:rsidR="00B95630">
        <w:t>if the park owner performance of the Agreement in any respect contributes to the injury/death of an involved person, property damage, or law/regulation violation “</w:t>
      </w:r>
      <w:r w:rsidRPr="00F96FAB" w:rsidR="00B95630">
        <w:rPr>
          <w:b/>
          <w:bCs/>
        </w:rPr>
        <w:t>regardless of any strict liability or negligence of PG&amp;E</w:t>
      </w:r>
      <w:r w:rsidR="00025C6D">
        <w:t>”</w:t>
      </w:r>
      <w:r w:rsidR="00A04675">
        <w:t>…</w:t>
      </w:r>
      <w:r w:rsidR="00F20B9D">
        <w:t>”</w:t>
      </w:r>
      <w:r w:rsidRPr="005527D5" w:rsidR="00B95630">
        <w:t>.</w:t>
      </w:r>
      <w:r w:rsidR="001503F7">
        <w:rPr>
          <w:rStyle w:val="FootnoteReference"/>
        </w:rPr>
        <w:footnoteReference w:id="48"/>
      </w:r>
      <w:r w:rsidRPr="005527D5" w:rsidR="00B95630">
        <w:t xml:space="preserve">  </w:t>
      </w:r>
      <w:r w:rsidRPr="005527D5" w:rsidR="00025C6D">
        <w:t xml:space="preserve">These protestants indicated that this clause appears to be an extremely one-sided </w:t>
      </w:r>
      <w:r w:rsidR="0037533D">
        <w:t>i</w:t>
      </w:r>
      <w:r w:rsidRPr="00912601" w:rsidR="00025C6D">
        <w:t xml:space="preserve">ndemnification intended solely for the benefit of PG&amp;E. </w:t>
      </w:r>
    </w:p>
    <w:p w:rsidR="00025C6D" w:rsidP="003E60C7" w:rsidRDefault="00025C6D" w14:paraId="31914E90" w14:textId="77777777">
      <w:pPr>
        <w:rPr>
          <w:b/>
          <w:bCs/>
        </w:rPr>
      </w:pPr>
    </w:p>
    <w:p w:rsidR="00960D2B" w:rsidP="003E60C7" w:rsidRDefault="00A44EF8" w14:paraId="63836E1A" w14:textId="49C57BAE">
      <w:r w:rsidRPr="00A44EF8">
        <w:lastRenderedPageBreak/>
        <w:t xml:space="preserve">PG&amp;E </w:t>
      </w:r>
      <w:r w:rsidR="00E717D2">
        <w:t xml:space="preserve">indicated that it </w:t>
      </w:r>
      <w:r w:rsidR="003221D6">
        <w:t>“</w:t>
      </w:r>
      <w:r w:rsidRPr="00A44EF8">
        <w:t xml:space="preserve">incorporated many of the provisions from the </w:t>
      </w:r>
      <w:r w:rsidR="005B2A96">
        <w:t>Mobilehome Park</w:t>
      </w:r>
      <w:r w:rsidRPr="00A44EF8" w:rsidR="005B2A96">
        <w:t xml:space="preserve"> </w:t>
      </w:r>
      <w:r w:rsidRPr="00A44EF8">
        <w:t xml:space="preserve">Utility Upgrade Program Agreement (Form 79-1165) into the Butte County </w:t>
      </w:r>
      <w:r w:rsidR="001952A7">
        <w:t>Mobilehome Park</w:t>
      </w:r>
      <w:r w:rsidRPr="00A44EF8" w:rsidR="001952A7">
        <w:t xml:space="preserve"> </w:t>
      </w:r>
      <w:r w:rsidRPr="00A44EF8">
        <w:t xml:space="preserve">Rebuild Program Agreement (Form 79-1201), including the </w:t>
      </w:r>
      <w:bookmarkStart w:name="_Hlk55917622" w:id="36"/>
      <w:r w:rsidRPr="00A44EF8">
        <w:t>indemnification clause</w:t>
      </w:r>
      <w:bookmarkEnd w:id="36"/>
      <w:r w:rsidRPr="00A44EF8">
        <w:t xml:space="preserve">. </w:t>
      </w:r>
      <w:r w:rsidR="00B416D2">
        <w:t>T</w:t>
      </w:r>
      <w:r w:rsidR="00F84CCB">
        <w:t>he</w:t>
      </w:r>
      <w:r w:rsidRPr="00A44EF8" w:rsidR="00F84CCB">
        <w:t xml:space="preserve"> </w:t>
      </w:r>
      <w:r w:rsidRPr="00A44EF8">
        <w:t>indemnification clause in the Butte County MHP Program agreement is essentially identical</w:t>
      </w:r>
      <w:r w:rsidR="0079097B">
        <w:rPr>
          <w:rStyle w:val="FootnoteReference"/>
        </w:rPr>
        <w:footnoteReference w:id="49"/>
      </w:r>
      <w:r w:rsidRPr="00A44EF8">
        <w:t xml:space="preserve"> to the clause already approved by the </w:t>
      </w:r>
      <w:r w:rsidR="007A66E7">
        <w:t>Commission</w:t>
      </w:r>
      <w:r w:rsidRPr="00A44EF8" w:rsidR="007A66E7">
        <w:t xml:space="preserve"> </w:t>
      </w:r>
      <w:r w:rsidRPr="00A44EF8">
        <w:t>for</w:t>
      </w:r>
      <w:r w:rsidR="00CD5A64">
        <w:t xml:space="preserve"> </w:t>
      </w:r>
      <w:r w:rsidR="00F91E84">
        <w:t>reconstruction projects</w:t>
      </w:r>
      <w:r w:rsidR="0089274D">
        <w:t xml:space="preserve"> </w:t>
      </w:r>
      <w:r w:rsidRPr="00A44EF8">
        <w:t>and should not be changed</w:t>
      </w:r>
      <w:r w:rsidR="0090281A">
        <w:t>.</w:t>
      </w:r>
      <w:r w:rsidR="00DF6547">
        <w:t>”</w:t>
      </w:r>
      <w:r w:rsidR="0090281A">
        <w:rPr>
          <w:rStyle w:val="FootnoteReference"/>
        </w:rPr>
        <w:footnoteReference w:id="50"/>
      </w:r>
    </w:p>
    <w:p w:rsidR="00EE7BDB" w:rsidP="003E60C7" w:rsidRDefault="00EE7BDB" w14:paraId="450A3027" w14:textId="77777777"/>
    <w:p w:rsidR="00CF17DE" w:rsidRDefault="00CF17DE" w14:paraId="23E10AE5" w14:textId="77777777">
      <w:pPr>
        <w:pStyle w:val="Heading1"/>
      </w:pPr>
      <w:r>
        <w:t>Discussion</w:t>
      </w:r>
    </w:p>
    <w:p w:rsidR="00FB396C" w:rsidRDefault="00FB396C" w14:paraId="48E4C1FA" w14:textId="24D1FB1A">
      <w:r w:rsidRPr="00FB396C">
        <w:t xml:space="preserve">PG&amp;E submitted this Advice Letter to request approval of the </w:t>
      </w:r>
      <w:r w:rsidRPr="00FB396C">
        <w:rPr>
          <w:bCs/>
        </w:rPr>
        <w:t xml:space="preserve">Butte County </w:t>
      </w:r>
      <w:r w:rsidRPr="00835803" w:rsidR="00835803">
        <w:rPr>
          <w:bCs/>
        </w:rPr>
        <w:t>Mobilehome</w:t>
      </w:r>
      <w:r w:rsidRPr="00835803" w:rsidDel="00835803" w:rsidR="00835803">
        <w:rPr>
          <w:bCs/>
        </w:rPr>
        <w:t xml:space="preserve"> </w:t>
      </w:r>
      <w:r w:rsidR="0061125A">
        <w:rPr>
          <w:bCs/>
        </w:rPr>
        <w:t>Park</w:t>
      </w:r>
      <w:r w:rsidRPr="00FB396C">
        <w:rPr>
          <w:bCs/>
        </w:rPr>
        <w:t xml:space="preserve"> Rebuild Program </w:t>
      </w:r>
      <w:r w:rsidR="00202D1C">
        <w:t>A</w:t>
      </w:r>
      <w:r w:rsidRPr="00FB396C" w:rsidR="00202D1C">
        <w:t>greement</w:t>
      </w:r>
      <w:r w:rsidRPr="00FB396C">
        <w:t xml:space="preserve"> </w:t>
      </w:r>
      <w:r w:rsidRPr="00FB396C">
        <w:rPr>
          <w:bCs/>
        </w:rPr>
        <w:t>(Form 79-1201)</w:t>
      </w:r>
      <w:r w:rsidRPr="00FB396C">
        <w:t xml:space="preserve">.  The </w:t>
      </w:r>
      <w:r w:rsidR="00F86910">
        <w:t>CPUC</w:t>
      </w:r>
      <w:r w:rsidRPr="00FB396C">
        <w:t xml:space="preserve"> </w:t>
      </w:r>
      <w:r w:rsidR="00EC06F8">
        <w:t xml:space="preserve">has </w:t>
      </w:r>
      <w:r w:rsidRPr="00FB396C">
        <w:t>evaluate</w:t>
      </w:r>
      <w:r w:rsidR="00EC06F8">
        <w:t>d</w:t>
      </w:r>
      <w:r w:rsidRPr="00FB396C">
        <w:t xml:space="preserve"> the applicability of th</w:t>
      </w:r>
      <w:r w:rsidR="00AD3235">
        <w:t>e</w:t>
      </w:r>
      <w:r w:rsidR="00BD7116">
        <w:t xml:space="preserve"> </w:t>
      </w:r>
      <w:r w:rsidR="00AD3235">
        <w:t>MHP Pilot</w:t>
      </w:r>
      <w:r w:rsidRPr="00FB396C">
        <w:t xml:space="preserve"> agreement to </w:t>
      </w:r>
      <w:r w:rsidR="00AF303C">
        <w:t xml:space="preserve">the </w:t>
      </w:r>
      <w:r w:rsidRPr="00AF303C" w:rsidR="00AF303C">
        <w:rPr>
          <w:bCs/>
          <w:iCs/>
        </w:rPr>
        <w:t>Rebuild Program</w:t>
      </w:r>
      <w:r w:rsidR="00A915AF">
        <w:t xml:space="preserve">, </w:t>
      </w:r>
      <w:r w:rsidRPr="008A7D87" w:rsidR="008A7D87">
        <w:t>align</w:t>
      </w:r>
      <w:r w:rsidR="003E5A6B">
        <w:t xml:space="preserve">ment </w:t>
      </w:r>
      <w:r w:rsidRPr="008A7D87" w:rsidR="008A7D87">
        <w:t xml:space="preserve">with </w:t>
      </w:r>
      <w:r w:rsidR="003E5A6B">
        <w:t>MHP Decision (D</w:t>
      </w:r>
      <w:r w:rsidR="00D74087">
        <w:t>.</w:t>
      </w:r>
      <w:r w:rsidR="003E5A6B">
        <w:t xml:space="preserve">) </w:t>
      </w:r>
      <w:r w:rsidRPr="008A7D87" w:rsidR="008A7D87">
        <w:t>20-04-004</w:t>
      </w:r>
      <w:r w:rsidR="009E7900">
        <w:t xml:space="preserve"> and Phase II of R</w:t>
      </w:r>
      <w:r w:rsidR="00CF4678">
        <w:t>.18-04-018</w:t>
      </w:r>
      <w:r w:rsidR="008A7D87">
        <w:t xml:space="preserve">, </w:t>
      </w:r>
      <w:r w:rsidR="003E5A6B">
        <w:t>r</w:t>
      </w:r>
      <w:r w:rsidRPr="008C6EFE" w:rsidR="003E5A6B">
        <w:t xml:space="preserve">eporting </w:t>
      </w:r>
      <w:r w:rsidR="003E5A6B">
        <w:t>r</w:t>
      </w:r>
      <w:r w:rsidRPr="008C6EFE" w:rsidR="003E5A6B">
        <w:t xml:space="preserve">equirements on </w:t>
      </w:r>
      <w:r w:rsidRPr="00AF303C" w:rsidR="00AF303C">
        <w:rPr>
          <w:bCs/>
          <w:iCs/>
        </w:rPr>
        <w:t>Rebuild Program</w:t>
      </w:r>
      <w:r w:rsidRPr="008C6EFE" w:rsidR="003E5A6B">
        <w:t xml:space="preserve"> </w:t>
      </w:r>
      <w:r w:rsidR="003E5A6B">
        <w:t>e</w:t>
      </w:r>
      <w:r w:rsidRPr="008C6EFE" w:rsidR="003E5A6B">
        <w:t>xpenses</w:t>
      </w:r>
      <w:r w:rsidR="003E5A6B">
        <w:t>,</w:t>
      </w:r>
      <w:r w:rsidRPr="003E5A6B" w:rsidR="003E5A6B">
        <w:t xml:space="preserve"> </w:t>
      </w:r>
      <w:r w:rsidR="00D80668">
        <w:t>e</w:t>
      </w:r>
      <w:r w:rsidRPr="008C6EFE" w:rsidR="00D80668">
        <w:t xml:space="preserve">xtending </w:t>
      </w:r>
      <w:r w:rsidR="00C84710">
        <w:t>to-the-meter</w:t>
      </w:r>
      <w:r w:rsidRPr="008C6EFE" w:rsidR="00D80668">
        <w:t xml:space="preserve"> eligibility to </w:t>
      </w:r>
      <w:r w:rsidR="00D80668">
        <w:t>c</w:t>
      </w:r>
      <w:r w:rsidRPr="008C6EFE" w:rsidR="00D80668">
        <w:t xml:space="preserve">ommon </w:t>
      </w:r>
      <w:r w:rsidR="00D80668">
        <w:t>u</w:t>
      </w:r>
      <w:r w:rsidRPr="008C6EFE" w:rsidR="00D80668">
        <w:t xml:space="preserve">se </w:t>
      </w:r>
      <w:r w:rsidR="00D80668">
        <w:t>b</w:t>
      </w:r>
      <w:r w:rsidRPr="008C6EFE" w:rsidR="00D80668">
        <w:t xml:space="preserve">uildings but not </w:t>
      </w:r>
      <w:r w:rsidR="00D80668">
        <w:t>r</w:t>
      </w:r>
      <w:r w:rsidRPr="008C6EFE" w:rsidR="00D80668">
        <w:t xml:space="preserve">ecreational </w:t>
      </w:r>
      <w:r w:rsidR="00D80668">
        <w:t>v</w:t>
      </w:r>
      <w:r w:rsidRPr="008C6EFE" w:rsidR="00D80668">
        <w:t xml:space="preserve">ehicle (RV) </w:t>
      </w:r>
      <w:r w:rsidR="00D80668">
        <w:t>s</w:t>
      </w:r>
      <w:r w:rsidRPr="008C6EFE" w:rsidR="00D80668">
        <w:t xml:space="preserve">paces, </w:t>
      </w:r>
      <w:r w:rsidR="001F2F72">
        <w:t>c</w:t>
      </w:r>
      <w:r w:rsidRPr="008C6EFE" w:rsidR="001F2F72">
        <w:t xml:space="preserve">oordination with </w:t>
      </w:r>
      <w:r w:rsidRPr="00204B6A" w:rsidR="00204B6A">
        <w:t>primary jurisdiction (</w:t>
      </w:r>
      <w:r w:rsidRPr="00204B6A" w:rsidR="00204B6A">
        <w:rPr>
          <w:i/>
          <w:iCs/>
        </w:rPr>
        <w:t>e.g.</w:t>
      </w:r>
      <w:r w:rsidRPr="00204B6A" w:rsidR="00204B6A">
        <w:t xml:space="preserve"> city or county) and </w:t>
      </w:r>
      <w:r w:rsidR="001F2F72">
        <w:t>n</w:t>
      </w:r>
      <w:r w:rsidRPr="008C6EFE" w:rsidR="001F2F72">
        <w:t>on-</w:t>
      </w:r>
      <w:r w:rsidR="001F2F72">
        <w:t>e</w:t>
      </w:r>
      <w:r w:rsidRPr="008C6EFE" w:rsidR="001F2F72">
        <w:t xml:space="preserve">nergy </w:t>
      </w:r>
      <w:r w:rsidR="001F2F72">
        <w:t>s</w:t>
      </w:r>
      <w:r w:rsidRPr="008C6EFE" w:rsidR="001F2F72">
        <w:t xml:space="preserve">ervice </w:t>
      </w:r>
      <w:r w:rsidR="001F2F72">
        <w:t>p</w:t>
      </w:r>
      <w:r w:rsidRPr="008C6EFE" w:rsidR="001F2F72">
        <w:t>roviders,</w:t>
      </w:r>
      <w:r w:rsidRPr="001F2F72" w:rsidR="001F2F72">
        <w:t xml:space="preserve"> </w:t>
      </w:r>
      <w:r w:rsidR="004C1F70">
        <w:rPr>
          <w:bCs/>
        </w:rPr>
        <w:t>t</w:t>
      </w:r>
      <w:r w:rsidRPr="008C6EFE" w:rsidR="004C1F70">
        <w:rPr>
          <w:bCs/>
        </w:rPr>
        <w:t xml:space="preserve">he </w:t>
      </w:r>
      <w:r w:rsidR="004C1F70">
        <w:rPr>
          <w:bCs/>
        </w:rPr>
        <w:t>e</w:t>
      </w:r>
      <w:r w:rsidRPr="008C6EFE" w:rsidR="004C1F70">
        <w:rPr>
          <w:bCs/>
        </w:rPr>
        <w:t xml:space="preserve">ffect of </w:t>
      </w:r>
      <w:r w:rsidR="004C1F70">
        <w:rPr>
          <w:bCs/>
        </w:rPr>
        <w:t>p</w:t>
      </w:r>
      <w:r w:rsidRPr="008C6EFE" w:rsidR="004C1F70">
        <w:rPr>
          <w:bCs/>
        </w:rPr>
        <w:t xml:space="preserve">rioritization of the MHPs in </w:t>
      </w:r>
      <w:r w:rsidR="0011215A">
        <w:rPr>
          <w:bCs/>
        </w:rPr>
        <w:t xml:space="preserve">the </w:t>
      </w:r>
      <w:r w:rsidRPr="001914DF" w:rsidR="001914DF">
        <w:rPr>
          <w:bCs/>
          <w:iCs/>
        </w:rPr>
        <w:t>Rebuild Program</w:t>
      </w:r>
      <w:r w:rsidRPr="008C6EFE" w:rsidR="004C1F70">
        <w:rPr>
          <w:bCs/>
        </w:rPr>
        <w:t xml:space="preserve"> on the MHP</w:t>
      </w:r>
      <w:r w:rsidR="004C1F70">
        <w:rPr>
          <w:bCs/>
        </w:rPr>
        <w:t xml:space="preserve"> </w:t>
      </w:r>
      <w:r w:rsidRPr="008C6EFE" w:rsidR="004C1F70">
        <w:rPr>
          <w:bCs/>
        </w:rPr>
        <w:t>Conversion Program</w:t>
      </w:r>
      <w:r w:rsidR="004C1F70">
        <w:rPr>
          <w:bCs/>
        </w:rPr>
        <w:t xml:space="preserve">, </w:t>
      </w:r>
      <w:r w:rsidR="00E61C2A">
        <w:rPr>
          <w:bCs/>
        </w:rPr>
        <w:t>i</w:t>
      </w:r>
      <w:r w:rsidRPr="008C6EFE" w:rsidR="00E61C2A">
        <w:rPr>
          <w:bCs/>
        </w:rPr>
        <w:t xml:space="preserve">nsurance </w:t>
      </w:r>
      <w:r w:rsidR="00E61C2A">
        <w:rPr>
          <w:bCs/>
        </w:rPr>
        <w:t>c</w:t>
      </w:r>
      <w:r w:rsidRPr="008C6EFE" w:rsidR="00E61C2A">
        <w:rPr>
          <w:bCs/>
        </w:rPr>
        <w:t xml:space="preserve">overage of MHP owned </w:t>
      </w:r>
      <w:r w:rsidR="00E61C2A">
        <w:rPr>
          <w:bCs/>
        </w:rPr>
        <w:t>u</w:t>
      </w:r>
      <w:r w:rsidRPr="008C6EFE" w:rsidR="00E61C2A">
        <w:rPr>
          <w:bCs/>
        </w:rPr>
        <w:t xml:space="preserve">tility </w:t>
      </w:r>
      <w:r w:rsidR="00E61C2A">
        <w:rPr>
          <w:bCs/>
        </w:rPr>
        <w:t>s</w:t>
      </w:r>
      <w:r w:rsidRPr="008C6EFE" w:rsidR="00E61C2A">
        <w:rPr>
          <w:bCs/>
        </w:rPr>
        <w:t>ystems</w:t>
      </w:r>
      <w:r w:rsidR="00E61C2A">
        <w:rPr>
          <w:bCs/>
        </w:rPr>
        <w:t xml:space="preserve">, </w:t>
      </w:r>
      <w:r w:rsidR="000B6BF0">
        <w:rPr>
          <w:bCs/>
        </w:rPr>
        <w:t>m</w:t>
      </w:r>
      <w:r w:rsidRPr="000B6BF0" w:rsidR="000B6BF0">
        <w:rPr>
          <w:bCs/>
        </w:rPr>
        <w:t xml:space="preserve">odification of the Butte County </w:t>
      </w:r>
      <w:r w:rsidRPr="00835803" w:rsidR="00835803">
        <w:rPr>
          <w:bCs/>
        </w:rPr>
        <w:t>Mobilehome</w:t>
      </w:r>
      <w:r w:rsidR="00A134F5">
        <w:rPr>
          <w:bCs/>
        </w:rPr>
        <w:t xml:space="preserve"> Park</w:t>
      </w:r>
      <w:r w:rsidRPr="000B6BF0" w:rsidR="000B6BF0">
        <w:rPr>
          <w:bCs/>
        </w:rPr>
        <w:t xml:space="preserve"> Rebuild Program </w:t>
      </w:r>
      <w:r w:rsidR="00514391">
        <w:rPr>
          <w:bCs/>
        </w:rPr>
        <w:t>A</w:t>
      </w:r>
      <w:r w:rsidRPr="000B6BF0" w:rsidR="00514391">
        <w:rPr>
          <w:bCs/>
        </w:rPr>
        <w:t>greement</w:t>
      </w:r>
      <w:r w:rsidRPr="000B6BF0" w:rsidR="000B6BF0">
        <w:rPr>
          <w:bCs/>
        </w:rPr>
        <w:t xml:space="preserve"> due to </w:t>
      </w:r>
      <w:r w:rsidR="000B6BF0">
        <w:rPr>
          <w:bCs/>
        </w:rPr>
        <w:t>p</w:t>
      </w:r>
      <w:r w:rsidRPr="000B6BF0" w:rsidR="000B6BF0">
        <w:rPr>
          <w:bCs/>
        </w:rPr>
        <w:t xml:space="preserve">rotested </w:t>
      </w:r>
      <w:r w:rsidR="000B6BF0">
        <w:rPr>
          <w:bCs/>
        </w:rPr>
        <w:t>i</w:t>
      </w:r>
      <w:r w:rsidRPr="000B6BF0" w:rsidR="000B6BF0">
        <w:rPr>
          <w:bCs/>
        </w:rPr>
        <w:t xml:space="preserve">ssues </w:t>
      </w:r>
      <w:r w:rsidR="000B6BF0">
        <w:rPr>
          <w:bCs/>
        </w:rPr>
        <w:t>r</w:t>
      </w:r>
      <w:r w:rsidRPr="000B6BF0" w:rsidR="000B6BF0">
        <w:rPr>
          <w:bCs/>
        </w:rPr>
        <w:t>aised in this Advice Letter</w:t>
      </w:r>
      <w:r w:rsidR="00D73299">
        <w:rPr>
          <w:bCs/>
        </w:rPr>
        <w:t xml:space="preserve">, and </w:t>
      </w:r>
      <w:r w:rsidR="00D73299">
        <w:rPr>
          <w:iCs/>
        </w:rPr>
        <w:t>p</w:t>
      </w:r>
      <w:r w:rsidRPr="008C6EFE" w:rsidR="00D73299">
        <w:rPr>
          <w:iCs/>
        </w:rPr>
        <w:t xml:space="preserve">olicy </w:t>
      </w:r>
      <w:r w:rsidR="00D73299">
        <w:rPr>
          <w:iCs/>
        </w:rPr>
        <w:t>p</w:t>
      </w:r>
      <w:r w:rsidRPr="008C6EFE" w:rsidR="00D73299">
        <w:rPr>
          <w:iCs/>
        </w:rPr>
        <w:t xml:space="preserve">recedent for </w:t>
      </w:r>
      <w:r w:rsidR="00D73299">
        <w:rPr>
          <w:iCs/>
        </w:rPr>
        <w:t>s</w:t>
      </w:r>
      <w:r w:rsidRPr="008C6EFE" w:rsidR="00D73299">
        <w:rPr>
          <w:iCs/>
        </w:rPr>
        <w:t xml:space="preserve">imilar </w:t>
      </w:r>
      <w:r w:rsidR="00D73299">
        <w:rPr>
          <w:iCs/>
        </w:rPr>
        <w:t>d</w:t>
      </w:r>
      <w:r w:rsidRPr="008C6EFE" w:rsidR="00D73299">
        <w:rPr>
          <w:iCs/>
        </w:rPr>
        <w:t>isasters</w:t>
      </w:r>
      <w:r w:rsidR="00C16E74">
        <w:t>.</w:t>
      </w:r>
      <w:r w:rsidR="0043594A">
        <w:t xml:space="preserve">  All applicable </w:t>
      </w:r>
      <w:r w:rsidR="006F11EE">
        <w:t>changes</w:t>
      </w:r>
      <w:r w:rsidR="008D6AFD">
        <w:t xml:space="preserve"> </w:t>
      </w:r>
      <w:r w:rsidR="00237FF0">
        <w:t xml:space="preserve">ordered in this resolution </w:t>
      </w:r>
      <w:r w:rsidR="008D6AFD">
        <w:t xml:space="preserve">should be reflected </w:t>
      </w:r>
      <w:r w:rsidR="00660597">
        <w:t xml:space="preserve">in </w:t>
      </w:r>
      <w:r w:rsidR="00237FF0">
        <w:t xml:space="preserve">a revised </w:t>
      </w:r>
      <w:r w:rsidRPr="00FB396C" w:rsidR="00660597">
        <w:rPr>
          <w:bCs/>
        </w:rPr>
        <w:t xml:space="preserve">Butte County </w:t>
      </w:r>
      <w:r w:rsidRPr="00835803" w:rsidR="00835803">
        <w:rPr>
          <w:bCs/>
        </w:rPr>
        <w:t>Mobilehome</w:t>
      </w:r>
      <w:r w:rsidR="00A134F5">
        <w:rPr>
          <w:bCs/>
        </w:rPr>
        <w:t xml:space="preserve"> Park</w:t>
      </w:r>
      <w:r w:rsidRPr="00FB396C" w:rsidR="00660597">
        <w:rPr>
          <w:bCs/>
        </w:rPr>
        <w:t xml:space="preserve"> Rebuild Program </w:t>
      </w:r>
      <w:r w:rsidR="00320988">
        <w:t>A</w:t>
      </w:r>
      <w:r w:rsidRPr="00FB396C" w:rsidR="00320988">
        <w:t>greement</w:t>
      </w:r>
      <w:r w:rsidR="00AC0C00">
        <w:t xml:space="preserve"> submitted via advice letter</w:t>
      </w:r>
      <w:r w:rsidR="00660597">
        <w:t>.</w:t>
      </w:r>
      <w:r w:rsidR="0043594A">
        <w:t xml:space="preserve"> </w:t>
      </w:r>
    </w:p>
    <w:p w:rsidRPr="002364EC" w:rsidR="00BE10C1" w:rsidP="009A2015" w:rsidRDefault="00BE10C1" w14:paraId="28E990AB" w14:textId="77777777"/>
    <w:p w:rsidRPr="00FB396C" w:rsidR="00FB396C" w:rsidP="0091473A" w:rsidRDefault="00FB396C" w14:paraId="13DB41BF" w14:textId="0BBBC935">
      <w:pPr>
        <w:pStyle w:val="Heading2"/>
        <w:numPr>
          <w:ilvl w:val="0"/>
          <w:numId w:val="0"/>
        </w:numPr>
      </w:pPr>
      <w:r w:rsidRPr="0AEE5C04">
        <w:t xml:space="preserve">Applicability of </w:t>
      </w:r>
      <w:r w:rsidRPr="0AEE5C04" w:rsidR="00270643">
        <w:t xml:space="preserve">the MHP Pilot </w:t>
      </w:r>
      <w:r w:rsidRPr="0AEE5C04">
        <w:t xml:space="preserve">agreement to </w:t>
      </w:r>
      <w:r w:rsidRPr="0011215A" w:rsidR="0011215A">
        <w:rPr>
          <w:bCs/>
          <w:iCs/>
        </w:rPr>
        <w:t>Rebuild Program</w:t>
      </w:r>
    </w:p>
    <w:p w:rsidRPr="006C6A00" w:rsidR="006C6A00" w:rsidP="009A2015" w:rsidRDefault="00FB396C" w14:paraId="58899110" w14:textId="09CD1E55">
      <w:r>
        <w:t>Th</w:t>
      </w:r>
      <w:r w:rsidR="00C338DD">
        <w:t>e proposed</w:t>
      </w:r>
      <w:r>
        <w:t xml:space="preserve"> agreement is a contract between PG&amp;E and the MHPs </w:t>
      </w:r>
      <w:r w:rsidR="00CC07CD">
        <w:t xml:space="preserve">whose utility infrastructure </w:t>
      </w:r>
      <w:r>
        <w:t>w</w:t>
      </w:r>
      <w:r w:rsidR="00CC07CD">
        <w:t>as</w:t>
      </w:r>
      <w:r>
        <w:t xml:space="preserve"> </w:t>
      </w:r>
      <w:r w:rsidR="00EE64E8">
        <w:t xml:space="preserve">damaged or </w:t>
      </w:r>
      <w:r>
        <w:t xml:space="preserve">destroyed by the Camp Fire and were provided electric and/or gas service by PG&amp;E prior to the fire.  The </w:t>
      </w:r>
      <w:r w:rsidR="00C84710">
        <w:t>to-the-meter</w:t>
      </w:r>
      <w:r w:rsidR="005D348A">
        <w:t xml:space="preserve"> </w:t>
      </w:r>
      <w:r>
        <w:t xml:space="preserve">scopes of work of the MHP Pilot and </w:t>
      </w:r>
      <w:r w:rsidR="00E62E71">
        <w:t xml:space="preserve">the </w:t>
      </w:r>
      <w:r w:rsidRPr="0011215A" w:rsidR="0011215A">
        <w:rPr>
          <w:bCs/>
          <w:iCs/>
        </w:rPr>
        <w:t>Rebuild Program</w:t>
      </w:r>
      <w:r w:rsidR="005F2A8B">
        <w:t xml:space="preserve"> </w:t>
      </w:r>
      <w:r w:rsidR="006C6A00">
        <w:t xml:space="preserve">are </w:t>
      </w:r>
      <w:r w:rsidR="00970D0E">
        <w:t xml:space="preserve">sufficiently </w:t>
      </w:r>
      <w:r w:rsidR="006C6A00">
        <w:t>similar</w:t>
      </w:r>
      <w:r w:rsidR="00970D0E">
        <w:t xml:space="preserve"> to allow </w:t>
      </w:r>
      <w:r w:rsidR="004636C8">
        <w:t xml:space="preserve">the </w:t>
      </w:r>
      <w:r w:rsidRPr="00A65AC8" w:rsidR="00A65AC8">
        <w:t xml:space="preserve">MHP Pilot agreement </w:t>
      </w:r>
      <w:r w:rsidR="00970D0E">
        <w:t xml:space="preserve">to provide an applicable basis for one used in the </w:t>
      </w:r>
      <w:r w:rsidRPr="0011215A" w:rsidR="0011215A">
        <w:rPr>
          <w:bCs/>
          <w:iCs/>
        </w:rPr>
        <w:t>Rebuild Program</w:t>
      </w:r>
      <w:r w:rsidR="006C6A00">
        <w:t xml:space="preserve">.  Program differences </w:t>
      </w:r>
      <w:r w:rsidR="00D95D6B">
        <w:t>between</w:t>
      </w:r>
      <w:r w:rsidR="00810663">
        <w:t xml:space="preserve"> </w:t>
      </w:r>
      <w:r w:rsidR="00E15237">
        <w:t xml:space="preserve">the MHP Pilot and the </w:t>
      </w:r>
      <w:r w:rsidRPr="0011215A" w:rsidR="0011215A">
        <w:rPr>
          <w:bCs/>
          <w:iCs/>
        </w:rPr>
        <w:t>Rebuild Program</w:t>
      </w:r>
      <w:r w:rsidR="00E15237">
        <w:t xml:space="preserve"> </w:t>
      </w:r>
      <w:r w:rsidR="006C6A00">
        <w:t xml:space="preserve">are outlined in the Background section above.  Therefore, </w:t>
      </w:r>
      <w:r w:rsidR="008A5945">
        <w:t>t</w:t>
      </w:r>
      <w:r w:rsidR="006C6A00">
        <w:t xml:space="preserve">he </w:t>
      </w:r>
      <w:r w:rsidR="006C6A00">
        <w:lastRenderedPageBreak/>
        <w:t xml:space="preserve">Butte County </w:t>
      </w:r>
      <w:r w:rsidRPr="00835803" w:rsidR="00835803">
        <w:rPr>
          <w:bCs/>
        </w:rPr>
        <w:t>Mobilehome</w:t>
      </w:r>
      <w:r w:rsidRPr="00835803" w:rsidDel="00835803" w:rsidR="00835803">
        <w:t xml:space="preserve"> </w:t>
      </w:r>
      <w:r w:rsidR="00A134F5">
        <w:t>Park</w:t>
      </w:r>
      <w:r w:rsidR="006C6A00">
        <w:t xml:space="preserve"> Rebuild Program </w:t>
      </w:r>
      <w:r w:rsidR="00320988">
        <w:t>Agreement</w:t>
      </w:r>
      <w:r w:rsidR="006C6A00">
        <w:t xml:space="preserve"> </w:t>
      </w:r>
      <w:r w:rsidR="00CF3E0C">
        <w:t>may</w:t>
      </w:r>
      <w:r w:rsidR="008B77C2">
        <w:t xml:space="preserve"> be</w:t>
      </w:r>
      <w:r w:rsidR="002B7775">
        <w:t xml:space="preserve"> </w:t>
      </w:r>
      <w:r w:rsidR="006C6A00">
        <w:t>model</w:t>
      </w:r>
      <w:r w:rsidR="008B77C2">
        <w:t>ed</w:t>
      </w:r>
      <w:r w:rsidR="006C6A00">
        <w:t xml:space="preserve"> after the</w:t>
      </w:r>
      <w:r w:rsidR="00535875">
        <w:t xml:space="preserve"> Pilot</w:t>
      </w:r>
      <w:r w:rsidR="00A80CBF">
        <w:t xml:space="preserve"> program's</w:t>
      </w:r>
      <w:r w:rsidR="006C6A00">
        <w:t xml:space="preserve"> </w:t>
      </w:r>
      <w:r w:rsidRPr="000068A2" w:rsidR="000068A2">
        <w:rPr>
          <w:bCs/>
        </w:rPr>
        <w:t>Mobilehome</w:t>
      </w:r>
      <w:r w:rsidRPr="000068A2" w:rsidDel="000068A2" w:rsidR="000068A2">
        <w:t xml:space="preserve"> </w:t>
      </w:r>
      <w:r w:rsidR="00A134F5">
        <w:t>Park</w:t>
      </w:r>
      <w:r w:rsidR="006C6A00">
        <w:t xml:space="preserve"> Utility Upgrade Program Agreement (Form 79-1165) but should be tailored to the specific needs of </w:t>
      </w:r>
      <w:r w:rsidR="0011215A">
        <w:t xml:space="preserve">the </w:t>
      </w:r>
      <w:r w:rsidRPr="0011215A" w:rsidR="0011215A">
        <w:rPr>
          <w:bCs/>
          <w:iCs/>
        </w:rPr>
        <w:t>Rebuild Program</w:t>
      </w:r>
      <w:r w:rsidR="00970D0E">
        <w:t xml:space="preserve"> and aligned with </w:t>
      </w:r>
      <w:r w:rsidR="0091490D">
        <w:t xml:space="preserve">CPUC </w:t>
      </w:r>
      <w:r w:rsidR="00970D0E">
        <w:t>action taken since the publication of this form</w:t>
      </w:r>
      <w:r w:rsidR="006C6A00">
        <w:t xml:space="preserve">.   Modifications to the Butte County </w:t>
      </w:r>
      <w:r w:rsidRPr="000068A2" w:rsidR="000068A2">
        <w:rPr>
          <w:bCs/>
        </w:rPr>
        <w:t>Mobilehome</w:t>
      </w:r>
      <w:r w:rsidR="00A134F5">
        <w:rPr>
          <w:bCs/>
        </w:rPr>
        <w:t xml:space="preserve"> Park</w:t>
      </w:r>
      <w:r w:rsidR="006C6A00">
        <w:t xml:space="preserve"> Rebuild Program </w:t>
      </w:r>
      <w:r w:rsidR="00320988">
        <w:t>Agreement</w:t>
      </w:r>
      <w:r w:rsidR="006C6A00">
        <w:t xml:space="preserve"> will be discussed below.</w:t>
      </w:r>
      <w:bookmarkStart w:name="_Hlk49158616" w:id="37"/>
      <w:bookmarkEnd w:id="37"/>
    </w:p>
    <w:p w:rsidRPr="006C6A00" w:rsidR="006C6A00" w:rsidP="006C6A00" w:rsidRDefault="006C6A00" w14:paraId="308EFB7D" w14:textId="77777777">
      <w:pPr>
        <w:spacing w:line="276" w:lineRule="auto"/>
      </w:pPr>
    </w:p>
    <w:p w:rsidR="00557A23" w:rsidP="00557A23" w:rsidRDefault="00557A23" w14:paraId="090E0A66" w14:textId="7360F0FB">
      <w:pPr>
        <w:pStyle w:val="Heading2"/>
        <w:numPr>
          <w:ilvl w:val="0"/>
          <w:numId w:val="0"/>
        </w:numPr>
      </w:pPr>
      <w:r>
        <w:t>Alignment</w:t>
      </w:r>
      <w:r w:rsidRPr="005F2A8B">
        <w:t xml:space="preserve"> with the MHP </w:t>
      </w:r>
      <w:r>
        <w:t>Decision</w:t>
      </w:r>
      <w:r w:rsidRPr="005F2A8B">
        <w:t xml:space="preserve"> (</w:t>
      </w:r>
      <w:r>
        <w:t>D.</w:t>
      </w:r>
      <w:r w:rsidRPr="005F2A8B">
        <w:t>)</w:t>
      </w:r>
      <w:r>
        <w:t xml:space="preserve"> 20-04-004</w:t>
      </w:r>
      <w:r w:rsidR="00357EB6">
        <w:t xml:space="preserve"> and Phase II of R.18-04-018</w:t>
      </w:r>
    </w:p>
    <w:p w:rsidRPr="00C14C37" w:rsidR="00557A23" w:rsidP="00557A23" w:rsidRDefault="00557A23" w14:paraId="7AB1ADF6" w14:textId="3C72BB02">
      <w:pPr>
        <w:rPr>
          <w:bCs/>
        </w:rPr>
      </w:pPr>
      <w:r>
        <w:rPr>
          <w:bCs/>
        </w:rPr>
        <w:t xml:space="preserve">Decision (D.) 20-04-004 concludes that MHP Pilot was successful in achieving its intended safety improvements and established a ten-year </w:t>
      </w:r>
      <w:r w:rsidR="0061125A">
        <w:rPr>
          <w:bCs/>
        </w:rPr>
        <w:t xml:space="preserve">MHP </w:t>
      </w:r>
      <w:r>
        <w:rPr>
          <w:bCs/>
        </w:rPr>
        <w:t xml:space="preserve"> Conversion Program.  </w:t>
      </w:r>
      <w:r w:rsidR="002E1D00">
        <w:rPr>
          <w:bCs/>
        </w:rPr>
        <w:t>In addition to this conclusion</w:t>
      </w:r>
      <w:r>
        <w:rPr>
          <w:bCs/>
        </w:rPr>
        <w:t>, it establishes program rules and reporting requirements in which</w:t>
      </w:r>
      <w:r w:rsidR="0011215A">
        <w:rPr>
          <w:bCs/>
        </w:rPr>
        <w:t xml:space="preserve"> the</w:t>
      </w:r>
      <w:r>
        <w:rPr>
          <w:bCs/>
        </w:rPr>
        <w:t xml:space="preserve"> </w:t>
      </w:r>
      <w:r w:rsidRPr="0011215A" w:rsidR="0011215A">
        <w:rPr>
          <w:bCs/>
          <w:iCs/>
        </w:rPr>
        <w:t>Rebuild Program</w:t>
      </w:r>
      <w:r>
        <w:rPr>
          <w:bCs/>
        </w:rPr>
        <w:t xml:space="preserve"> should align with the Decision.</w:t>
      </w:r>
    </w:p>
    <w:p w:rsidR="00FB0A08" w:rsidP="00557A23" w:rsidRDefault="00FB0A08" w14:paraId="207FDEF0" w14:textId="1AAF70C2">
      <w:pPr>
        <w:rPr>
          <w:bCs/>
        </w:rPr>
      </w:pPr>
    </w:p>
    <w:p w:rsidRPr="0094273D" w:rsidR="00445C7B" w:rsidP="00445C7B" w:rsidRDefault="00350279" w14:paraId="7F786AFC" w14:textId="187D1053">
      <w:pPr>
        <w:pStyle w:val="Heading3"/>
        <w:rPr>
          <w:b w:val="0"/>
          <w:bCs/>
          <w:i/>
          <w:iCs/>
        </w:rPr>
      </w:pPr>
      <w:r>
        <w:rPr>
          <w:b w:val="0"/>
          <w:bCs/>
          <w:i/>
          <w:iCs/>
        </w:rPr>
        <w:t xml:space="preserve">Mobilehome Park </w:t>
      </w:r>
      <w:r w:rsidRPr="0094273D" w:rsidR="00445C7B">
        <w:rPr>
          <w:b w:val="0"/>
          <w:bCs/>
          <w:i/>
          <w:iCs/>
        </w:rPr>
        <w:t>Rebuild Program Agreement</w:t>
      </w:r>
      <w:r w:rsidRPr="00A46009" w:rsidR="009D3598">
        <w:rPr>
          <w:b w:val="0"/>
          <w:bCs/>
          <w:i/>
          <w:iCs/>
        </w:rPr>
        <w:t xml:space="preserve"> align</w:t>
      </w:r>
      <w:r w:rsidRPr="0094273D" w:rsidR="00CC14FE">
        <w:rPr>
          <w:b w:val="0"/>
          <w:bCs/>
          <w:i/>
          <w:iCs/>
        </w:rPr>
        <w:t>ment</w:t>
      </w:r>
    </w:p>
    <w:p w:rsidRPr="002421CC" w:rsidR="00445C7B" w:rsidP="009A2015" w:rsidRDefault="00445C7B" w14:paraId="49AD4AC5" w14:textId="2DE49460">
      <w:pPr>
        <w:rPr>
          <w:bCs/>
        </w:rPr>
      </w:pPr>
      <w:r w:rsidRPr="002421CC">
        <w:rPr>
          <w:bCs/>
        </w:rPr>
        <w:t xml:space="preserve">PG&amp;E’s Butte County </w:t>
      </w:r>
      <w:r w:rsidRPr="000068A2" w:rsidR="000068A2">
        <w:rPr>
          <w:bCs/>
        </w:rPr>
        <w:t>Mobilehome</w:t>
      </w:r>
      <w:r w:rsidR="0061125A">
        <w:rPr>
          <w:bCs/>
        </w:rPr>
        <w:t xml:space="preserve"> Park</w:t>
      </w:r>
      <w:r w:rsidRPr="002421CC">
        <w:rPr>
          <w:bCs/>
        </w:rPr>
        <w:t xml:space="preserve"> Rebuild Program Agreement (Gas and Electric Sample Form 79-1201) is based on its </w:t>
      </w:r>
      <w:r w:rsidRPr="000068A2" w:rsidR="000068A2">
        <w:rPr>
          <w:bCs/>
        </w:rPr>
        <w:t>Mobilehome</w:t>
      </w:r>
      <w:r w:rsidR="0061125A">
        <w:rPr>
          <w:bCs/>
        </w:rPr>
        <w:t xml:space="preserve"> Park</w:t>
      </w:r>
      <w:r w:rsidRPr="002421CC">
        <w:rPr>
          <w:bCs/>
        </w:rPr>
        <w:t xml:space="preserve"> Utility Upgrade Program </w:t>
      </w:r>
      <w:r>
        <w:rPr>
          <w:bCs/>
        </w:rPr>
        <w:t>Agreement</w:t>
      </w:r>
      <w:r w:rsidRPr="002421CC">
        <w:rPr>
          <w:bCs/>
        </w:rPr>
        <w:t xml:space="preserve"> (Form 79-116</w:t>
      </w:r>
      <w:r>
        <w:rPr>
          <w:bCs/>
        </w:rPr>
        <w:t>5</w:t>
      </w:r>
      <w:r w:rsidRPr="002421CC">
        <w:rPr>
          <w:bCs/>
        </w:rPr>
        <w:t>).  D.20-04-004 requires the following revisions to Form 79-116</w:t>
      </w:r>
      <w:r>
        <w:rPr>
          <w:bCs/>
        </w:rPr>
        <w:t>5:</w:t>
      </w:r>
    </w:p>
    <w:p w:rsidRPr="002421CC" w:rsidR="00445C7B" w:rsidP="009A2015" w:rsidRDefault="00445C7B" w14:paraId="181A3FE9" w14:textId="77777777">
      <w:pPr>
        <w:numPr>
          <w:ilvl w:val="0"/>
          <w:numId w:val="20"/>
        </w:numPr>
        <w:spacing w:after="200"/>
        <w:contextualSpacing/>
        <w:rPr>
          <w:bCs/>
        </w:rPr>
      </w:pPr>
      <w:r>
        <w:rPr>
          <w:bCs/>
        </w:rPr>
        <w:t xml:space="preserve">PG&amp;E is responsible for proper </w:t>
      </w:r>
      <w:r w:rsidRPr="002421CC">
        <w:rPr>
          <w:bCs/>
        </w:rPr>
        <w:t>gas purging</w:t>
      </w:r>
      <w:r>
        <w:rPr>
          <w:bCs/>
        </w:rPr>
        <w:t xml:space="preserve"> of the legacy systems.</w:t>
      </w:r>
    </w:p>
    <w:p w:rsidRPr="002421CC" w:rsidR="00445C7B" w:rsidP="009A2015" w:rsidRDefault="00445C7B" w14:paraId="4212870A" w14:textId="77777777">
      <w:pPr>
        <w:numPr>
          <w:ilvl w:val="0"/>
          <w:numId w:val="20"/>
        </w:numPr>
        <w:spacing w:after="200"/>
        <w:contextualSpacing/>
        <w:rPr>
          <w:bCs/>
        </w:rPr>
      </w:pPr>
      <w:r>
        <w:rPr>
          <w:bCs/>
        </w:rPr>
        <w:t xml:space="preserve">The </w:t>
      </w:r>
      <w:r w:rsidRPr="002421CC">
        <w:rPr>
          <w:bCs/>
        </w:rPr>
        <w:t xml:space="preserve">MHP </w:t>
      </w:r>
      <w:r w:rsidRPr="00C40971">
        <w:rPr>
          <w:bCs/>
        </w:rPr>
        <w:t>owner</w:t>
      </w:r>
      <w:r>
        <w:rPr>
          <w:bCs/>
        </w:rPr>
        <w:t xml:space="preserve">s and operators are </w:t>
      </w:r>
      <w:r w:rsidRPr="00A526F4">
        <w:rPr>
          <w:bCs/>
        </w:rPr>
        <w:t>responsible</w:t>
      </w:r>
      <w:r>
        <w:rPr>
          <w:bCs/>
        </w:rPr>
        <w:t xml:space="preserve"> for</w:t>
      </w:r>
      <w:r w:rsidRPr="002421CC">
        <w:rPr>
          <w:bCs/>
        </w:rPr>
        <w:t xml:space="preserve"> obtain</w:t>
      </w:r>
      <w:r>
        <w:rPr>
          <w:bCs/>
        </w:rPr>
        <w:t>ing</w:t>
      </w:r>
      <w:r w:rsidRPr="002421CC">
        <w:rPr>
          <w:bCs/>
        </w:rPr>
        <w:t xml:space="preserve"> a permit for abandonment of the legacy system.</w:t>
      </w:r>
    </w:p>
    <w:p w:rsidRPr="002421CC" w:rsidR="00445C7B" w:rsidP="009A2015" w:rsidRDefault="00445C7B" w14:paraId="5BD369B7" w14:textId="42911591">
      <w:pPr>
        <w:numPr>
          <w:ilvl w:val="0"/>
          <w:numId w:val="20"/>
        </w:numPr>
        <w:spacing w:after="200"/>
        <w:contextualSpacing/>
        <w:rPr>
          <w:bCs/>
        </w:rPr>
      </w:pPr>
      <w:r w:rsidRPr="002421CC">
        <w:rPr>
          <w:bCs/>
        </w:rPr>
        <w:t>MHP owner</w:t>
      </w:r>
      <w:r>
        <w:rPr>
          <w:bCs/>
        </w:rPr>
        <w:t>s</w:t>
      </w:r>
      <w:r w:rsidRPr="002421CC">
        <w:rPr>
          <w:bCs/>
        </w:rPr>
        <w:t xml:space="preserve"> </w:t>
      </w:r>
      <w:r>
        <w:rPr>
          <w:bCs/>
        </w:rPr>
        <w:t>and operators are</w:t>
      </w:r>
      <w:r w:rsidRPr="002421CC">
        <w:rPr>
          <w:bCs/>
        </w:rPr>
        <w:t xml:space="preserve"> responsible for costs associated with the existing legacy systems</w:t>
      </w:r>
      <w:r>
        <w:rPr>
          <w:bCs/>
        </w:rPr>
        <w:t xml:space="preserve"> (</w:t>
      </w:r>
      <w:r w:rsidRPr="00502278">
        <w:rPr>
          <w:bCs/>
        </w:rPr>
        <w:t>MHP systems</w:t>
      </w:r>
      <w:r w:rsidR="003F1676">
        <w:rPr>
          <w:bCs/>
        </w:rPr>
        <w:t xml:space="preserve"> beyond the PG&amp;E</w:t>
      </w:r>
      <w:r w:rsidR="00C93C3A">
        <w:rPr>
          <w:bCs/>
        </w:rPr>
        <w:t xml:space="preserve"> master</w:t>
      </w:r>
      <w:r w:rsidR="003F1676">
        <w:rPr>
          <w:bCs/>
        </w:rPr>
        <w:t xml:space="preserve"> meter</w:t>
      </w:r>
      <w:r>
        <w:rPr>
          <w:bCs/>
        </w:rPr>
        <w:t>)</w:t>
      </w:r>
      <w:r w:rsidRPr="002421CC">
        <w:rPr>
          <w:bCs/>
        </w:rPr>
        <w:t>, including removal.</w:t>
      </w:r>
      <w:r>
        <w:rPr>
          <w:rStyle w:val="FootnoteReference"/>
          <w:bCs/>
        </w:rPr>
        <w:footnoteReference w:id="51"/>
      </w:r>
      <w:r w:rsidRPr="002421CC">
        <w:rPr>
          <w:bCs/>
        </w:rPr>
        <w:t xml:space="preserve">  </w:t>
      </w:r>
    </w:p>
    <w:p w:rsidRPr="002421CC" w:rsidR="00445C7B" w:rsidP="009A2015" w:rsidRDefault="00445C7B" w14:paraId="588B7E93" w14:textId="77777777">
      <w:pPr>
        <w:numPr>
          <w:ilvl w:val="0"/>
          <w:numId w:val="20"/>
        </w:numPr>
        <w:spacing w:after="200"/>
        <w:contextualSpacing/>
        <w:rPr>
          <w:bCs/>
        </w:rPr>
      </w:pPr>
      <w:r w:rsidRPr="002421CC">
        <w:rPr>
          <w:bCs/>
        </w:rPr>
        <w:t xml:space="preserve">MHP </w:t>
      </w:r>
      <w:r>
        <w:rPr>
          <w:bCs/>
        </w:rPr>
        <w:t>owners and operators</w:t>
      </w:r>
      <w:r w:rsidRPr="002421CC">
        <w:rPr>
          <w:bCs/>
        </w:rPr>
        <w:t xml:space="preserve"> are responsible for the removal of legacy above ground gas facilities, i.e., submeters and risers.</w:t>
      </w:r>
    </w:p>
    <w:p w:rsidRPr="002421CC" w:rsidR="00445C7B" w:rsidP="009A2015" w:rsidRDefault="00445C7B" w14:paraId="7A83B939" w14:textId="654FEAA3">
      <w:pPr>
        <w:numPr>
          <w:ilvl w:val="0"/>
          <w:numId w:val="20"/>
        </w:numPr>
        <w:spacing w:after="200"/>
        <w:contextualSpacing/>
        <w:rPr>
          <w:bCs/>
        </w:rPr>
      </w:pPr>
      <w:r w:rsidRPr="002421CC">
        <w:rPr>
          <w:bCs/>
        </w:rPr>
        <w:lastRenderedPageBreak/>
        <w:t xml:space="preserve">MHP </w:t>
      </w:r>
      <w:r w:rsidRPr="002421CC" w:rsidDel="00734F38">
        <w:rPr>
          <w:bCs/>
        </w:rPr>
        <w:t>owners</w:t>
      </w:r>
      <w:r>
        <w:rPr>
          <w:bCs/>
        </w:rPr>
        <w:t xml:space="preserve"> and operators</w:t>
      </w:r>
      <w:r w:rsidRPr="002421CC">
        <w:rPr>
          <w:bCs/>
        </w:rPr>
        <w:t xml:space="preserve"> are responsible for costs associated with environmental, cultural, and endangered species remediation or other resolutions.</w:t>
      </w:r>
      <w:r w:rsidRPr="00720ADE">
        <w:rPr>
          <w:bCs/>
          <w:vertAlign w:val="superscript"/>
        </w:rPr>
        <w:footnoteReference w:id="52"/>
      </w:r>
    </w:p>
    <w:p w:rsidRPr="002421CC" w:rsidR="00445C7B" w:rsidP="009A2015" w:rsidRDefault="00445C7B" w14:paraId="2A65A829" w14:textId="009B341C">
      <w:pPr>
        <w:numPr>
          <w:ilvl w:val="0"/>
          <w:numId w:val="20"/>
        </w:numPr>
        <w:spacing w:after="200"/>
        <w:contextualSpacing/>
        <w:rPr>
          <w:bCs/>
        </w:rPr>
      </w:pPr>
      <w:r w:rsidRPr="002421CC">
        <w:rPr>
          <w:bCs/>
        </w:rPr>
        <w:t>MHP owners</w:t>
      </w:r>
      <w:r>
        <w:rPr>
          <w:bCs/>
        </w:rPr>
        <w:t xml:space="preserve"> and </w:t>
      </w:r>
      <w:r w:rsidRPr="002421CC">
        <w:rPr>
          <w:bCs/>
        </w:rPr>
        <w:t xml:space="preserve">operators </w:t>
      </w:r>
      <w:r>
        <w:rPr>
          <w:bCs/>
        </w:rPr>
        <w:t>are responsible to</w:t>
      </w:r>
      <w:r w:rsidRPr="002421CC">
        <w:rPr>
          <w:bCs/>
        </w:rPr>
        <w:t xml:space="preserve"> disclose during the design phase of the project any potential issues (e.g., cultural, environmental, endangered species) or risk removal </w:t>
      </w:r>
      <w:r w:rsidR="003E49E8">
        <w:rPr>
          <w:bCs/>
        </w:rPr>
        <w:t>from</w:t>
      </w:r>
      <w:r w:rsidRPr="002421CC" w:rsidR="003E49E8">
        <w:rPr>
          <w:bCs/>
        </w:rPr>
        <w:t xml:space="preserve"> </w:t>
      </w:r>
      <w:r w:rsidRPr="002421CC">
        <w:rPr>
          <w:bCs/>
        </w:rPr>
        <w:t xml:space="preserve">the program. </w:t>
      </w:r>
    </w:p>
    <w:p w:rsidR="00445C7B" w:rsidP="00463B95" w:rsidRDefault="00445C7B" w14:paraId="4FCE80E8" w14:textId="3B9FDED1">
      <w:pPr>
        <w:numPr>
          <w:ilvl w:val="0"/>
          <w:numId w:val="20"/>
        </w:numPr>
        <w:spacing w:after="200"/>
        <w:contextualSpacing/>
        <w:rPr>
          <w:bCs/>
        </w:rPr>
      </w:pPr>
      <w:r w:rsidRPr="002421CC">
        <w:rPr>
          <w:bCs/>
        </w:rPr>
        <w:t xml:space="preserve">MHP </w:t>
      </w:r>
      <w:r>
        <w:rPr>
          <w:bCs/>
        </w:rPr>
        <w:t>owners and operators</w:t>
      </w:r>
      <w:r w:rsidRPr="002421CC">
        <w:rPr>
          <w:bCs/>
        </w:rPr>
        <w:t xml:space="preserve"> are responsible for </w:t>
      </w:r>
      <w:r w:rsidR="0040389D">
        <w:rPr>
          <w:bCs/>
        </w:rPr>
        <w:t xml:space="preserve">reasonable </w:t>
      </w:r>
      <w:r w:rsidR="008364BB">
        <w:rPr>
          <w:bCs/>
        </w:rPr>
        <w:t xml:space="preserve">beyond the master-meter </w:t>
      </w:r>
      <w:r w:rsidRPr="002421CC">
        <w:rPr>
          <w:bCs/>
        </w:rPr>
        <w:t xml:space="preserve">costs incurred </w:t>
      </w:r>
      <w:r w:rsidR="005310DD">
        <w:rPr>
          <w:bCs/>
        </w:rPr>
        <w:t xml:space="preserve">by PG&amp;E </w:t>
      </w:r>
      <w:r w:rsidRPr="002421CC">
        <w:rPr>
          <w:bCs/>
        </w:rPr>
        <w:t xml:space="preserve">prior to notification that an MHP owner </w:t>
      </w:r>
      <w:r w:rsidR="00EA46C8">
        <w:rPr>
          <w:bCs/>
        </w:rPr>
        <w:t xml:space="preserve">and </w:t>
      </w:r>
      <w:r w:rsidRPr="002421CC">
        <w:rPr>
          <w:bCs/>
        </w:rPr>
        <w:t>operator is canceling an MHP agreement.</w:t>
      </w:r>
    </w:p>
    <w:p w:rsidRPr="00463B95" w:rsidR="00463B95" w:rsidP="00463B95" w:rsidRDefault="00463B95" w14:paraId="0E455249" w14:textId="77777777">
      <w:pPr>
        <w:spacing w:after="200"/>
        <w:ind w:left="720"/>
        <w:contextualSpacing/>
        <w:rPr>
          <w:bCs/>
        </w:rPr>
      </w:pPr>
    </w:p>
    <w:p w:rsidR="00445C7B" w:rsidP="009A2015" w:rsidRDefault="00445C7B" w14:paraId="083086A9" w14:textId="711168AE">
      <w:pPr>
        <w:spacing w:after="200"/>
        <w:contextualSpacing/>
        <w:rPr>
          <w:bCs/>
        </w:rPr>
      </w:pPr>
      <w:r>
        <w:rPr>
          <w:bCs/>
        </w:rPr>
        <w:t xml:space="preserve">In order to honor the conclusions reached by the </w:t>
      </w:r>
      <w:r w:rsidR="001C2AF3">
        <w:rPr>
          <w:bCs/>
        </w:rPr>
        <w:t xml:space="preserve">CPUC </w:t>
      </w:r>
      <w:r>
        <w:rPr>
          <w:bCs/>
        </w:rPr>
        <w:t xml:space="preserve">in D.20-04-004, </w:t>
      </w:r>
      <w:r w:rsidR="00163F8C">
        <w:rPr>
          <w:bCs/>
        </w:rPr>
        <w:t xml:space="preserve">we </w:t>
      </w:r>
      <w:r w:rsidR="000415A9">
        <w:rPr>
          <w:bCs/>
        </w:rPr>
        <w:t xml:space="preserve">find </w:t>
      </w:r>
      <w:r>
        <w:rPr>
          <w:bCs/>
        </w:rPr>
        <w:t xml:space="preserve">that the above program revisions </w:t>
      </w:r>
      <w:r w:rsidRPr="002421CC">
        <w:rPr>
          <w:bCs/>
        </w:rPr>
        <w:t xml:space="preserve">should also apply to the Butte County </w:t>
      </w:r>
      <w:r w:rsidRPr="000068A2" w:rsidR="000068A2">
        <w:rPr>
          <w:bCs/>
        </w:rPr>
        <w:t>Mobilehome</w:t>
      </w:r>
      <w:r w:rsidR="0061125A">
        <w:rPr>
          <w:bCs/>
        </w:rPr>
        <w:t xml:space="preserve"> Park</w:t>
      </w:r>
      <w:r w:rsidRPr="002421CC">
        <w:rPr>
          <w:bCs/>
        </w:rPr>
        <w:t xml:space="preserve"> Rebuild Program Agreement</w:t>
      </w:r>
      <w:r w:rsidRPr="002421CC">
        <w:rPr>
          <w:bCs/>
          <w:vertAlign w:val="superscript"/>
        </w:rPr>
        <w:footnoteReference w:id="53"/>
      </w:r>
      <w:r>
        <w:rPr>
          <w:bCs/>
        </w:rPr>
        <w:t xml:space="preserve">  However, any revisions to the </w:t>
      </w:r>
      <w:r w:rsidR="000068A2">
        <w:rPr>
          <w:bCs/>
        </w:rPr>
        <w:t xml:space="preserve">Butte County </w:t>
      </w:r>
      <w:r w:rsidRPr="000068A2" w:rsidR="000068A2">
        <w:rPr>
          <w:bCs/>
        </w:rPr>
        <w:t>Mobilehome</w:t>
      </w:r>
      <w:r w:rsidR="0061125A">
        <w:rPr>
          <w:bCs/>
        </w:rPr>
        <w:t xml:space="preserve"> Park</w:t>
      </w:r>
      <w:r>
        <w:rPr>
          <w:bCs/>
        </w:rPr>
        <w:t xml:space="preserve"> Rebuild Program Agreement adopted in this resolution are not precedential for the MHP Conversion Program and will only apply to the </w:t>
      </w:r>
      <w:r w:rsidR="008007D2">
        <w:rPr>
          <w:bCs/>
        </w:rPr>
        <w:t>Rebuild Program</w:t>
      </w:r>
      <w:r>
        <w:rPr>
          <w:bCs/>
        </w:rPr>
        <w:t>.</w:t>
      </w:r>
    </w:p>
    <w:p w:rsidR="009206D5" w:rsidP="009A2015" w:rsidRDefault="009206D5" w14:paraId="16106728" w14:textId="5A9FFB42">
      <w:pPr>
        <w:spacing w:after="200"/>
        <w:contextualSpacing/>
        <w:rPr>
          <w:bCs/>
        </w:rPr>
      </w:pPr>
    </w:p>
    <w:p w:rsidR="00C260CD" w:rsidP="009A2015" w:rsidRDefault="00EB085D" w14:paraId="4DC5DAA6" w14:textId="03E69150">
      <w:pPr>
        <w:spacing w:after="200"/>
        <w:contextualSpacing/>
        <w:rPr>
          <w:bCs/>
        </w:rPr>
      </w:pPr>
      <w:r w:rsidRPr="00EB085D">
        <w:rPr>
          <w:bCs/>
        </w:rPr>
        <w:t>Currently, most converted</w:t>
      </w:r>
      <w:r>
        <w:rPr>
          <w:bCs/>
        </w:rPr>
        <w:t xml:space="preserve"> </w:t>
      </w:r>
      <w:r w:rsidRPr="00EB085D">
        <w:rPr>
          <w:bCs/>
        </w:rPr>
        <w:t>MHPs use an electrical service standard of 100 amps, but some parties</w:t>
      </w:r>
      <w:r>
        <w:rPr>
          <w:bCs/>
        </w:rPr>
        <w:t xml:space="preserve"> </w:t>
      </w:r>
      <w:r w:rsidR="00773A6A">
        <w:rPr>
          <w:bCs/>
        </w:rPr>
        <w:t xml:space="preserve">in R.18-04-018 </w:t>
      </w:r>
      <w:r w:rsidRPr="00EB085D">
        <w:rPr>
          <w:bCs/>
        </w:rPr>
        <w:t xml:space="preserve">recommend adoption of a different, particularly higher, standard to enable </w:t>
      </w:r>
      <w:r w:rsidR="00844C55">
        <w:rPr>
          <w:bCs/>
        </w:rPr>
        <w:t>the safe and reliable operation of all-electric MHs</w:t>
      </w:r>
      <w:r w:rsidR="006528BA">
        <w:rPr>
          <w:bCs/>
        </w:rPr>
        <w:t xml:space="preserve">, and the future </w:t>
      </w:r>
      <w:r w:rsidRPr="00EB085D">
        <w:rPr>
          <w:bCs/>
        </w:rPr>
        <w:t xml:space="preserve">electrification </w:t>
      </w:r>
      <w:r w:rsidR="006528BA">
        <w:rPr>
          <w:bCs/>
        </w:rPr>
        <w:t xml:space="preserve">of end uses </w:t>
      </w:r>
      <w:r w:rsidRPr="00EB085D">
        <w:rPr>
          <w:bCs/>
        </w:rPr>
        <w:t>to achieve state goals.</w:t>
      </w:r>
      <w:r w:rsidR="001C22C2">
        <w:rPr>
          <w:bCs/>
        </w:rPr>
        <w:t xml:space="preserve">  </w:t>
      </w:r>
      <w:r w:rsidR="00767513">
        <w:rPr>
          <w:bCs/>
        </w:rPr>
        <w:t xml:space="preserve">In response to </w:t>
      </w:r>
      <w:r w:rsidR="009F252C">
        <w:rPr>
          <w:bCs/>
        </w:rPr>
        <w:t xml:space="preserve">Conclusion of Law </w:t>
      </w:r>
      <w:r w:rsidR="00A247DF">
        <w:rPr>
          <w:bCs/>
        </w:rPr>
        <w:t>18 of D.20-040-004,</w:t>
      </w:r>
      <w:r w:rsidR="00767513">
        <w:rPr>
          <w:bCs/>
        </w:rPr>
        <w:t xml:space="preserve"> </w:t>
      </w:r>
      <w:r w:rsidR="00045DC2">
        <w:rPr>
          <w:bCs/>
        </w:rPr>
        <w:t>p</w:t>
      </w:r>
      <w:r w:rsidRPr="00A93CF2" w:rsidR="00A93CF2">
        <w:rPr>
          <w:bCs/>
        </w:rPr>
        <w:t>hase II of R.18-04-018 investigate</w:t>
      </w:r>
      <w:r w:rsidR="006B1244">
        <w:rPr>
          <w:bCs/>
        </w:rPr>
        <w:t>s</w:t>
      </w:r>
      <w:r w:rsidRPr="00A93CF2" w:rsidR="00A93CF2">
        <w:rPr>
          <w:bCs/>
        </w:rPr>
        <w:t xml:space="preserve"> the development of an electrification ready service standard for </w:t>
      </w:r>
      <w:r w:rsidR="00560275">
        <w:rPr>
          <w:bCs/>
        </w:rPr>
        <w:t xml:space="preserve">the electrification of </w:t>
      </w:r>
      <w:r w:rsidR="00B065F9">
        <w:rPr>
          <w:bCs/>
        </w:rPr>
        <w:t xml:space="preserve">existing and new all-electric </w:t>
      </w:r>
      <w:r w:rsidR="00E65400">
        <w:rPr>
          <w:bCs/>
        </w:rPr>
        <w:t>mobilehomes</w:t>
      </w:r>
      <w:r w:rsidR="00B12510">
        <w:rPr>
          <w:bCs/>
        </w:rPr>
        <w:t xml:space="preserve"> for to-the-meter and beyond the meter</w:t>
      </w:r>
      <w:r w:rsidR="00806CD7">
        <w:rPr>
          <w:bCs/>
        </w:rPr>
        <w:t xml:space="preserve"> services</w:t>
      </w:r>
      <w:r w:rsidR="00B12510">
        <w:rPr>
          <w:bCs/>
        </w:rPr>
        <w:t xml:space="preserve">.  </w:t>
      </w:r>
      <w:r w:rsidR="001D1382">
        <w:rPr>
          <w:bCs/>
        </w:rPr>
        <w:t>P</w:t>
      </w:r>
      <w:r w:rsidR="00806CD7">
        <w:rPr>
          <w:bCs/>
        </w:rPr>
        <w:t>hase</w:t>
      </w:r>
      <w:r w:rsidR="001D1382">
        <w:rPr>
          <w:bCs/>
        </w:rPr>
        <w:t xml:space="preserve"> II</w:t>
      </w:r>
      <w:r w:rsidR="00806CD7">
        <w:rPr>
          <w:bCs/>
        </w:rPr>
        <w:t xml:space="preserve"> of the </w:t>
      </w:r>
      <w:r w:rsidR="009A48F2">
        <w:rPr>
          <w:bCs/>
        </w:rPr>
        <w:t>R.18-04-018</w:t>
      </w:r>
      <w:r w:rsidR="00806CD7">
        <w:rPr>
          <w:bCs/>
        </w:rPr>
        <w:t xml:space="preserve"> proceeding also </w:t>
      </w:r>
      <w:r w:rsidR="00950BD2">
        <w:rPr>
          <w:bCs/>
        </w:rPr>
        <w:t>investigates</w:t>
      </w:r>
      <w:r w:rsidR="00806CD7">
        <w:rPr>
          <w:bCs/>
        </w:rPr>
        <w:t xml:space="preserve"> the </w:t>
      </w:r>
      <w:r w:rsidR="008D5E30">
        <w:rPr>
          <w:bCs/>
        </w:rPr>
        <w:t xml:space="preserve">cost </w:t>
      </w:r>
      <w:r w:rsidRPr="004A7081" w:rsidR="004A7081">
        <w:rPr>
          <w:bCs/>
        </w:rPr>
        <w:t xml:space="preserve">categories, inputs, and assumptions </w:t>
      </w:r>
      <w:r w:rsidR="00950BD2">
        <w:rPr>
          <w:bCs/>
        </w:rPr>
        <w:t>to</w:t>
      </w:r>
      <w:r w:rsidRPr="004A7081" w:rsidR="004A7081">
        <w:rPr>
          <w:bCs/>
        </w:rPr>
        <w:t xml:space="preserve"> use</w:t>
      </w:r>
      <w:r w:rsidR="00950BD2">
        <w:rPr>
          <w:bCs/>
        </w:rPr>
        <w:t xml:space="preserve"> </w:t>
      </w:r>
      <w:r w:rsidRPr="004A7081" w:rsidR="004A7081">
        <w:rPr>
          <w:bCs/>
        </w:rPr>
        <w:t>in estimating the cost implications of different electrification</w:t>
      </w:r>
      <w:r w:rsidR="00C260CD">
        <w:rPr>
          <w:bCs/>
        </w:rPr>
        <w:t xml:space="preserve"> </w:t>
      </w:r>
      <w:r w:rsidRPr="004A7081" w:rsidR="004A7081">
        <w:rPr>
          <w:bCs/>
        </w:rPr>
        <w:t>ready service standards for the MHP Conversion Program</w:t>
      </w:r>
      <w:r w:rsidR="00C260CD">
        <w:rPr>
          <w:bCs/>
        </w:rPr>
        <w:t>.</w:t>
      </w:r>
      <w:r w:rsidR="00921C09">
        <w:rPr>
          <w:rStyle w:val="FootnoteReference"/>
          <w:bCs/>
        </w:rPr>
        <w:footnoteReference w:id="54"/>
      </w:r>
    </w:p>
    <w:p w:rsidR="00C260CD" w:rsidP="009A2015" w:rsidRDefault="00C260CD" w14:paraId="5C229CCA" w14:textId="77777777">
      <w:pPr>
        <w:spacing w:after="200"/>
        <w:contextualSpacing/>
        <w:rPr>
          <w:bCs/>
        </w:rPr>
      </w:pPr>
    </w:p>
    <w:p w:rsidR="009206D5" w:rsidP="009A2015" w:rsidRDefault="000320C4" w14:paraId="4676EBEB" w14:textId="3F614EED">
      <w:pPr>
        <w:spacing w:after="200"/>
        <w:contextualSpacing/>
        <w:rPr>
          <w:bCs/>
        </w:rPr>
      </w:pPr>
      <w:r>
        <w:rPr>
          <w:bCs/>
        </w:rPr>
        <w:t>Th</w:t>
      </w:r>
      <w:r w:rsidR="00BC6C6F">
        <w:rPr>
          <w:bCs/>
        </w:rPr>
        <w:t xml:space="preserve">e objective of this </w:t>
      </w:r>
      <w:r>
        <w:rPr>
          <w:bCs/>
        </w:rPr>
        <w:t xml:space="preserve">Resolution </w:t>
      </w:r>
      <w:r w:rsidR="00BC6C6F">
        <w:rPr>
          <w:bCs/>
        </w:rPr>
        <w:t xml:space="preserve">is to </w:t>
      </w:r>
      <w:r w:rsidR="00DC1F72">
        <w:rPr>
          <w:bCs/>
        </w:rPr>
        <w:t>implement</w:t>
      </w:r>
      <w:r w:rsidR="0064126C">
        <w:rPr>
          <w:bCs/>
        </w:rPr>
        <w:t xml:space="preserve"> requirements based on the current </w:t>
      </w:r>
      <w:r w:rsidR="00B9250C">
        <w:rPr>
          <w:bCs/>
        </w:rPr>
        <w:t xml:space="preserve">needs </w:t>
      </w:r>
      <w:r w:rsidR="005B7626">
        <w:rPr>
          <w:bCs/>
        </w:rPr>
        <w:t xml:space="preserve">and benefits </w:t>
      </w:r>
      <w:r w:rsidR="00B9250C">
        <w:rPr>
          <w:bCs/>
        </w:rPr>
        <w:t xml:space="preserve">of the </w:t>
      </w:r>
      <w:r w:rsidR="002B4E84">
        <w:rPr>
          <w:bCs/>
        </w:rPr>
        <w:t xml:space="preserve">residents in </w:t>
      </w:r>
      <w:r w:rsidR="00C958C8">
        <w:rPr>
          <w:bCs/>
        </w:rPr>
        <w:t xml:space="preserve">the </w:t>
      </w:r>
      <w:r w:rsidR="00B9250C">
        <w:rPr>
          <w:bCs/>
        </w:rPr>
        <w:t>Rebuild Program</w:t>
      </w:r>
      <w:r w:rsidR="006B2680">
        <w:rPr>
          <w:bCs/>
        </w:rPr>
        <w:t xml:space="preserve">.  </w:t>
      </w:r>
      <w:r w:rsidR="006D19D7">
        <w:rPr>
          <w:bCs/>
        </w:rPr>
        <w:t xml:space="preserve">Any </w:t>
      </w:r>
      <w:r w:rsidR="006D19D7">
        <w:rPr>
          <w:bCs/>
        </w:rPr>
        <w:lastRenderedPageBreak/>
        <w:t xml:space="preserve">economic measures </w:t>
      </w:r>
      <w:r w:rsidR="0051474C">
        <w:rPr>
          <w:bCs/>
        </w:rPr>
        <w:t xml:space="preserve">taken </w:t>
      </w:r>
      <w:r w:rsidR="0001211C">
        <w:rPr>
          <w:bCs/>
        </w:rPr>
        <w:t>would</w:t>
      </w:r>
      <w:r w:rsidR="00C3280B">
        <w:rPr>
          <w:bCs/>
        </w:rPr>
        <w:t xml:space="preserve"> not interfere </w:t>
      </w:r>
      <w:r w:rsidR="00BC6C6F">
        <w:rPr>
          <w:bCs/>
        </w:rPr>
        <w:t xml:space="preserve">but </w:t>
      </w:r>
      <w:r w:rsidR="00B950E8">
        <w:rPr>
          <w:bCs/>
        </w:rPr>
        <w:t xml:space="preserve">would </w:t>
      </w:r>
      <w:r w:rsidR="007E4E69">
        <w:rPr>
          <w:bCs/>
        </w:rPr>
        <w:t>complement</w:t>
      </w:r>
      <w:r w:rsidR="00BC6C6F">
        <w:rPr>
          <w:bCs/>
        </w:rPr>
        <w:t xml:space="preserve"> the </w:t>
      </w:r>
      <w:r w:rsidR="00984D79">
        <w:rPr>
          <w:bCs/>
        </w:rPr>
        <w:t xml:space="preserve">issues currently </w:t>
      </w:r>
      <w:r w:rsidR="00AD4F8E">
        <w:rPr>
          <w:bCs/>
        </w:rPr>
        <w:t>being</w:t>
      </w:r>
      <w:r w:rsidR="00984D79">
        <w:rPr>
          <w:bCs/>
        </w:rPr>
        <w:t xml:space="preserve"> </w:t>
      </w:r>
      <w:r w:rsidR="006D47EB">
        <w:rPr>
          <w:bCs/>
        </w:rPr>
        <w:t xml:space="preserve">investigated </w:t>
      </w:r>
      <w:r w:rsidR="00981902">
        <w:rPr>
          <w:bCs/>
        </w:rPr>
        <w:t>under</w:t>
      </w:r>
      <w:r w:rsidR="006D47EB">
        <w:rPr>
          <w:bCs/>
        </w:rPr>
        <w:t xml:space="preserve"> Phase II of the proceeding.</w:t>
      </w:r>
      <w:r w:rsidR="00BC6C6F">
        <w:rPr>
          <w:bCs/>
        </w:rPr>
        <w:t xml:space="preserve"> </w:t>
      </w:r>
      <w:r w:rsidR="00C3280B">
        <w:rPr>
          <w:bCs/>
        </w:rPr>
        <w:t xml:space="preserve"> </w:t>
      </w:r>
      <w:r>
        <w:rPr>
          <w:bCs/>
        </w:rPr>
        <w:t xml:space="preserve"> </w:t>
      </w:r>
      <w:r w:rsidR="001C22C2">
        <w:rPr>
          <w:bCs/>
        </w:rPr>
        <w:t xml:space="preserve">  </w:t>
      </w:r>
    </w:p>
    <w:p w:rsidR="00445C7B" w:rsidP="00445C7B" w:rsidRDefault="00445C7B" w14:paraId="48AAAB6E" w14:textId="77777777">
      <w:pPr>
        <w:spacing w:after="200" w:line="276" w:lineRule="auto"/>
        <w:contextualSpacing/>
        <w:rPr>
          <w:bCs/>
        </w:rPr>
      </w:pPr>
    </w:p>
    <w:p w:rsidRPr="009A2015" w:rsidR="00557A23" w:rsidP="0091473A" w:rsidRDefault="00557A23" w14:paraId="7975A321" w14:textId="131DC207">
      <w:pPr>
        <w:pStyle w:val="Heading3"/>
        <w:rPr>
          <w:rFonts w:eastAsia="Calibri"/>
          <w:i/>
        </w:rPr>
      </w:pPr>
      <w:r w:rsidRPr="009A2015">
        <w:rPr>
          <w:rFonts w:eastAsia="Calibri"/>
          <w:i/>
        </w:rPr>
        <w:t xml:space="preserve">Reporting Requirements on </w:t>
      </w:r>
      <w:r w:rsidRPr="009A2015" w:rsidR="008007D2">
        <w:rPr>
          <w:rFonts w:eastAsia="Calibri"/>
          <w:i/>
        </w:rPr>
        <w:t>the Rebuild Program</w:t>
      </w:r>
      <w:r w:rsidRPr="009A2015" w:rsidR="00976B21">
        <w:rPr>
          <w:rFonts w:eastAsia="Calibri"/>
          <w:i/>
        </w:rPr>
        <w:t xml:space="preserve"> </w:t>
      </w:r>
      <w:r w:rsidRPr="009A2015">
        <w:rPr>
          <w:rFonts w:eastAsia="Calibri"/>
          <w:i/>
        </w:rPr>
        <w:t>Expenses</w:t>
      </w:r>
    </w:p>
    <w:p w:rsidR="00557A23" w:rsidP="009A2015" w:rsidRDefault="00C84710" w14:paraId="31001E07" w14:textId="031ACEE2">
      <w:r>
        <w:rPr>
          <w:bCs/>
        </w:rPr>
        <w:t>T</w:t>
      </w:r>
      <w:r w:rsidRPr="00C84710">
        <w:rPr>
          <w:bCs/>
        </w:rPr>
        <w:t>o-</w:t>
      </w:r>
      <w:r>
        <w:rPr>
          <w:bCs/>
        </w:rPr>
        <w:t>T</w:t>
      </w:r>
      <w:r w:rsidRPr="00C84710">
        <w:rPr>
          <w:bCs/>
        </w:rPr>
        <w:t>he-</w:t>
      </w:r>
      <w:r>
        <w:rPr>
          <w:bCs/>
        </w:rPr>
        <w:t>M</w:t>
      </w:r>
      <w:r w:rsidRPr="00C84710">
        <w:rPr>
          <w:bCs/>
        </w:rPr>
        <w:t>eter</w:t>
      </w:r>
      <w:r w:rsidRPr="00E14B8C" w:rsidR="00557A23">
        <w:rPr>
          <w:bCs/>
        </w:rPr>
        <w:t xml:space="preserve"> work </w:t>
      </w:r>
      <w:r w:rsidRPr="00766F18" w:rsidR="00557A23">
        <w:rPr>
          <w:bCs/>
        </w:rPr>
        <w:t xml:space="preserve">within </w:t>
      </w:r>
      <w:r w:rsidRPr="00E14B8C" w:rsidR="00557A23">
        <w:rPr>
          <w:bCs/>
        </w:rPr>
        <w:t xml:space="preserve">the </w:t>
      </w:r>
      <w:r w:rsidRPr="008007D2" w:rsidR="008007D2">
        <w:rPr>
          <w:bCs/>
        </w:rPr>
        <w:t>Rebuild Program</w:t>
      </w:r>
      <w:r w:rsidRPr="00E14B8C" w:rsidR="00557A23">
        <w:rPr>
          <w:bCs/>
        </w:rPr>
        <w:t xml:space="preserve"> is very similar to </w:t>
      </w:r>
      <w:r>
        <w:rPr>
          <w:bCs/>
        </w:rPr>
        <w:t>to-the-meter</w:t>
      </w:r>
      <w:r w:rsidRPr="00E14B8C" w:rsidR="00557A23">
        <w:rPr>
          <w:bCs/>
        </w:rPr>
        <w:t xml:space="preserve"> </w:t>
      </w:r>
      <w:r w:rsidRPr="00766F18" w:rsidR="00557A23">
        <w:rPr>
          <w:bCs/>
        </w:rPr>
        <w:t xml:space="preserve">work within </w:t>
      </w:r>
      <w:r w:rsidRPr="00E14B8C" w:rsidR="00557A23">
        <w:rPr>
          <w:bCs/>
        </w:rPr>
        <w:t xml:space="preserve">the MHP </w:t>
      </w:r>
      <w:r w:rsidR="00557A23">
        <w:rPr>
          <w:bCs/>
        </w:rPr>
        <w:t>Conversion Program</w:t>
      </w:r>
      <w:r w:rsidRPr="00E14B8C" w:rsidR="00557A23">
        <w:rPr>
          <w:bCs/>
        </w:rPr>
        <w:t xml:space="preserve">.  </w:t>
      </w:r>
      <w:r w:rsidR="00557A23">
        <w:rPr>
          <w:bCs/>
        </w:rPr>
        <w:t xml:space="preserve">PG&amp;E has indicated that it has not </w:t>
      </w:r>
      <w:r w:rsidRPr="00702845" w:rsidR="00557A23">
        <w:rPr>
          <w:bCs/>
        </w:rPr>
        <w:t xml:space="preserve">determined whether it </w:t>
      </w:r>
      <w:r w:rsidR="00557A23">
        <w:rPr>
          <w:bCs/>
        </w:rPr>
        <w:t>will</w:t>
      </w:r>
      <w:r w:rsidRPr="00702845" w:rsidR="00557A23">
        <w:rPr>
          <w:bCs/>
        </w:rPr>
        <w:t xml:space="preserve"> seek to</w:t>
      </w:r>
      <w:r w:rsidR="00557A23">
        <w:rPr>
          <w:bCs/>
        </w:rPr>
        <w:t xml:space="preserve"> </w:t>
      </w:r>
      <w:r w:rsidRPr="00702845" w:rsidR="00557A23">
        <w:rPr>
          <w:bCs/>
        </w:rPr>
        <w:t>recover any additional costs associated with the MHP Rebuild Program.</w:t>
      </w:r>
      <w:r w:rsidR="00557A23">
        <w:rPr>
          <w:rStyle w:val="FootnoteReference"/>
          <w:bCs/>
        </w:rPr>
        <w:footnoteReference w:id="55"/>
      </w:r>
      <w:r w:rsidR="00557A23">
        <w:rPr>
          <w:bCs/>
        </w:rPr>
        <w:t xml:space="preserve">  </w:t>
      </w:r>
      <w:r w:rsidR="00301EFA">
        <w:rPr>
          <w:bCs/>
        </w:rPr>
        <w:t>Due to the</w:t>
      </w:r>
      <w:r w:rsidR="00AB0444">
        <w:rPr>
          <w:bCs/>
        </w:rPr>
        <w:t xml:space="preserve"> significant</w:t>
      </w:r>
      <w:r w:rsidR="00301EFA">
        <w:rPr>
          <w:bCs/>
        </w:rPr>
        <w:t xml:space="preserve"> </w:t>
      </w:r>
      <w:r w:rsidR="00B903D2">
        <w:rPr>
          <w:bCs/>
        </w:rPr>
        <w:t xml:space="preserve">differences between </w:t>
      </w:r>
      <w:r w:rsidR="006B4185">
        <w:rPr>
          <w:bCs/>
        </w:rPr>
        <w:t xml:space="preserve">per space </w:t>
      </w:r>
      <w:r w:rsidR="00B903D2">
        <w:rPr>
          <w:bCs/>
        </w:rPr>
        <w:t>program costs</w:t>
      </w:r>
      <w:r w:rsidR="004125AA">
        <w:rPr>
          <w:bCs/>
        </w:rPr>
        <w:t xml:space="preserve"> </w:t>
      </w:r>
      <w:r w:rsidR="00B903D2">
        <w:rPr>
          <w:bCs/>
        </w:rPr>
        <w:t xml:space="preserve">and </w:t>
      </w:r>
      <w:r w:rsidR="00534E0E">
        <w:rPr>
          <w:bCs/>
        </w:rPr>
        <w:t>the</w:t>
      </w:r>
      <w:r w:rsidR="00B903D2">
        <w:rPr>
          <w:bCs/>
        </w:rPr>
        <w:t xml:space="preserve"> </w:t>
      </w:r>
      <w:r w:rsidR="00301EFA">
        <w:rPr>
          <w:bCs/>
        </w:rPr>
        <w:t xml:space="preserve">lack of clarity </w:t>
      </w:r>
      <w:r w:rsidR="00140F09">
        <w:rPr>
          <w:bCs/>
        </w:rPr>
        <w:t xml:space="preserve">on cost </w:t>
      </w:r>
      <w:r w:rsidR="00301EFA">
        <w:rPr>
          <w:bCs/>
        </w:rPr>
        <w:t xml:space="preserve">recovery, it is necessary to track these costs in the same manner as those </w:t>
      </w:r>
      <w:r w:rsidR="001B2B06">
        <w:rPr>
          <w:bCs/>
        </w:rPr>
        <w:t>incurred in approved programs.</w:t>
      </w:r>
    </w:p>
    <w:p w:rsidR="00557A23" w:rsidP="00557A23" w:rsidRDefault="00557A23" w14:paraId="6C8CC1E4" w14:textId="77777777">
      <w:pPr>
        <w:spacing w:line="276" w:lineRule="auto"/>
        <w:rPr>
          <w:bCs/>
        </w:rPr>
      </w:pPr>
    </w:p>
    <w:p w:rsidRPr="005527D5" w:rsidR="00557A23" w:rsidP="009A2015" w:rsidRDefault="00557A23" w14:paraId="6EF72F60" w14:textId="142BCB66">
      <w:pPr>
        <w:rPr>
          <w:bCs/>
        </w:rPr>
      </w:pPr>
      <w:r w:rsidRPr="005527D5">
        <w:rPr>
          <w:bCs/>
        </w:rPr>
        <w:t>In 2019, PG&amp;E incurred a total</w:t>
      </w:r>
      <w:r>
        <w:rPr>
          <w:bCs/>
        </w:rPr>
        <w:t xml:space="preserve"> cost</w:t>
      </w:r>
      <w:r w:rsidRPr="005527D5">
        <w:rPr>
          <w:bCs/>
        </w:rPr>
        <w:t xml:space="preserve"> of $</w:t>
      </w:r>
      <w:r w:rsidRPr="005D170E" w:rsidR="005D170E">
        <w:rPr>
          <w:bCs/>
        </w:rPr>
        <w:t>2,751,424.80</w:t>
      </w:r>
      <w:r>
        <w:rPr>
          <w:bCs/>
        </w:rPr>
        <w:t xml:space="preserve"> in the </w:t>
      </w:r>
      <w:r w:rsidRPr="008007D2" w:rsidR="008007D2">
        <w:rPr>
          <w:bCs/>
        </w:rPr>
        <w:t>Rebuild Program</w:t>
      </w:r>
      <w:r w:rsidRPr="005527D5">
        <w:rPr>
          <w:bCs/>
        </w:rPr>
        <w:t>.</w:t>
      </w:r>
      <w:r w:rsidR="003268A5">
        <w:rPr>
          <w:rStyle w:val="FootnoteReference"/>
          <w:bCs/>
        </w:rPr>
        <w:footnoteReference w:id="56"/>
      </w:r>
      <w:r w:rsidRPr="005527D5">
        <w:rPr>
          <w:bCs/>
        </w:rPr>
        <w:t xml:space="preserve"> </w:t>
      </w:r>
      <w:r>
        <w:rPr>
          <w:bCs/>
        </w:rPr>
        <w:t xml:space="preserve"> Construction was in progress, but no spaces were completed in 2019.  </w:t>
      </w:r>
      <w:r w:rsidRPr="005527D5">
        <w:rPr>
          <w:bCs/>
        </w:rPr>
        <w:t>PG&amp;E complete</w:t>
      </w:r>
      <w:r w:rsidR="00663FA7">
        <w:rPr>
          <w:bCs/>
        </w:rPr>
        <w:t>d</w:t>
      </w:r>
      <w:r w:rsidRPr="005527D5">
        <w:rPr>
          <w:bCs/>
        </w:rPr>
        <w:t xml:space="preserve"> </w:t>
      </w:r>
      <w:r w:rsidR="00663FA7">
        <w:rPr>
          <w:bCs/>
        </w:rPr>
        <w:t>110</w:t>
      </w:r>
      <w:r w:rsidRPr="005527D5" w:rsidR="00663FA7">
        <w:rPr>
          <w:bCs/>
        </w:rPr>
        <w:t xml:space="preserve"> </w:t>
      </w:r>
      <w:r w:rsidRPr="005527D5">
        <w:rPr>
          <w:bCs/>
        </w:rPr>
        <w:t xml:space="preserve">spaces in 2020 </w:t>
      </w:r>
      <w:r w:rsidR="006A79B2">
        <w:rPr>
          <w:bCs/>
        </w:rPr>
        <w:t>with a total expenditure</w:t>
      </w:r>
      <w:r w:rsidRPr="005527D5">
        <w:rPr>
          <w:bCs/>
        </w:rPr>
        <w:t xml:space="preserve"> of $</w:t>
      </w:r>
      <w:r w:rsidRPr="00D45F99" w:rsidR="00D45F99">
        <w:rPr>
          <w:bCs/>
        </w:rPr>
        <w:t>13,301,768.89</w:t>
      </w:r>
      <w:r w:rsidR="00CE118D">
        <w:rPr>
          <w:bCs/>
        </w:rPr>
        <w:t>.</w:t>
      </w:r>
      <w:r w:rsidR="008504A7">
        <w:rPr>
          <w:rStyle w:val="FootnoteReference"/>
          <w:bCs/>
        </w:rPr>
        <w:footnoteReference w:id="57"/>
      </w:r>
      <w:r w:rsidR="00CE118D">
        <w:rPr>
          <w:bCs/>
        </w:rPr>
        <w:t xml:space="preserve">  PG&amp;E plans to complete</w:t>
      </w:r>
      <w:r w:rsidRPr="005527D5">
        <w:rPr>
          <w:bCs/>
        </w:rPr>
        <w:t xml:space="preserve"> </w:t>
      </w:r>
      <w:r w:rsidR="00CE118D">
        <w:rPr>
          <w:bCs/>
        </w:rPr>
        <w:t>478</w:t>
      </w:r>
      <w:r w:rsidRPr="005527D5" w:rsidR="00CE118D">
        <w:rPr>
          <w:bCs/>
        </w:rPr>
        <w:t xml:space="preserve"> </w:t>
      </w:r>
      <w:r w:rsidRPr="005527D5">
        <w:rPr>
          <w:bCs/>
        </w:rPr>
        <w:t>spaces in 2021 at a projected cost of $</w:t>
      </w:r>
      <w:r w:rsidRPr="00170597" w:rsidR="00170597">
        <w:rPr>
          <w:bCs/>
        </w:rPr>
        <w:t>18,013,233</w:t>
      </w:r>
      <w:r w:rsidRPr="005527D5">
        <w:rPr>
          <w:bCs/>
        </w:rPr>
        <w:t xml:space="preserve">, </w:t>
      </w:r>
      <w:r w:rsidR="00F1574A">
        <w:rPr>
          <w:bCs/>
        </w:rPr>
        <w:t>244</w:t>
      </w:r>
      <w:r w:rsidRPr="005527D5" w:rsidR="00F1574A">
        <w:rPr>
          <w:bCs/>
        </w:rPr>
        <w:t xml:space="preserve"> </w:t>
      </w:r>
      <w:r w:rsidRPr="005527D5">
        <w:rPr>
          <w:bCs/>
        </w:rPr>
        <w:t>spaces in 2022</w:t>
      </w:r>
      <w:r w:rsidR="004644AE">
        <w:rPr>
          <w:bCs/>
        </w:rPr>
        <w:t>, and 103 spaces in 2023</w:t>
      </w:r>
      <w:r w:rsidR="00B00E3E">
        <w:rPr>
          <w:bCs/>
        </w:rPr>
        <w:t>.  PG&amp;E</w:t>
      </w:r>
      <w:r w:rsidR="005B729C">
        <w:rPr>
          <w:bCs/>
        </w:rPr>
        <w:t xml:space="preserve"> anticipates </w:t>
      </w:r>
      <w:r w:rsidR="00DF0CEC">
        <w:rPr>
          <w:bCs/>
        </w:rPr>
        <w:t>spending</w:t>
      </w:r>
      <w:r w:rsidR="005B729C">
        <w:rPr>
          <w:bCs/>
        </w:rPr>
        <w:t xml:space="preserve"> approximately </w:t>
      </w:r>
      <w:r w:rsidR="002238AE">
        <w:rPr>
          <w:bCs/>
        </w:rPr>
        <w:br/>
      </w:r>
      <w:r w:rsidR="005B729C">
        <w:rPr>
          <w:bCs/>
        </w:rPr>
        <w:t>$34 million for 2022 and beyond</w:t>
      </w:r>
      <w:r w:rsidRPr="005527D5">
        <w:rPr>
          <w:bCs/>
        </w:rPr>
        <w:t>.</w:t>
      </w:r>
      <w:r w:rsidR="00BE0CD6">
        <w:rPr>
          <w:rStyle w:val="FootnoteReference"/>
          <w:bCs/>
        </w:rPr>
        <w:footnoteReference w:id="58"/>
      </w:r>
      <w:r w:rsidRPr="005527D5">
        <w:rPr>
          <w:bCs/>
        </w:rPr>
        <w:t xml:space="preserve"> The total </w:t>
      </w:r>
      <w:r w:rsidR="008C68EC">
        <w:rPr>
          <w:bCs/>
        </w:rPr>
        <w:t xml:space="preserve">Rebuild Program </w:t>
      </w:r>
      <w:r w:rsidRPr="005527D5">
        <w:rPr>
          <w:bCs/>
        </w:rPr>
        <w:t>expenditure is projected to be $</w:t>
      </w:r>
      <w:r w:rsidR="001C3AA8">
        <w:rPr>
          <w:bCs/>
        </w:rPr>
        <w:t>68</w:t>
      </w:r>
      <w:r w:rsidR="001178F6">
        <w:rPr>
          <w:bCs/>
        </w:rPr>
        <w:t>,066,426.69</w:t>
      </w:r>
      <w:r w:rsidRPr="005527D5">
        <w:rPr>
          <w:bCs/>
        </w:rPr>
        <w:t>.</w:t>
      </w:r>
      <w:r w:rsidRPr="00720ADE">
        <w:rPr>
          <w:bCs/>
          <w:vertAlign w:val="superscript"/>
        </w:rPr>
        <w:footnoteReference w:id="59"/>
      </w:r>
      <w:r w:rsidRPr="00720ADE">
        <w:rPr>
          <w:bCs/>
          <w:vertAlign w:val="superscript"/>
        </w:rPr>
        <w:t xml:space="preserve"> </w:t>
      </w:r>
      <w:r w:rsidRPr="005527D5">
        <w:rPr>
          <w:bCs/>
        </w:rPr>
        <w:t xml:space="preserve">  PG&amp;E indicated that </w:t>
      </w:r>
      <w:r>
        <w:rPr>
          <w:bCs/>
        </w:rPr>
        <w:t xml:space="preserve">all the </w:t>
      </w:r>
      <w:r w:rsidR="00BA34A5">
        <w:rPr>
          <w:bCs/>
        </w:rPr>
        <w:t>projected costs</w:t>
      </w:r>
      <w:r w:rsidRPr="005527D5">
        <w:rPr>
          <w:bCs/>
        </w:rPr>
        <w:t xml:space="preserve"> are estimate</w:t>
      </w:r>
      <w:r w:rsidR="00BA34A5">
        <w:rPr>
          <w:bCs/>
        </w:rPr>
        <w:t>s</w:t>
      </w:r>
      <w:r w:rsidRPr="005527D5">
        <w:rPr>
          <w:bCs/>
        </w:rPr>
        <w:t xml:space="preserve"> and represent 1,</w:t>
      </w:r>
      <w:r w:rsidRPr="005527D5" w:rsidR="00BD6079">
        <w:rPr>
          <w:bCs/>
        </w:rPr>
        <w:t>2</w:t>
      </w:r>
      <w:r w:rsidR="00BD6079">
        <w:rPr>
          <w:bCs/>
        </w:rPr>
        <w:t>93</w:t>
      </w:r>
      <w:r w:rsidRPr="005527D5" w:rsidR="00BD6079">
        <w:rPr>
          <w:bCs/>
        </w:rPr>
        <w:t xml:space="preserve"> </w:t>
      </w:r>
      <w:r w:rsidRPr="005527D5">
        <w:rPr>
          <w:bCs/>
        </w:rPr>
        <w:t xml:space="preserve">spaces that have submitted an application for the </w:t>
      </w:r>
      <w:r w:rsidRPr="008007D2" w:rsidR="008007D2">
        <w:rPr>
          <w:bCs/>
        </w:rPr>
        <w:t>Rebuild Program</w:t>
      </w:r>
      <w:r w:rsidRPr="005527D5">
        <w:rPr>
          <w:bCs/>
        </w:rPr>
        <w:t xml:space="preserve">. These figures do not include the 8 </w:t>
      </w:r>
      <w:r>
        <w:rPr>
          <w:bCs/>
        </w:rPr>
        <w:t>MHP</w:t>
      </w:r>
      <w:r w:rsidRPr="005527D5">
        <w:rPr>
          <w:bCs/>
        </w:rPr>
        <w:t xml:space="preserve">s (395 spaces) that have yet to submit a formal application for </w:t>
      </w:r>
      <w:r w:rsidR="008007D2">
        <w:rPr>
          <w:bCs/>
        </w:rPr>
        <w:t xml:space="preserve">the </w:t>
      </w:r>
      <w:r w:rsidRPr="008007D2" w:rsidR="008007D2">
        <w:rPr>
          <w:bCs/>
        </w:rPr>
        <w:t>Rebuild Program</w:t>
      </w:r>
      <w:r w:rsidRPr="005527D5">
        <w:rPr>
          <w:bCs/>
        </w:rPr>
        <w:t xml:space="preserve">.  The projected costs beyond </w:t>
      </w:r>
      <w:r w:rsidRPr="005527D5" w:rsidR="00140F93">
        <w:rPr>
          <w:bCs/>
        </w:rPr>
        <w:t>202</w:t>
      </w:r>
      <w:r w:rsidR="004F11A5">
        <w:rPr>
          <w:bCs/>
        </w:rPr>
        <w:t>1</w:t>
      </w:r>
      <w:r w:rsidRPr="005527D5" w:rsidR="00140F93">
        <w:rPr>
          <w:bCs/>
        </w:rPr>
        <w:t xml:space="preserve"> </w:t>
      </w:r>
      <w:r w:rsidRPr="005527D5">
        <w:rPr>
          <w:bCs/>
        </w:rPr>
        <w:t xml:space="preserve">are subject to change.  However, based on the current projections, the average </w:t>
      </w:r>
      <w:r w:rsidR="00C84710">
        <w:rPr>
          <w:bCs/>
        </w:rPr>
        <w:t>to-the-meter</w:t>
      </w:r>
      <w:r w:rsidRPr="005527D5">
        <w:rPr>
          <w:bCs/>
        </w:rPr>
        <w:t xml:space="preserve"> cost would be approximately $</w:t>
      </w:r>
      <w:r w:rsidR="007A7BE8">
        <w:rPr>
          <w:bCs/>
        </w:rPr>
        <w:t>52</w:t>
      </w:r>
      <w:r w:rsidR="00E101A8">
        <w:rPr>
          <w:bCs/>
        </w:rPr>
        <w:t>,642.25</w:t>
      </w:r>
      <w:r w:rsidRPr="005527D5">
        <w:rPr>
          <w:bCs/>
        </w:rPr>
        <w:t xml:space="preserve"> per space.</w:t>
      </w:r>
    </w:p>
    <w:p w:rsidRPr="005527D5" w:rsidR="00557A23" w:rsidP="009A2015" w:rsidRDefault="00557A23" w14:paraId="1BE17747" w14:textId="77777777">
      <w:pPr>
        <w:rPr>
          <w:bCs/>
        </w:rPr>
      </w:pPr>
    </w:p>
    <w:p w:rsidRPr="005527D5" w:rsidR="00557A23" w:rsidP="009A2015" w:rsidRDefault="00982CD1" w14:paraId="33A9ACF2" w14:textId="6CD32C8A">
      <w:pPr>
        <w:rPr>
          <w:bCs/>
        </w:rPr>
      </w:pPr>
      <w:r>
        <w:rPr>
          <w:bCs/>
        </w:rPr>
        <w:lastRenderedPageBreak/>
        <w:t xml:space="preserve">The confidential version of </w:t>
      </w:r>
      <w:r w:rsidRPr="005527D5" w:rsidR="00557A23">
        <w:rPr>
          <w:bCs/>
        </w:rPr>
        <w:t xml:space="preserve">PG&amp;E’s Mobile Home Park Utility Upgrade Program </w:t>
      </w:r>
      <w:r w:rsidRPr="005527D5" w:rsidR="00862FC9">
        <w:rPr>
          <w:bCs/>
        </w:rPr>
        <w:t>20</w:t>
      </w:r>
      <w:r w:rsidR="00862FC9">
        <w:rPr>
          <w:bCs/>
        </w:rPr>
        <w:t>20</w:t>
      </w:r>
      <w:r w:rsidRPr="005527D5" w:rsidR="00862FC9">
        <w:rPr>
          <w:bCs/>
        </w:rPr>
        <w:t xml:space="preserve"> </w:t>
      </w:r>
      <w:r w:rsidRPr="005527D5" w:rsidR="00557A23">
        <w:rPr>
          <w:bCs/>
        </w:rPr>
        <w:t xml:space="preserve">CPUC Report </w:t>
      </w:r>
      <w:r w:rsidR="004845F1">
        <w:rPr>
          <w:bCs/>
        </w:rPr>
        <w:t xml:space="preserve">contains confidential cost information which would </w:t>
      </w:r>
      <w:r w:rsidR="00E2541B">
        <w:rPr>
          <w:bCs/>
        </w:rPr>
        <w:t>enable</w:t>
      </w:r>
      <w:r w:rsidR="0042099B">
        <w:rPr>
          <w:bCs/>
        </w:rPr>
        <w:t xml:space="preserve"> the calculations of</w:t>
      </w:r>
      <w:r w:rsidRPr="005527D5" w:rsidR="00E2541B">
        <w:rPr>
          <w:bCs/>
        </w:rPr>
        <w:t xml:space="preserve"> </w:t>
      </w:r>
      <w:r w:rsidRPr="005527D5" w:rsidR="00557A23">
        <w:rPr>
          <w:bCs/>
        </w:rPr>
        <w:t xml:space="preserve">the average unit cost of total </w:t>
      </w:r>
      <w:r w:rsidR="00C84710">
        <w:rPr>
          <w:bCs/>
        </w:rPr>
        <w:t>to-the-meter</w:t>
      </w:r>
      <w:r w:rsidRPr="005527D5" w:rsidR="00557A23">
        <w:rPr>
          <w:bCs/>
        </w:rPr>
        <w:t xml:space="preserve"> and </w:t>
      </w:r>
      <w:r w:rsidRPr="00703BEB" w:rsidR="00703BEB">
        <w:rPr>
          <w:bCs/>
        </w:rPr>
        <w:t>beyond-the-meter</w:t>
      </w:r>
      <w:r w:rsidRPr="005527D5" w:rsidR="00557A23">
        <w:rPr>
          <w:bCs/>
        </w:rPr>
        <w:t xml:space="preserve"> conversion (including </w:t>
      </w:r>
      <w:r w:rsidR="00C84710">
        <w:rPr>
          <w:bCs/>
        </w:rPr>
        <w:t>to-the-meter</w:t>
      </w:r>
      <w:r w:rsidRPr="005527D5" w:rsidR="00557A23">
        <w:rPr>
          <w:bCs/>
        </w:rPr>
        <w:t xml:space="preserve"> and </w:t>
      </w:r>
      <w:r w:rsidRPr="00703BEB" w:rsidR="00703BEB">
        <w:rPr>
          <w:bCs/>
        </w:rPr>
        <w:t>beyond-the-meter</w:t>
      </w:r>
      <w:r w:rsidRPr="005527D5" w:rsidR="00557A23">
        <w:rPr>
          <w:bCs/>
        </w:rPr>
        <w:t xml:space="preserve"> electric and gas conversion costs).  Furthermore, </w:t>
      </w:r>
      <w:r w:rsidRPr="005527D5" w:rsidDel="00EC38BE" w:rsidR="00557A23">
        <w:rPr>
          <w:bCs/>
        </w:rPr>
        <w:t xml:space="preserve">PG&amp;E’s </w:t>
      </w:r>
      <w:r w:rsidR="00452C25">
        <w:rPr>
          <w:bCs/>
        </w:rPr>
        <w:t>2020</w:t>
      </w:r>
      <w:r w:rsidRPr="005527D5" w:rsidDel="00EC38BE" w:rsidR="00452C25">
        <w:rPr>
          <w:bCs/>
        </w:rPr>
        <w:t xml:space="preserve"> </w:t>
      </w:r>
      <w:r w:rsidRPr="005527D5" w:rsidDel="00EC38BE" w:rsidR="00557A23">
        <w:rPr>
          <w:bCs/>
        </w:rPr>
        <w:t xml:space="preserve">MHP Pilot annual report also shows that the total </w:t>
      </w:r>
      <w:r w:rsidR="00C84710">
        <w:rPr>
          <w:bCs/>
        </w:rPr>
        <w:t>to-the-meter</w:t>
      </w:r>
      <w:r w:rsidRPr="005527D5" w:rsidDel="00EC38BE" w:rsidR="00557A23">
        <w:rPr>
          <w:bCs/>
        </w:rPr>
        <w:t xml:space="preserve"> cost is approximately </w:t>
      </w:r>
      <w:r w:rsidRPr="005527D5" w:rsidR="00557A23">
        <w:rPr>
          <w:bCs/>
        </w:rPr>
        <w:t>80</w:t>
      </w:r>
      <w:r w:rsidRPr="005527D5" w:rsidDel="00EC38BE" w:rsidR="00557A23">
        <w:rPr>
          <w:bCs/>
        </w:rPr>
        <w:t xml:space="preserve">% of the total </w:t>
      </w:r>
      <w:r w:rsidR="00C84710">
        <w:rPr>
          <w:bCs/>
        </w:rPr>
        <w:t>to-the-meter</w:t>
      </w:r>
      <w:r w:rsidRPr="005527D5" w:rsidDel="00EC38BE" w:rsidR="00557A23">
        <w:rPr>
          <w:bCs/>
        </w:rPr>
        <w:t xml:space="preserve"> </w:t>
      </w:r>
      <w:r w:rsidRPr="005527D5" w:rsidR="00557A23">
        <w:rPr>
          <w:bCs/>
        </w:rPr>
        <w:t xml:space="preserve">and </w:t>
      </w:r>
      <w:r w:rsidRPr="00703BEB" w:rsidR="00703BEB">
        <w:rPr>
          <w:bCs/>
        </w:rPr>
        <w:t>beyond-the-meter</w:t>
      </w:r>
      <w:r w:rsidRPr="005527D5" w:rsidR="00557A23">
        <w:rPr>
          <w:bCs/>
        </w:rPr>
        <w:t xml:space="preserve"> </w:t>
      </w:r>
      <w:r w:rsidRPr="005527D5" w:rsidDel="00EC38BE" w:rsidR="00557A23">
        <w:rPr>
          <w:bCs/>
        </w:rPr>
        <w:t xml:space="preserve">cost consistently for 2016 thru </w:t>
      </w:r>
      <w:r w:rsidR="00717D92">
        <w:rPr>
          <w:bCs/>
        </w:rPr>
        <w:t>2020</w:t>
      </w:r>
      <w:r w:rsidRPr="005527D5" w:rsidDel="00EC38BE" w:rsidR="00557A23">
        <w:rPr>
          <w:bCs/>
        </w:rPr>
        <w:t xml:space="preserve">.  </w:t>
      </w:r>
      <w:r w:rsidRPr="00DC4D3C" w:rsidR="00557A23">
        <w:rPr>
          <w:bCs/>
        </w:rPr>
        <w:t xml:space="preserve">Comparing this to PG&amp;E’s projection for the </w:t>
      </w:r>
      <w:r w:rsidRPr="008007D2" w:rsidR="008007D2">
        <w:rPr>
          <w:bCs/>
        </w:rPr>
        <w:t>Rebuild Program</w:t>
      </w:r>
      <w:r w:rsidRPr="005527D5" w:rsidR="00557A23">
        <w:rPr>
          <w:bCs/>
        </w:rPr>
        <w:t xml:space="preserve"> </w:t>
      </w:r>
      <w:r w:rsidRPr="00DC4D3C" w:rsidR="00557A23">
        <w:rPr>
          <w:bCs/>
        </w:rPr>
        <w:t xml:space="preserve">per space costs, which only cover </w:t>
      </w:r>
      <w:r w:rsidR="00C84710">
        <w:rPr>
          <w:bCs/>
        </w:rPr>
        <w:t>to-the-meter</w:t>
      </w:r>
      <w:r w:rsidRPr="00DC4D3C" w:rsidR="00557A23">
        <w:rPr>
          <w:bCs/>
        </w:rPr>
        <w:t xml:space="preserve"> expenses </w:t>
      </w:r>
      <w:r w:rsidRPr="005527D5" w:rsidR="00557A23">
        <w:rPr>
          <w:bCs/>
        </w:rPr>
        <w:t>and the electric meter pedestal costs</w:t>
      </w:r>
      <w:r w:rsidRPr="00DC4D3C" w:rsidR="00557A23">
        <w:rPr>
          <w:bCs/>
        </w:rPr>
        <w:t xml:space="preserve">, the </w:t>
      </w:r>
      <w:r w:rsidRPr="008007D2" w:rsidR="008007D2">
        <w:rPr>
          <w:bCs/>
        </w:rPr>
        <w:t>Rebuild Program</w:t>
      </w:r>
      <w:r w:rsidRPr="005527D5" w:rsidR="00557A23">
        <w:rPr>
          <w:bCs/>
        </w:rPr>
        <w:t xml:space="preserve"> per space cost </w:t>
      </w:r>
      <w:r w:rsidRPr="00DC4D3C" w:rsidR="00557A23">
        <w:rPr>
          <w:bCs/>
        </w:rPr>
        <w:t xml:space="preserve">projection is </w:t>
      </w:r>
      <w:r w:rsidR="009E5EF3">
        <w:rPr>
          <w:bCs/>
        </w:rPr>
        <w:t>over</w:t>
      </w:r>
      <w:r w:rsidRPr="005527D5" w:rsidR="009E5EF3">
        <w:rPr>
          <w:bCs/>
        </w:rPr>
        <w:t xml:space="preserve"> </w:t>
      </w:r>
      <w:r w:rsidR="009E5EF3">
        <w:rPr>
          <w:bCs/>
        </w:rPr>
        <w:t>50</w:t>
      </w:r>
      <w:r w:rsidRPr="005527D5" w:rsidR="00557A23">
        <w:rPr>
          <w:bCs/>
        </w:rPr>
        <w:t xml:space="preserve">% higher than PG&amp;E’s </w:t>
      </w:r>
      <w:r w:rsidR="00C84710">
        <w:rPr>
          <w:bCs/>
        </w:rPr>
        <w:t>to-the-meter</w:t>
      </w:r>
      <w:r w:rsidRPr="005527D5" w:rsidR="00557A23">
        <w:rPr>
          <w:bCs/>
        </w:rPr>
        <w:t xml:space="preserve"> per space cost in the MHP Pilot.</w:t>
      </w:r>
      <w:r w:rsidRPr="00562980" w:rsidR="00562980">
        <w:rPr>
          <w:bCs/>
          <w:vertAlign w:val="superscript"/>
        </w:rPr>
        <w:t xml:space="preserve"> </w:t>
      </w:r>
      <w:r w:rsidRPr="00562980" w:rsidR="00562980">
        <w:rPr>
          <w:bCs/>
          <w:vertAlign w:val="superscript"/>
        </w:rPr>
        <w:footnoteReference w:id="60"/>
      </w:r>
      <w:r w:rsidRPr="005527D5" w:rsidR="00557A23">
        <w:rPr>
          <w:bCs/>
        </w:rPr>
        <w:t xml:space="preserve">   </w:t>
      </w:r>
    </w:p>
    <w:p w:rsidRPr="005F2A8B" w:rsidR="00557A23" w:rsidP="009A2015" w:rsidRDefault="00557A23" w14:paraId="0F5C84B4" w14:textId="77777777">
      <w:pPr>
        <w:rPr>
          <w:rFonts w:ascii="Palatino Linotype" w:hAnsi="Palatino Linotype" w:eastAsia="Calibri"/>
          <w:szCs w:val="26"/>
        </w:rPr>
      </w:pPr>
    </w:p>
    <w:p w:rsidRPr="005527D5" w:rsidR="00557A23" w:rsidP="009A2015" w:rsidRDefault="00557A23" w14:paraId="6B5B9720" w14:textId="2A02088B">
      <w:pPr>
        <w:rPr>
          <w:bCs/>
        </w:rPr>
      </w:pPr>
      <w:r w:rsidRPr="005527D5">
        <w:rPr>
          <w:bCs/>
        </w:rPr>
        <w:t>PG&amp;E indicates that the cost</w:t>
      </w:r>
      <w:r>
        <w:rPr>
          <w:bCs/>
        </w:rPr>
        <w:t>s</w:t>
      </w:r>
      <w:r w:rsidRPr="005527D5">
        <w:rPr>
          <w:bCs/>
        </w:rPr>
        <w:t xml:space="preserve"> of </w:t>
      </w:r>
      <w:r w:rsidR="00C84710">
        <w:rPr>
          <w:bCs/>
        </w:rPr>
        <w:t>to-the-meter</w:t>
      </w:r>
      <w:r w:rsidRPr="005527D5">
        <w:rPr>
          <w:bCs/>
        </w:rPr>
        <w:t xml:space="preserve"> conversion of the </w:t>
      </w:r>
      <w:r w:rsidRPr="008007D2" w:rsidR="008007D2">
        <w:rPr>
          <w:bCs/>
        </w:rPr>
        <w:t>Rebuild Program</w:t>
      </w:r>
      <w:r w:rsidRPr="005527D5">
        <w:rPr>
          <w:bCs/>
        </w:rPr>
        <w:t xml:space="preserve"> </w:t>
      </w:r>
      <w:r w:rsidRPr="00DC4D3C">
        <w:rPr>
          <w:bCs/>
        </w:rPr>
        <w:t>are likely to be higher than the costs incurred for similar activities within the MHP Pilot due to 1) the known presence of shallow solid rock in Butte County, 2) the hauling and disposal of contaminated soil, and 3) the need for temporary propane service to mobilehomes that survived the Camp Fire.  Some of these additional costs might be offset by the participation of 3rd party joint trench participants. However,</w:t>
      </w:r>
      <w:r w:rsidRPr="249DB94A">
        <w:rPr>
          <w:rFonts w:ascii="Palatino Linotype" w:hAnsi="Palatino Linotype" w:eastAsia="Calibri"/>
        </w:rPr>
        <w:t xml:space="preserve"> </w:t>
      </w:r>
      <w:r w:rsidRPr="00DC4D3C">
        <w:rPr>
          <w:bCs/>
        </w:rPr>
        <w:t xml:space="preserve">PG&amp;E states that the rate of 3rd party </w:t>
      </w:r>
      <w:r w:rsidRPr="005527D5">
        <w:rPr>
          <w:bCs/>
        </w:rPr>
        <w:t>participation is currently unknown.</w:t>
      </w:r>
      <w:r>
        <w:rPr>
          <w:rStyle w:val="FootnoteReference"/>
          <w:bCs/>
        </w:rPr>
        <w:footnoteReference w:id="61"/>
      </w:r>
      <w:r w:rsidRPr="005527D5">
        <w:rPr>
          <w:bCs/>
        </w:rPr>
        <w:t xml:space="preserve"> Hence, this possible </w:t>
      </w:r>
      <w:r>
        <w:rPr>
          <w:bCs/>
        </w:rPr>
        <w:t xml:space="preserve">source of </w:t>
      </w:r>
      <w:r w:rsidRPr="005527D5">
        <w:rPr>
          <w:bCs/>
        </w:rPr>
        <w:t>cost saving</w:t>
      </w:r>
      <w:r>
        <w:rPr>
          <w:bCs/>
        </w:rPr>
        <w:t>s</w:t>
      </w:r>
      <w:r w:rsidRPr="005527D5">
        <w:rPr>
          <w:bCs/>
        </w:rPr>
        <w:t xml:space="preserve"> cannot be included in the cost estimate.</w:t>
      </w:r>
    </w:p>
    <w:p w:rsidRPr="005527D5" w:rsidR="00557A23" w:rsidP="009A2015" w:rsidRDefault="00557A23" w14:paraId="33C18722" w14:textId="77777777">
      <w:pPr>
        <w:rPr>
          <w:bCs/>
        </w:rPr>
      </w:pPr>
    </w:p>
    <w:p w:rsidR="00557A23" w:rsidP="009A2015" w:rsidRDefault="00D56389" w14:paraId="2269FB65" w14:textId="31ADF78A">
      <w:pPr>
        <w:rPr>
          <w:bCs/>
        </w:rPr>
      </w:pPr>
      <w:r>
        <w:rPr>
          <w:bCs/>
        </w:rPr>
        <w:t xml:space="preserve">The only </w:t>
      </w:r>
      <w:r w:rsidRPr="00703BEB" w:rsidR="00703BEB">
        <w:rPr>
          <w:bCs/>
        </w:rPr>
        <w:t>beyond-the-meter</w:t>
      </w:r>
      <w:r>
        <w:rPr>
          <w:bCs/>
        </w:rPr>
        <w:t xml:space="preserve"> component of this program</w:t>
      </w:r>
      <w:r w:rsidRPr="005527D5" w:rsidR="00557A23">
        <w:rPr>
          <w:bCs/>
        </w:rPr>
        <w:t>, the cost of the electric meter pedestals</w:t>
      </w:r>
      <w:r>
        <w:rPr>
          <w:bCs/>
        </w:rPr>
        <w:t>,</w:t>
      </w:r>
      <w:r w:rsidRPr="005527D5" w:rsidR="00557A23">
        <w:rPr>
          <w:bCs/>
        </w:rPr>
        <w:t xml:space="preserve"> is minimal in comparison to the overall cost.  Hence, it is not a significant cost factor that would affect the overall per space cost.</w:t>
      </w:r>
      <w:r>
        <w:rPr>
          <w:bCs/>
        </w:rPr>
        <w:t xml:space="preserve">  Further discussion of these costs is given in the </w:t>
      </w:r>
      <w:r>
        <w:rPr>
          <w:bCs/>
          <w:i/>
          <w:iCs/>
        </w:rPr>
        <w:t>Electric Service Amperage Rating</w:t>
      </w:r>
      <w:r>
        <w:rPr>
          <w:bCs/>
        </w:rPr>
        <w:t xml:space="preserve"> portion of the "Discussion" section below.</w:t>
      </w:r>
      <w:r w:rsidRPr="005527D5" w:rsidR="00557A23">
        <w:rPr>
          <w:bCs/>
        </w:rPr>
        <w:t xml:space="preserve">  </w:t>
      </w:r>
      <w:r w:rsidRPr="00DC4D3C" w:rsidR="00557A23">
        <w:rPr>
          <w:bCs/>
        </w:rPr>
        <w:t xml:space="preserve">Due to the significant difference in the </w:t>
      </w:r>
      <w:r w:rsidR="00C84710">
        <w:rPr>
          <w:bCs/>
        </w:rPr>
        <w:t>to-the-meter</w:t>
      </w:r>
      <w:r w:rsidRPr="005527D5" w:rsidR="00557A23">
        <w:rPr>
          <w:bCs/>
        </w:rPr>
        <w:t xml:space="preserve"> per space cost </w:t>
      </w:r>
      <w:r w:rsidR="00557A23">
        <w:rPr>
          <w:bCs/>
        </w:rPr>
        <w:t>between</w:t>
      </w:r>
      <w:r w:rsidRPr="005527D5" w:rsidR="00557A23">
        <w:rPr>
          <w:bCs/>
        </w:rPr>
        <w:t xml:space="preserve"> the MHP Pilot and the </w:t>
      </w:r>
      <w:r w:rsidRPr="008007D2" w:rsidR="008007D2">
        <w:rPr>
          <w:bCs/>
        </w:rPr>
        <w:t>Rebuild Program</w:t>
      </w:r>
      <w:r w:rsidRPr="005527D5" w:rsidR="00557A23">
        <w:rPr>
          <w:bCs/>
        </w:rPr>
        <w:t xml:space="preserve">, </w:t>
      </w:r>
      <w:r w:rsidR="00557A23">
        <w:rPr>
          <w:bCs/>
        </w:rPr>
        <w:t xml:space="preserve">PG&amp;E </w:t>
      </w:r>
      <w:r w:rsidRPr="005527D5" w:rsidR="00557A23">
        <w:rPr>
          <w:bCs/>
        </w:rPr>
        <w:t xml:space="preserve">should track the rebuild cost of </w:t>
      </w:r>
      <w:r w:rsidR="00694F21">
        <w:rPr>
          <w:bCs/>
        </w:rPr>
        <w:t xml:space="preserve">the </w:t>
      </w:r>
      <w:r w:rsidRPr="008007D2" w:rsidR="008007D2">
        <w:rPr>
          <w:bCs/>
        </w:rPr>
        <w:t>Rebuild Program</w:t>
      </w:r>
      <w:r w:rsidRPr="005527D5" w:rsidR="00557A23">
        <w:rPr>
          <w:bCs/>
        </w:rPr>
        <w:t xml:space="preserve"> closely </w:t>
      </w:r>
      <w:r w:rsidR="00557A23">
        <w:rPr>
          <w:bCs/>
        </w:rPr>
        <w:t>in</w:t>
      </w:r>
      <w:r w:rsidRPr="005527D5" w:rsidR="00557A23">
        <w:rPr>
          <w:bCs/>
        </w:rPr>
        <w:t xml:space="preserve"> an annual reporting template</w:t>
      </w:r>
      <w:r w:rsidR="00557A23">
        <w:rPr>
          <w:bCs/>
        </w:rPr>
        <w:t xml:space="preserve"> to allow for benchmarking against the MHP Conversion Program</w:t>
      </w:r>
      <w:r w:rsidRPr="005527D5" w:rsidR="00557A23">
        <w:rPr>
          <w:bCs/>
        </w:rPr>
        <w:t xml:space="preserve">.  </w:t>
      </w:r>
    </w:p>
    <w:p w:rsidR="00557A23" w:rsidP="009A2015" w:rsidRDefault="00557A23" w14:paraId="56DE1593" w14:textId="77777777">
      <w:pPr>
        <w:rPr>
          <w:bCs/>
        </w:rPr>
      </w:pPr>
    </w:p>
    <w:p w:rsidRPr="00766F18" w:rsidR="00557A23" w:rsidP="009A2015" w:rsidRDefault="00557A23" w14:paraId="20EE97F9" w14:textId="63663C86">
      <w:pPr>
        <w:rPr>
          <w:bCs/>
        </w:rPr>
      </w:pPr>
      <w:r>
        <w:rPr>
          <w:bCs/>
        </w:rPr>
        <w:lastRenderedPageBreak/>
        <w:t>D</w:t>
      </w:r>
      <w:r w:rsidRPr="00E14B8C">
        <w:rPr>
          <w:bCs/>
        </w:rPr>
        <w:t xml:space="preserve">ata from </w:t>
      </w:r>
      <w:r w:rsidR="008007D2">
        <w:rPr>
          <w:bCs/>
        </w:rPr>
        <w:t xml:space="preserve">the </w:t>
      </w:r>
      <w:r w:rsidRPr="008007D2" w:rsidR="008007D2">
        <w:rPr>
          <w:bCs/>
        </w:rPr>
        <w:t>Rebuild Program</w:t>
      </w:r>
      <w:r w:rsidRPr="00E14B8C">
        <w:rPr>
          <w:bCs/>
        </w:rPr>
        <w:t xml:space="preserve"> conversion work </w:t>
      </w:r>
      <w:r w:rsidRPr="00766F18">
        <w:rPr>
          <w:bCs/>
        </w:rPr>
        <w:t xml:space="preserve">would </w:t>
      </w:r>
      <w:r w:rsidR="00255257">
        <w:rPr>
          <w:bCs/>
        </w:rPr>
        <w:t xml:space="preserve">also </w:t>
      </w:r>
      <w:r w:rsidRPr="00766F18">
        <w:rPr>
          <w:bCs/>
        </w:rPr>
        <w:t xml:space="preserve">be beneficial for the long-term planning of the MHP </w:t>
      </w:r>
      <w:r>
        <w:rPr>
          <w:bCs/>
        </w:rPr>
        <w:t>Conversion Program</w:t>
      </w:r>
      <w:r w:rsidRPr="00766F18">
        <w:rPr>
          <w:bCs/>
        </w:rPr>
        <w:t xml:space="preserve">.  </w:t>
      </w:r>
      <w:r w:rsidR="00C84710">
        <w:rPr>
          <w:bCs/>
        </w:rPr>
        <w:t>T</w:t>
      </w:r>
      <w:r w:rsidRPr="00C84710" w:rsidR="00C84710">
        <w:rPr>
          <w:bCs/>
        </w:rPr>
        <w:t>o-</w:t>
      </w:r>
      <w:r w:rsidR="00C84710">
        <w:rPr>
          <w:bCs/>
        </w:rPr>
        <w:t>T</w:t>
      </w:r>
      <w:r w:rsidRPr="00C84710" w:rsidR="00C84710">
        <w:rPr>
          <w:bCs/>
        </w:rPr>
        <w:t>he-</w:t>
      </w:r>
      <w:r w:rsidR="00C84710">
        <w:rPr>
          <w:bCs/>
        </w:rPr>
        <w:t>M</w:t>
      </w:r>
      <w:r w:rsidRPr="00C84710" w:rsidR="00C84710">
        <w:rPr>
          <w:bCs/>
        </w:rPr>
        <w:t>eter</w:t>
      </w:r>
      <w:r w:rsidRPr="00766F18">
        <w:rPr>
          <w:bCs/>
        </w:rPr>
        <w:t xml:space="preserve"> expenses should be reported annually using a modified template, as is required in PG&amp;E’s Mobile Home Park Utility Upgrade Program Annual CPUC R</w:t>
      </w:r>
      <w:r w:rsidRPr="00E14B8C">
        <w:rPr>
          <w:bCs/>
        </w:rPr>
        <w:t xml:space="preserve">eport. D.20-04-004 modified the reporting requirements and these revisions should also be reflected in the </w:t>
      </w:r>
      <w:r w:rsidRPr="008007D2" w:rsidR="008007D2">
        <w:rPr>
          <w:bCs/>
        </w:rPr>
        <w:t>Rebuild Program</w:t>
      </w:r>
      <w:r w:rsidRPr="00E14B8C">
        <w:rPr>
          <w:bCs/>
        </w:rPr>
        <w:t xml:space="preserve"> reports.  </w:t>
      </w:r>
      <w:r w:rsidRPr="00766F18">
        <w:rPr>
          <w:bCs/>
        </w:rPr>
        <w:t xml:space="preserve">These revisions require additional data </w:t>
      </w:r>
      <w:r w:rsidR="000560F1">
        <w:rPr>
          <w:bCs/>
        </w:rPr>
        <w:t xml:space="preserve">on an annual basis </w:t>
      </w:r>
      <w:r w:rsidRPr="00766F18">
        <w:rPr>
          <w:bCs/>
        </w:rPr>
        <w:t>including:</w:t>
      </w:r>
    </w:p>
    <w:p w:rsidRPr="00E14B8C" w:rsidR="000C3193" w:rsidP="009A2015" w:rsidRDefault="00557A23" w14:paraId="7ECBD280" w14:textId="6D8D9448">
      <w:pPr>
        <w:numPr>
          <w:ilvl w:val="0"/>
          <w:numId w:val="20"/>
        </w:numPr>
        <w:spacing w:after="200"/>
        <w:contextualSpacing/>
        <w:rPr>
          <w:bCs/>
        </w:rPr>
      </w:pPr>
      <w:r w:rsidRPr="00E14B8C">
        <w:rPr>
          <w:bCs/>
        </w:rPr>
        <w:t xml:space="preserve">Demographic data such as the </w:t>
      </w:r>
      <w:r w:rsidR="003102D3">
        <w:rPr>
          <w:bCs/>
        </w:rPr>
        <w:t xml:space="preserve">levels of participation in the </w:t>
      </w:r>
      <w:r w:rsidRPr="00D64128">
        <w:rPr>
          <w:bCs/>
        </w:rPr>
        <w:t>California Alternate Rates for Energy (CARE) and Family Electric Rate Assistance (FERA) programs</w:t>
      </w:r>
      <w:r w:rsidRPr="00E14B8C">
        <w:rPr>
          <w:bCs/>
        </w:rPr>
        <w:t>, Disadvantaged Communities (DAC)</w:t>
      </w:r>
      <w:r w:rsidR="0055332D">
        <w:rPr>
          <w:bCs/>
        </w:rPr>
        <w:t xml:space="preserve"> status</w:t>
      </w:r>
      <w:r w:rsidRPr="00E14B8C">
        <w:rPr>
          <w:bCs/>
        </w:rPr>
        <w:t>, Rural/Urban</w:t>
      </w:r>
      <w:r w:rsidR="0055332D">
        <w:rPr>
          <w:bCs/>
        </w:rPr>
        <w:t xml:space="preserve"> designation</w:t>
      </w:r>
      <w:r w:rsidRPr="00E14B8C">
        <w:rPr>
          <w:bCs/>
        </w:rPr>
        <w:t xml:space="preserve">, </w:t>
      </w:r>
      <w:r w:rsidR="0055332D">
        <w:rPr>
          <w:bCs/>
        </w:rPr>
        <w:t xml:space="preserve">numbers of </w:t>
      </w:r>
      <w:r w:rsidRPr="00E14B8C">
        <w:rPr>
          <w:bCs/>
        </w:rPr>
        <w:t>Medical Baseline</w:t>
      </w:r>
      <w:r w:rsidR="0055332D">
        <w:rPr>
          <w:bCs/>
        </w:rPr>
        <w:t xml:space="preserve"> customers</w:t>
      </w:r>
      <w:r w:rsidRPr="00E14B8C">
        <w:rPr>
          <w:bCs/>
        </w:rPr>
        <w:t>, etc.</w:t>
      </w:r>
    </w:p>
    <w:p w:rsidR="00557A23" w:rsidP="009A2015" w:rsidRDefault="00D33804" w14:paraId="326A6E32" w14:textId="17B1853E">
      <w:pPr>
        <w:numPr>
          <w:ilvl w:val="0"/>
          <w:numId w:val="20"/>
        </w:numPr>
        <w:spacing w:after="200"/>
        <w:contextualSpacing/>
        <w:rPr>
          <w:bCs/>
        </w:rPr>
      </w:pPr>
      <w:r>
        <w:rPr>
          <w:bCs/>
        </w:rPr>
        <w:t>D. 20-04-004 also requires a</w:t>
      </w:r>
      <w:r w:rsidRPr="000560F1" w:rsidR="00557A23">
        <w:rPr>
          <w:bCs/>
        </w:rPr>
        <w:t>ggregation of confidential data to protect customer privacy and competitor contractor information</w:t>
      </w:r>
      <w:r w:rsidR="00BE396A">
        <w:rPr>
          <w:rStyle w:val="FootnoteReference"/>
          <w:bCs/>
        </w:rPr>
        <w:footnoteReference w:id="62"/>
      </w:r>
      <w:r w:rsidRPr="000560F1" w:rsidR="00557A23">
        <w:rPr>
          <w:bCs/>
        </w:rPr>
        <w:t xml:space="preserve"> </w:t>
      </w:r>
    </w:p>
    <w:p w:rsidRPr="00D33804" w:rsidR="00982A07" w:rsidP="0094273D" w:rsidRDefault="00982A07" w14:paraId="1F02E984" w14:textId="77777777">
      <w:pPr>
        <w:spacing w:after="200" w:line="276" w:lineRule="auto"/>
        <w:contextualSpacing/>
        <w:rPr>
          <w:bCs/>
        </w:rPr>
      </w:pPr>
    </w:p>
    <w:p w:rsidRPr="009A2015" w:rsidR="00557A23" w:rsidP="00557A23" w:rsidRDefault="00557A23" w14:paraId="3812452A" w14:textId="4AF457B0">
      <w:pPr>
        <w:pStyle w:val="Heading3"/>
        <w:rPr>
          <w:i/>
        </w:rPr>
      </w:pPr>
      <w:r w:rsidRPr="009A2015">
        <w:rPr>
          <w:i/>
        </w:rPr>
        <w:t xml:space="preserve">Extending </w:t>
      </w:r>
      <w:r w:rsidRPr="009A2015" w:rsidR="00C84710">
        <w:rPr>
          <w:i/>
        </w:rPr>
        <w:t>To-The-Meter</w:t>
      </w:r>
      <w:r w:rsidRPr="009A2015">
        <w:rPr>
          <w:i/>
        </w:rPr>
        <w:t xml:space="preserve"> eligibility to Common Use Buildings </w:t>
      </w:r>
      <w:r w:rsidR="00D21101">
        <w:rPr>
          <w:i/>
        </w:rPr>
        <w:t>and P</w:t>
      </w:r>
      <w:r w:rsidRPr="00D21101" w:rsidR="00D21101">
        <w:rPr>
          <w:i/>
        </w:rPr>
        <w:t xml:space="preserve">ermanent </w:t>
      </w:r>
      <w:r w:rsidR="00D21101">
        <w:rPr>
          <w:i/>
        </w:rPr>
        <w:t>F</w:t>
      </w:r>
      <w:r w:rsidRPr="00D21101" w:rsidR="00D21101">
        <w:rPr>
          <w:i/>
        </w:rPr>
        <w:t xml:space="preserve">ixed </w:t>
      </w:r>
      <w:r w:rsidR="00D21101">
        <w:rPr>
          <w:i/>
        </w:rPr>
        <w:t>F</w:t>
      </w:r>
      <w:r w:rsidRPr="00D21101" w:rsidR="00D21101">
        <w:rPr>
          <w:i/>
        </w:rPr>
        <w:t xml:space="preserve">oundation </w:t>
      </w:r>
      <w:r w:rsidR="00D21101">
        <w:rPr>
          <w:i/>
        </w:rPr>
        <w:t>R</w:t>
      </w:r>
      <w:r w:rsidRPr="00D21101" w:rsidR="00D21101">
        <w:rPr>
          <w:i/>
        </w:rPr>
        <w:t xml:space="preserve">esidential </w:t>
      </w:r>
      <w:r w:rsidR="00D21101">
        <w:rPr>
          <w:i/>
        </w:rPr>
        <w:t>S</w:t>
      </w:r>
      <w:r w:rsidRPr="00D21101" w:rsidR="00D21101">
        <w:rPr>
          <w:i/>
        </w:rPr>
        <w:t xml:space="preserve">tructures </w:t>
      </w:r>
      <w:r w:rsidRPr="009A2015">
        <w:rPr>
          <w:i/>
        </w:rPr>
        <w:t>but not Recreational Vehicle (RV) Spaces</w:t>
      </w:r>
      <w:r w:rsidRPr="009A2015">
        <w:rPr>
          <w:rStyle w:val="FootnoteReference"/>
          <w:rFonts w:ascii="Palatino Linotype" w:hAnsi="Palatino Linotype"/>
          <w:i/>
          <w:u w:val="single"/>
        </w:rPr>
        <w:footnoteReference w:id="63"/>
      </w:r>
    </w:p>
    <w:p w:rsidRPr="008B6079" w:rsidR="00C17864" w:rsidP="009A2015" w:rsidRDefault="00557A23" w14:paraId="6DEAD3C8" w14:textId="61D4E3BA">
      <w:pPr>
        <w:pStyle w:val="sub2"/>
        <w:spacing w:line="240" w:lineRule="auto"/>
        <w:ind w:firstLine="0"/>
        <w:rPr>
          <w:caps/>
        </w:rPr>
      </w:pPr>
      <w:r w:rsidRPr="004023C5">
        <w:t xml:space="preserve">PG&amp;E has proposed to cover the cost of extending </w:t>
      </w:r>
      <w:r w:rsidRPr="009A2015" w:rsidR="00C84710">
        <w:t>to-the-meter</w:t>
      </w:r>
      <w:r w:rsidRPr="009A2015">
        <w:t xml:space="preserve"> service to any habitable/usable structure on MHP property of the </w:t>
      </w:r>
      <w:r w:rsidRPr="009A2015" w:rsidR="008007D2">
        <w:t>Rebuild Program</w:t>
      </w:r>
      <w:r w:rsidRPr="009A2015">
        <w:t xml:space="preserve">.  D.20-04-004 also considered extending </w:t>
      </w:r>
      <w:r w:rsidRPr="009A2015" w:rsidR="00C84710">
        <w:t>to-the-meter</w:t>
      </w:r>
      <w:r w:rsidRPr="009A2015">
        <w:t xml:space="preserve"> eligibility to common use buildings </w:t>
      </w:r>
      <w:r w:rsidRPr="009A2015">
        <w:lastRenderedPageBreak/>
        <w:t xml:space="preserve">but rejected the </w:t>
      </w:r>
      <w:r w:rsidRPr="009A2015" w:rsidR="002B1F6E">
        <w:t xml:space="preserve">proposal to extend service to </w:t>
      </w:r>
      <w:r w:rsidRPr="009A2015">
        <w:t>RV space</w:t>
      </w:r>
      <w:r w:rsidRPr="009A2015" w:rsidR="002B1F6E">
        <w:t>s</w:t>
      </w:r>
      <w:r w:rsidRPr="009A2015">
        <w:t>.</w:t>
      </w:r>
      <w:r w:rsidRPr="008B6079">
        <w:rPr>
          <w:vertAlign w:val="superscript"/>
        </w:rPr>
        <w:footnoteReference w:id="64"/>
      </w:r>
      <w:r w:rsidRPr="004023C5">
        <w:t xml:space="preserve">  In order to remain</w:t>
      </w:r>
      <w:r w:rsidRPr="000A3D0D">
        <w:t xml:space="preserve"> consistent with D.20-04-004</w:t>
      </w:r>
      <w:r w:rsidRPr="002C1E14">
        <w:t xml:space="preserve">, PG&amp;E should extend </w:t>
      </w:r>
      <w:r w:rsidRPr="002C1E14" w:rsidR="00C84710">
        <w:t>to-the-meter</w:t>
      </w:r>
      <w:r w:rsidRPr="002C1E14">
        <w:t xml:space="preserve"> eligibility to common use buildings, but not </w:t>
      </w:r>
      <w:r w:rsidRPr="002C1E14" w:rsidR="00CC7583">
        <w:t>recreational vehicle (RV) spaces</w:t>
      </w:r>
      <w:r w:rsidRPr="002C1E14">
        <w:t>.</w:t>
      </w:r>
      <w:r w:rsidRPr="00F91940">
        <w:t xml:space="preserve">   </w:t>
      </w:r>
      <w:r w:rsidR="003327C7">
        <w:t>However</w:t>
      </w:r>
      <w:r w:rsidR="00343970">
        <w:t xml:space="preserve">, </w:t>
      </w:r>
      <w:r w:rsidR="00091B28">
        <w:t>PG&amp;E may extend</w:t>
      </w:r>
      <w:r w:rsidR="00CA5F0E">
        <w:t xml:space="preserve"> to-the-meter </w:t>
      </w:r>
      <w:r w:rsidR="006F7AFE">
        <w:t xml:space="preserve">electric and gas services to </w:t>
      </w:r>
      <w:r w:rsidRPr="00343970" w:rsidR="00343970">
        <w:t xml:space="preserve">permanent fixed foundation residential structures </w:t>
      </w:r>
      <w:r w:rsidR="006F7AFE">
        <w:t xml:space="preserve">in order to fulfill its commitment to rebuild </w:t>
      </w:r>
      <w:r w:rsidR="00357140">
        <w:t xml:space="preserve">these utilities destroyed by </w:t>
      </w:r>
      <w:r w:rsidR="003327C7">
        <w:t>the Camp Fire</w:t>
      </w:r>
      <w:r w:rsidR="003327C7">
        <w:rPr>
          <w:caps/>
        </w:rPr>
        <w:t>.</w:t>
      </w:r>
      <w:r w:rsidR="00015FF8">
        <w:rPr>
          <w:caps/>
        </w:rPr>
        <w:t xml:space="preserve">  </w:t>
      </w:r>
      <w:r w:rsidRPr="000831C0" w:rsidR="000831C0">
        <w:rPr>
          <w:caps/>
        </w:rPr>
        <w:t xml:space="preserve">PG&amp;E </w:t>
      </w:r>
      <w:r w:rsidRPr="000831C0" w:rsidR="00835FE0">
        <w:t xml:space="preserve">also is not prohibited from performing rebuild work beyond the scope specified in </w:t>
      </w:r>
      <w:r w:rsidR="00FF080C">
        <w:t>D</w:t>
      </w:r>
      <w:r w:rsidRPr="000831C0" w:rsidR="00835FE0">
        <w:t xml:space="preserve">.20-04-004.  </w:t>
      </w:r>
      <w:r w:rsidR="00565A35">
        <w:t>Costs incurred for</w:t>
      </w:r>
      <w:r w:rsidRPr="000831C0" w:rsidR="00835FE0">
        <w:t xml:space="preserve"> work </w:t>
      </w:r>
      <w:r w:rsidR="00C00819">
        <w:t>whose scope exceeds D.20-04-004</w:t>
      </w:r>
      <w:r w:rsidRPr="000831C0" w:rsidR="000831C0">
        <w:t xml:space="preserve"> </w:t>
      </w:r>
      <w:r w:rsidRPr="000831C0" w:rsidR="00835FE0">
        <w:t>will not be recoverable through rates.</w:t>
      </w:r>
    </w:p>
    <w:p w:rsidRPr="009A2015" w:rsidR="000C0A5B" w:rsidP="009A2015" w:rsidRDefault="000C0A5B" w14:paraId="7CFA4EE2" w14:textId="77777777">
      <w:pPr>
        <w:pStyle w:val="sub2"/>
        <w:rPr>
          <w:rFonts w:eastAsia="Calibri"/>
        </w:rPr>
      </w:pPr>
    </w:p>
    <w:p w:rsidR="00557A23" w:rsidP="00557A23" w:rsidRDefault="00557A23" w14:paraId="76A3166E" w14:textId="48484DB7">
      <w:pPr>
        <w:pStyle w:val="Heading3"/>
        <w:rPr>
          <w:i/>
        </w:rPr>
      </w:pPr>
      <w:r w:rsidRPr="009A2015">
        <w:rPr>
          <w:i/>
        </w:rPr>
        <w:t xml:space="preserve">Coordination with </w:t>
      </w:r>
      <w:r w:rsidRPr="009A2015" w:rsidR="00076A42">
        <w:rPr>
          <w:i/>
        </w:rPr>
        <w:t>Primary Jurisdiction (</w:t>
      </w:r>
      <w:r w:rsidRPr="00A76704" w:rsidR="00482E7B">
        <w:rPr>
          <w:i/>
        </w:rPr>
        <w:t>e.g.,</w:t>
      </w:r>
      <w:r w:rsidRPr="009A2015" w:rsidR="00076A42">
        <w:rPr>
          <w:i/>
        </w:rPr>
        <w:t xml:space="preserve"> city or county) and</w:t>
      </w:r>
      <w:r w:rsidRPr="00076A42" w:rsidR="00076A42">
        <w:rPr>
          <w:i/>
        </w:rPr>
        <w:t xml:space="preserve"> </w:t>
      </w:r>
      <w:r w:rsidRPr="009A2015">
        <w:rPr>
          <w:i/>
        </w:rPr>
        <w:t>Non-Energy Service Providers</w:t>
      </w:r>
    </w:p>
    <w:p w:rsidRPr="00382604" w:rsidR="00557A23" w:rsidP="009A2015" w:rsidRDefault="00557A23" w14:paraId="69A07118" w14:textId="4D48CF83">
      <w:pPr>
        <w:spacing w:after="200"/>
        <w:contextualSpacing/>
        <w:rPr>
          <w:bCs/>
        </w:rPr>
      </w:pPr>
      <w:r w:rsidRPr="002421CC">
        <w:rPr>
          <w:bCs/>
        </w:rPr>
        <w:t xml:space="preserve">As required by D.20-04-004, PG&amp;E should continue to notify and coordinate with </w:t>
      </w:r>
      <w:r w:rsidRPr="00076A42" w:rsidR="00076A42">
        <w:rPr>
          <w:bCs/>
        </w:rPr>
        <w:t>primary jurisdiction (</w:t>
      </w:r>
      <w:r w:rsidRPr="00076A42" w:rsidR="00482E7B">
        <w:rPr>
          <w:bCs/>
          <w:i/>
          <w:iCs/>
        </w:rPr>
        <w:t>e.g.,</w:t>
      </w:r>
      <w:r w:rsidRPr="00076A42" w:rsidR="00076A42">
        <w:rPr>
          <w:bCs/>
        </w:rPr>
        <w:t xml:space="preserve"> city or county) and </w:t>
      </w:r>
      <w:r w:rsidRPr="002421CC">
        <w:rPr>
          <w:bCs/>
        </w:rPr>
        <w:t>non-energy</w:t>
      </w:r>
      <w:r>
        <w:rPr>
          <w:bCs/>
        </w:rPr>
        <w:t xml:space="preserve"> </w:t>
      </w:r>
      <w:r w:rsidRPr="002421CC">
        <w:rPr>
          <w:bCs/>
        </w:rPr>
        <w:t xml:space="preserve">utilities who serve MHPs </w:t>
      </w:r>
      <w:r>
        <w:rPr>
          <w:bCs/>
        </w:rPr>
        <w:t>scheduled</w:t>
      </w:r>
      <w:r w:rsidRPr="002421CC">
        <w:rPr>
          <w:bCs/>
        </w:rPr>
        <w:t xml:space="preserve"> for utility rebuild and who could participate in installing or upgrading their facilities in conjunction with </w:t>
      </w:r>
      <w:r w:rsidR="008007D2">
        <w:rPr>
          <w:bCs/>
        </w:rPr>
        <w:t xml:space="preserve">the </w:t>
      </w:r>
      <w:r w:rsidRPr="008007D2" w:rsidR="008007D2">
        <w:rPr>
          <w:bCs/>
        </w:rPr>
        <w:t>Rebuild Program</w:t>
      </w:r>
      <w:r w:rsidRPr="002421CC">
        <w:rPr>
          <w:bCs/>
        </w:rPr>
        <w:t xml:space="preserve"> work</w:t>
      </w:r>
      <w:r w:rsidR="0054052F">
        <w:rPr>
          <w:bCs/>
        </w:rPr>
        <w:t xml:space="preserve">. </w:t>
      </w:r>
      <w:r w:rsidR="002E2988">
        <w:rPr>
          <w:bCs/>
        </w:rPr>
        <w:t>Coordination</w:t>
      </w:r>
      <w:r w:rsidR="0040078C">
        <w:rPr>
          <w:rStyle w:val="FootnoteReference"/>
          <w:bCs/>
        </w:rPr>
        <w:footnoteReference w:id="65"/>
      </w:r>
      <w:r w:rsidR="002E2988">
        <w:rPr>
          <w:bCs/>
        </w:rPr>
        <w:t xml:space="preserve"> should be done</w:t>
      </w:r>
      <w:r w:rsidRPr="002421CC">
        <w:rPr>
          <w:bCs/>
        </w:rPr>
        <w:t xml:space="preserve"> in a manner which benefits </w:t>
      </w:r>
      <w:r>
        <w:rPr>
          <w:bCs/>
        </w:rPr>
        <w:t>CPUC</w:t>
      </w:r>
      <w:r w:rsidRPr="002421CC">
        <w:rPr>
          <w:bCs/>
        </w:rPr>
        <w:t xml:space="preserve"> regulated gas and/or electric utility customers.</w:t>
      </w:r>
      <w:r w:rsidRPr="002B1B33">
        <w:rPr>
          <w:vertAlign w:val="superscript"/>
        </w:rPr>
        <w:footnoteReference w:id="66"/>
      </w:r>
      <w:r w:rsidRPr="00720ADE">
        <w:rPr>
          <w:bCs/>
          <w:vertAlign w:val="superscript"/>
        </w:rPr>
        <w:t xml:space="preserve"> </w:t>
      </w:r>
      <w:r w:rsidRPr="00382604">
        <w:rPr>
          <w:bCs/>
        </w:rPr>
        <w:t xml:space="preserve"> In addition, during the planning phase or upon submission of the</w:t>
      </w:r>
      <w:r w:rsidRPr="249DB94A">
        <w:rPr>
          <w:rFonts w:ascii="Palatino Linotype" w:hAnsi="Palatino Linotype" w:eastAsia="Calibri"/>
        </w:rPr>
        <w:t xml:space="preserve"> </w:t>
      </w:r>
      <w:r w:rsidRPr="00382604">
        <w:rPr>
          <w:bCs/>
        </w:rPr>
        <w:t xml:space="preserve">application, utilities conducting mobilehome work pursuant to this Resolution shall be required to notify the California Advanced </w:t>
      </w:r>
      <w:r w:rsidRPr="00382604">
        <w:rPr>
          <w:bCs/>
        </w:rPr>
        <w:lastRenderedPageBreak/>
        <w:t>Services Fund (CASF) regional broadband Consortia</w:t>
      </w:r>
      <w:r w:rsidRPr="004C2C5B">
        <w:rPr>
          <w:vertAlign w:val="superscript"/>
        </w:rPr>
        <w:footnoteReference w:id="67"/>
      </w:r>
      <w:r w:rsidRPr="00382604">
        <w:rPr>
          <w:bCs/>
        </w:rPr>
        <w:t>.  The notification should include the project location (street address and Geographic Information System coordinates (if possible), timeline, PG&amp;E contact, and other relevant information.  PG&amp;E should provide the non-energy service providers with a prioritized list of participating MHPs as early as possible in</w:t>
      </w:r>
      <w:r>
        <w:rPr>
          <w:bCs/>
        </w:rPr>
        <w:t xml:space="preserve"> the</w:t>
      </w:r>
      <w:r w:rsidRPr="00382604">
        <w:rPr>
          <w:bCs/>
        </w:rPr>
        <w:t xml:space="preserve"> program cycles to encourage participation.</w:t>
      </w:r>
    </w:p>
    <w:p w:rsidRPr="005F2A8B" w:rsidR="00557A23" w:rsidP="00557A23" w:rsidRDefault="00557A23" w14:paraId="4B1F9EBA" w14:textId="77777777">
      <w:pPr>
        <w:spacing w:after="200" w:line="276" w:lineRule="auto"/>
        <w:contextualSpacing/>
        <w:rPr>
          <w:rFonts w:ascii="Palatino Linotype" w:hAnsi="Palatino Linotype" w:eastAsia="Calibri"/>
          <w:szCs w:val="26"/>
        </w:rPr>
      </w:pPr>
    </w:p>
    <w:p w:rsidRPr="00A46009" w:rsidR="00C63475" w:rsidP="0094273D" w:rsidRDefault="00C63475" w14:paraId="45134B58" w14:textId="7D4DAECD">
      <w:pPr>
        <w:pStyle w:val="Heading3"/>
      </w:pPr>
      <w:r w:rsidRPr="0094273D">
        <w:rPr>
          <w:i/>
          <w:iCs/>
        </w:rPr>
        <w:t xml:space="preserve">The Effect of Prioritization of the MHPs in </w:t>
      </w:r>
      <w:r w:rsidR="008007D2">
        <w:rPr>
          <w:i/>
          <w:iCs/>
        </w:rPr>
        <w:t xml:space="preserve">the </w:t>
      </w:r>
      <w:r w:rsidRPr="008007D2" w:rsidR="008007D2">
        <w:rPr>
          <w:bCs/>
          <w:i/>
          <w:iCs/>
        </w:rPr>
        <w:t>Rebuild Program</w:t>
      </w:r>
      <w:r w:rsidRPr="0094273D">
        <w:rPr>
          <w:i/>
          <w:iCs/>
        </w:rPr>
        <w:t xml:space="preserve"> on the MHP</w:t>
      </w:r>
      <w:r w:rsidRPr="0094273D" w:rsidDel="00022BC6">
        <w:rPr>
          <w:i/>
          <w:iCs/>
        </w:rPr>
        <w:t xml:space="preserve"> </w:t>
      </w:r>
      <w:r w:rsidRPr="0094273D">
        <w:rPr>
          <w:i/>
          <w:iCs/>
        </w:rPr>
        <w:t>Conversion Program</w:t>
      </w:r>
    </w:p>
    <w:p w:rsidRPr="00E14B8C" w:rsidR="00C63475" w:rsidP="009A2015" w:rsidRDefault="00C63475" w14:paraId="103E47FD" w14:textId="3EC3816D">
      <w:pPr>
        <w:spacing w:after="200"/>
        <w:rPr>
          <w:bCs/>
        </w:rPr>
      </w:pPr>
      <w:r w:rsidRPr="00DC4D3C">
        <w:rPr>
          <w:bCs/>
        </w:rPr>
        <w:t>PG&amp;E proposed that MHPs need not be prioritized or pre-qualified under the prioritization criteria of the MHP Pilot to qualify for the</w:t>
      </w:r>
      <w:r w:rsidRPr="00E14B8C">
        <w:rPr>
          <w:bCs/>
        </w:rPr>
        <w:t xml:space="preserve"> </w:t>
      </w:r>
      <w:r w:rsidRPr="008007D2" w:rsidR="008007D2">
        <w:rPr>
          <w:bCs/>
        </w:rPr>
        <w:t>Rebuild Program</w:t>
      </w:r>
      <w:r w:rsidRPr="00DC4D3C">
        <w:rPr>
          <w:bCs/>
        </w:rPr>
        <w:t xml:space="preserve">. Even MHPs </w:t>
      </w:r>
      <w:r>
        <w:rPr>
          <w:bCs/>
        </w:rPr>
        <w:t>whose upgrades</w:t>
      </w:r>
      <w:r w:rsidRPr="00DC4D3C">
        <w:rPr>
          <w:bCs/>
        </w:rPr>
        <w:t xml:space="preserve"> were deemed low priorit</w:t>
      </w:r>
      <w:r>
        <w:rPr>
          <w:bCs/>
        </w:rPr>
        <w:t>y</w:t>
      </w:r>
      <w:r w:rsidRPr="00DC4D3C">
        <w:rPr>
          <w:bCs/>
        </w:rPr>
        <w:t xml:space="preserve"> under the MHP Pilot and spaces that were previously directly served by PG&amp;E </w:t>
      </w:r>
      <w:r>
        <w:rPr>
          <w:bCs/>
        </w:rPr>
        <w:t>will</w:t>
      </w:r>
      <w:r w:rsidRPr="00DC4D3C">
        <w:rPr>
          <w:bCs/>
        </w:rPr>
        <w:t xml:space="preserve"> qualify. </w:t>
      </w:r>
      <w:r w:rsidR="00290920">
        <w:rPr>
          <w:bCs/>
        </w:rPr>
        <w:t xml:space="preserve">This blanket approval </w:t>
      </w:r>
      <w:r w:rsidR="002E1651">
        <w:rPr>
          <w:bCs/>
        </w:rPr>
        <w:t xml:space="preserve">policy </w:t>
      </w:r>
      <w:r w:rsidR="00290920">
        <w:rPr>
          <w:bCs/>
        </w:rPr>
        <w:t xml:space="preserve">raised concerns that the resources devoted to the </w:t>
      </w:r>
      <w:r w:rsidRPr="008007D2" w:rsidR="008007D2">
        <w:rPr>
          <w:bCs/>
        </w:rPr>
        <w:t>Rebuild Program</w:t>
      </w:r>
      <w:r w:rsidR="00290920">
        <w:rPr>
          <w:bCs/>
        </w:rPr>
        <w:t xml:space="preserve"> would lead to delays in</w:t>
      </w:r>
      <w:r w:rsidR="00E84035">
        <w:rPr>
          <w:bCs/>
        </w:rPr>
        <w:t xml:space="preserve"> </w:t>
      </w:r>
      <w:r w:rsidR="002E1651">
        <w:rPr>
          <w:bCs/>
        </w:rPr>
        <w:t xml:space="preserve">existing </w:t>
      </w:r>
      <w:r w:rsidR="00E84035">
        <w:rPr>
          <w:bCs/>
        </w:rPr>
        <w:t xml:space="preserve">MHP Utility Conversion programs.  </w:t>
      </w:r>
      <w:r w:rsidR="007740D6">
        <w:rPr>
          <w:bCs/>
        </w:rPr>
        <w:t>Energy Division staff</w:t>
      </w:r>
      <w:r w:rsidRPr="00E14B8C">
        <w:rPr>
          <w:bCs/>
        </w:rPr>
        <w:t xml:space="preserve"> </w:t>
      </w:r>
      <w:r>
        <w:rPr>
          <w:bCs/>
        </w:rPr>
        <w:t xml:space="preserve">asked PG&amp;E </w:t>
      </w:r>
      <w:r w:rsidRPr="00E14B8C">
        <w:rPr>
          <w:bCs/>
        </w:rPr>
        <w:t xml:space="preserve">whether redirecting PG&amp;E resources to give priority to </w:t>
      </w:r>
      <w:r>
        <w:rPr>
          <w:bCs/>
        </w:rPr>
        <w:t>Butte County</w:t>
      </w:r>
      <w:r w:rsidRPr="00E14B8C">
        <w:rPr>
          <w:bCs/>
        </w:rPr>
        <w:t xml:space="preserve"> MHPs would have an impact on the existing Category 1 MHP</w:t>
      </w:r>
      <w:r>
        <w:rPr>
          <w:bCs/>
        </w:rPr>
        <w:t>s</w:t>
      </w:r>
      <w:r w:rsidRPr="00E14B8C">
        <w:rPr>
          <w:bCs/>
        </w:rPr>
        <w:t xml:space="preserve"> </w:t>
      </w:r>
      <w:r>
        <w:rPr>
          <w:bCs/>
        </w:rPr>
        <w:t>applying to the MHP Conversion Program</w:t>
      </w:r>
      <w:r w:rsidRPr="00E14B8C">
        <w:rPr>
          <w:bCs/>
        </w:rPr>
        <w:t>.</w:t>
      </w:r>
    </w:p>
    <w:p w:rsidR="00C63475" w:rsidP="009A2015" w:rsidRDefault="00C63475" w14:paraId="405C604B" w14:textId="3D14C1F8">
      <w:pPr>
        <w:spacing w:after="200"/>
        <w:rPr>
          <w:bCs/>
        </w:rPr>
      </w:pPr>
      <w:r>
        <w:rPr>
          <w:bCs/>
        </w:rPr>
        <w:t xml:space="preserve">In response, </w:t>
      </w:r>
      <w:r w:rsidRPr="00E14B8C">
        <w:rPr>
          <w:bCs/>
        </w:rPr>
        <w:t xml:space="preserve">PG&amp;E indicates </w:t>
      </w:r>
      <w:r w:rsidRPr="00DC4D3C">
        <w:rPr>
          <w:bCs/>
        </w:rPr>
        <w:t xml:space="preserve">that </w:t>
      </w:r>
      <w:r w:rsidRPr="006739C0">
        <w:rPr>
          <w:bCs/>
        </w:rPr>
        <w:t xml:space="preserve">there is </w:t>
      </w:r>
      <w:r w:rsidRPr="003D1409">
        <w:rPr>
          <w:bCs/>
        </w:rPr>
        <w:t xml:space="preserve">currently adequate management and overhead staff, and civil resources are </w:t>
      </w:r>
      <w:r>
        <w:rPr>
          <w:bCs/>
        </w:rPr>
        <w:t xml:space="preserve">being </w:t>
      </w:r>
      <w:r w:rsidRPr="003D1409">
        <w:rPr>
          <w:bCs/>
        </w:rPr>
        <w:t>add</w:t>
      </w:r>
      <w:r>
        <w:rPr>
          <w:bCs/>
        </w:rPr>
        <w:t>ed</w:t>
      </w:r>
      <w:r w:rsidRPr="003D1409">
        <w:rPr>
          <w:bCs/>
        </w:rPr>
        <w:t xml:space="preserve"> or reallocat</w:t>
      </w:r>
      <w:r>
        <w:rPr>
          <w:bCs/>
        </w:rPr>
        <w:t>ed</w:t>
      </w:r>
      <w:r w:rsidRPr="003D1409">
        <w:rPr>
          <w:bCs/>
        </w:rPr>
        <w:t xml:space="preserve"> as necessary to simultaneously support both </w:t>
      </w:r>
      <w:r>
        <w:rPr>
          <w:bCs/>
        </w:rPr>
        <w:t xml:space="preserve">the </w:t>
      </w:r>
      <w:r w:rsidRPr="008007D2" w:rsidR="008007D2">
        <w:rPr>
          <w:bCs/>
        </w:rPr>
        <w:t>Rebuild Program</w:t>
      </w:r>
      <w:r w:rsidRPr="002348E9">
        <w:rPr>
          <w:bCs/>
        </w:rPr>
        <w:t xml:space="preserve"> </w:t>
      </w:r>
      <w:r>
        <w:rPr>
          <w:bCs/>
        </w:rPr>
        <w:t xml:space="preserve">and the </w:t>
      </w:r>
      <w:r w:rsidRPr="002348E9">
        <w:rPr>
          <w:bCs/>
        </w:rPr>
        <w:t xml:space="preserve">MHP Conversion </w:t>
      </w:r>
      <w:r w:rsidRPr="003D1409">
        <w:rPr>
          <w:bCs/>
        </w:rPr>
        <w:t>program at</w:t>
      </w:r>
      <w:r>
        <w:rPr>
          <w:bCs/>
        </w:rPr>
        <w:t xml:space="preserve"> their</w:t>
      </w:r>
      <w:r w:rsidRPr="003D1409">
        <w:rPr>
          <w:bCs/>
        </w:rPr>
        <w:t xml:space="preserve"> full capacit</w:t>
      </w:r>
      <w:r>
        <w:rPr>
          <w:bCs/>
        </w:rPr>
        <w:t>ies</w:t>
      </w:r>
      <w:r w:rsidRPr="003D1409">
        <w:rPr>
          <w:bCs/>
        </w:rPr>
        <w:t>.</w:t>
      </w:r>
      <w:r>
        <w:rPr>
          <w:rStyle w:val="FootnoteReference"/>
          <w:bCs/>
        </w:rPr>
        <w:footnoteReference w:id="68"/>
      </w:r>
      <w:r w:rsidRPr="003D1409">
        <w:rPr>
          <w:bCs/>
        </w:rPr>
        <w:t xml:space="preserve"> </w:t>
      </w:r>
      <w:r w:rsidRPr="006739C0">
        <w:rPr>
          <w:bCs/>
        </w:rPr>
        <w:t xml:space="preserve">  </w:t>
      </w:r>
    </w:p>
    <w:p w:rsidRPr="00566B5A" w:rsidR="00A21833" w:rsidP="00566B5A" w:rsidRDefault="00A21833" w14:paraId="61F5D055" w14:textId="77777777">
      <w:pPr>
        <w:contextualSpacing/>
        <w:rPr>
          <w:rFonts w:ascii="Palatino Linotype" w:hAnsi="Palatino Linotype" w:eastAsia="Calibri"/>
          <w:szCs w:val="26"/>
        </w:rPr>
      </w:pPr>
    </w:p>
    <w:p w:rsidRPr="000A2AD9" w:rsidR="00A633EE" w:rsidP="000A2AD9" w:rsidRDefault="00A633EE" w14:paraId="7B632A8F" w14:textId="0D3FCD10">
      <w:pPr>
        <w:pStyle w:val="Heading3"/>
        <w:rPr>
          <w:bCs/>
          <w:i/>
          <w:iCs/>
        </w:rPr>
      </w:pPr>
      <w:r w:rsidRPr="000A2AD9">
        <w:rPr>
          <w:i/>
          <w:iCs/>
        </w:rPr>
        <w:t>Insurance Coverage of MHP owned Utility Systems</w:t>
      </w:r>
    </w:p>
    <w:p w:rsidR="00AE6BC5" w:rsidP="009A2015" w:rsidRDefault="00AE6BC5" w14:paraId="4C803B87" w14:textId="72FF0876">
      <w:pPr>
        <w:rPr>
          <w:bCs/>
        </w:rPr>
      </w:pPr>
      <w:r>
        <w:rPr>
          <w:bCs/>
        </w:rPr>
        <w:t xml:space="preserve">In its protest, </w:t>
      </w:r>
      <w:r w:rsidR="00A633EE">
        <w:rPr>
          <w:bCs/>
        </w:rPr>
        <w:t xml:space="preserve">Evergreen MHP indicated that insurance policies for MHPs typically do not cover utilities.  </w:t>
      </w:r>
      <w:r w:rsidRPr="00C27B83" w:rsidR="00A633EE">
        <w:rPr>
          <w:bCs/>
        </w:rPr>
        <w:t xml:space="preserve">California does not require MHP owners and operators to carry property or liability insurance coverage, unless such coverage is required by a mortgage lender.  Therefore, MHP owners and operators might not carry any insurance coverage for underground utility lines, utility pedestals, and electrical distribution equipment.  PG&amp;E does not have information on </w:t>
      </w:r>
      <w:r w:rsidRPr="00235404" w:rsidR="00A633EE">
        <w:rPr>
          <w:bCs/>
        </w:rPr>
        <w:t xml:space="preserve">what </w:t>
      </w:r>
      <w:r w:rsidRPr="00235404" w:rsidR="00A633EE">
        <w:rPr>
          <w:bCs/>
        </w:rPr>
        <w:lastRenderedPageBreak/>
        <w:t>insurance payments</w:t>
      </w:r>
      <w:r w:rsidR="00A633EE">
        <w:rPr>
          <w:bCs/>
        </w:rPr>
        <w:t xml:space="preserve"> may</w:t>
      </w:r>
      <w:r w:rsidRPr="00235404" w:rsidR="00A633EE">
        <w:rPr>
          <w:bCs/>
        </w:rPr>
        <w:t xml:space="preserve"> have been made to park owners or how th</w:t>
      </w:r>
      <w:r w:rsidR="00954308">
        <w:rPr>
          <w:bCs/>
        </w:rPr>
        <w:t>os</w:t>
      </w:r>
      <w:r w:rsidR="00657E09">
        <w:rPr>
          <w:bCs/>
        </w:rPr>
        <w:t>e</w:t>
      </w:r>
      <w:r w:rsidRPr="00235404" w:rsidR="00A633EE">
        <w:rPr>
          <w:bCs/>
        </w:rPr>
        <w:t xml:space="preserve"> funds </w:t>
      </w:r>
      <w:r w:rsidR="00954308">
        <w:rPr>
          <w:bCs/>
        </w:rPr>
        <w:t>may have</w:t>
      </w:r>
      <w:r w:rsidRPr="00235404" w:rsidR="00A633EE">
        <w:rPr>
          <w:bCs/>
        </w:rPr>
        <w:t xml:space="preserve"> be</w:t>
      </w:r>
      <w:r w:rsidR="00954308">
        <w:rPr>
          <w:bCs/>
        </w:rPr>
        <w:t>en</w:t>
      </w:r>
      <w:r w:rsidRPr="00235404" w:rsidR="00A633EE">
        <w:rPr>
          <w:bCs/>
        </w:rPr>
        <w:t xml:space="preserve"> spent</w:t>
      </w:r>
      <w:r w:rsidRPr="00C27B83" w:rsidR="00A633EE">
        <w:rPr>
          <w:bCs/>
        </w:rPr>
        <w:t>.</w:t>
      </w:r>
      <w:r w:rsidR="00A633EE">
        <w:rPr>
          <w:rStyle w:val="FootnoteReference"/>
          <w:bCs/>
        </w:rPr>
        <w:footnoteReference w:id="69"/>
      </w:r>
      <w:r w:rsidR="00A633EE">
        <w:rPr>
          <w:bCs/>
        </w:rPr>
        <w:t xml:space="preserve"> </w:t>
      </w:r>
    </w:p>
    <w:p w:rsidR="00AE6BC5" w:rsidP="009A2015" w:rsidRDefault="00AE6BC5" w14:paraId="214B5C8F" w14:textId="77777777">
      <w:pPr>
        <w:rPr>
          <w:bCs/>
        </w:rPr>
      </w:pPr>
    </w:p>
    <w:p w:rsidR="00A633EE" w:rsidP="009A2015" w:rsidRDefault="00A633EE" w14:paraId="3859E054" w14:textId="60621F0F">
      <w:pPr>
        <w:rPr>
          <w:bCs/>
        </w:rPr>
      </w:pPr>
      <w:r>
        <w:rPr>
          <w:bCs/>
        </w:rPr>
        <w:t>Despite the lack of insurance coverage indicated by the protesting MHP owners and operators</w:t>
      </w:r>
      <w:r>
        <w:rPr>
          <w:rStyle w:val="FootnoteReference"/>
          <w:bCs/>
        </w:rPr>
        <w:footnoteReference w:id="70"/>
      </w:r>
      <w:r w:rsidRPr="00C27B83">
        <w:rPr>
          <w:bCs/>
        </w:rPr>
        <w:t>, there had been 64 wildfires in Butte County between 2007 and the start of the Camp Fire</w:t>
      </w:r>
      <w:r w:rsidRPr="00C27B83">
        <w:rPr>
          <w:bCs/>
          <w:vertAlign w:val="superscript"/>
        </w:rPr>
        <w:footnoteReference w:id="71"/>
      </w:r>
      <w:r w:rsidR="00657E09">
        <w:rPr>
          <w:bCs/>
        </w:rPr>
        <w:t xml:space="preserve"> </w:t>
      </w:r>
      <w:r w:rsidR="00153015">
        <w:rPr>
          <w:bCs/>
        </w:rPr>
        <w:t xml:space="preserve">and </w:t>
      </w:r>
      <w:r w:rsidRPr="00C27B83">
        <w:rPr>
          <w:bCs/>
        </w:rPr>
        <w:t>some MHP owners and operators might have opted to carry insurance</w:t>
      </w:r>
      <w:r w:rsidR="00153015">
        <w:rPr>
          <w:bCs/>
        </w:rPr>
        <w:t xml:space="preserve"> as a result</w:t>
      </w:r>
      <w:r w:rsidRPr="00C27B83">
        <w:rPr>
          <w:bCs/>
        </w:rPr>
        <w:t xml:space="preserve">. </w:t>
      </w:r>
    </w:p>
    <w:p w:rsidRPr="00C27B83" w:rsidR="00A633EE" w:rsidP="009A2015" w:rsidRDefault="00A633EE" w14:paraId="6AFFD4FF" w14:textId="77777777">
      <w:pPr>
        <w:rPr>
          <w:bCs/>
        </w:rPr>
      </w:pPr>
    </w:p>
    <w:p w:rsidRPr="00C27B83" w:rsidR="00A633EE" w:rsidP="009A2015" w:rsidRDefault="00D21101" w14:paraId="739B3CB6" w14:textId="0A2F5D52">
      <w:pPr>
        <w:rPr>
          <w:bCs/>
        </w:rPr>
      </w:pPr>
      <w:r>
        <w:rPr>
          <w:bCs/>
        </w:rPr>
        <w:t xml:space="preserve">However, </w:t>
      </w:r>
      <w:r w:rsidR="00E96AFD">
        <w:rPr>
          <w:bCs/>
        </w:rPr>
        <w:t>Ridgewood MHP has raised valid concerns related to the insurance claim remit</w:t>
      </w:r>
      <w:r w:rsidR="00825578">
        <w:rPr>
          <w:bCs/>
        </w:rPr>
        <w:t>m</w:t>
      </w:r>
      <w:r w:rsidR="00E96AFD">
        <w:rPr>
          <w:bCs/>
        </w:rPr>
        <w:t xml:space="preserve">ent issue in their comments to the Resolution.  Therefore, the Commission </w:t>
      </w:r>
      <w:r w:rsidRPr="00E96AFD" w:rsidR="00E96AFD">
        <w:rPr>
          <w:bCs/>
        </w:rPr>
        <w:t>will waive the insurance remit</w:t>
      </w:r>
      <w:r w:rsidR="00C84F34">
        <w:rPr>
          <w:bCs/>
        </w:rPr>
        <w:t>m</w:t>
      </w:r>
      <w:r w:rsidRPr="00E96AFD" w:rsidR="00E96AFD">
        <w:rPr>
          <w:bCs/>
        </w:rPr>
        <w:t>ent requirement</w:t>
      </w:r>
      <w:r w:rsidR="00E96AFD">
        <w:rPr>
          <w:bCs/>
        </w:rPr>
        <w:t>.</w:t>
      </w:r>
      <w:r w:rsidR="00E96AFD">
        <w:rPr>
          <w:rStyle w:val="FootnoteReference"/>
          <w:bCs/>
        </w:rPr>
        <w:footnoteReference w:id="72"/>
      </w:r>
    </w:p>
    <w:p w:rsidRPr="00E14B8C" w:rsidR="00A633EE" w:rsidP="00C63475" w:rsidRDefault="00A633EE" w14:paraId="014AA889" w14:textId="77777777">
      <w:pPr>
        <w:spacing w:after="200" w:line="276" w:lineRule="auto"/>
        <w:rPr>
          <w:bCs/>
        </w:rPr>
      </w:pPr>
    </w:p>
    <w:p w:rsidRPr="006C6A00" w:rsidR="006C6A00" w:rsidP="003A3AB5" w:rsidRDefault="00494993" w14:paraId="7852BABB" w14:textId="4995159D">
      <w:pPr>
        <w:pStyle w:val="Heading2"/>
        <w:numPr>
          <w:ilvl w:val="0"/>
          <w:numId w:val="0"/>
        </w:numPr>
      </w:pPr>
      <w:r>
        <w:t xml:space="preserve">Modification of </w:t>
      </w:r>
      <w:r w:rsidR="00EF52B2">
        <w:t xml:space="preserve">the </w:t>
      </w:r>
      <w:r w:rsidRPr="006C6A00" w:rsidR="00EF52B2">
        <w:rPr>
          <w:bCs/>
        </w:rPr>
        <w:t xml:space="preserve">Butte County </w:t>
      </w:r>
      <w:r w:rsidRPr="000068A2" w:rsidR="000068A2">
        <w:rPr>
          <w:bCs/>
        </w:rPr>
        <w:t>Mobilehome</w:t>
      </w:r>
      <w:r w:rsidR="0061125A">
        <w:rPr>
          <w:bCs/>
        </w:rPr>
        <w:t xml:space="preserve"> Park</w:t>
      </w:r>
      <w:r w:rsidRPr="006C6A00" w:rsidR="00EF52B2">
        <w:rPr>
          <w:bCs/>
        </w:rPr>
        <w:t xml:space="preserve"> Rebuild Program </w:t>
      </w:r>
      <w:r w:rsidR="00320988">
        <w:t>Agreement</w:t>
      </w:r>
      <w:r w:rsidRPr="00EF52B2" w:rsidR="00EF52B2">
        <w:t xml:space="preserve"> </w:t>
      </w:r>
      <w:r w:rsidR="00EF52B2">
        <w:t xml:space="preserve">due to </w:t>
      </w:r>
      <w:r w:rsidRPr="006C6A00" w:rsidR="006C6A00">
        <w:t xml:space="preserve">Protested Issues </w:t>
      </w:r>
      <w:r w:rsidR="001F445C">
        <w:t>Raised in</w:t>
      </w:r>
      <w:r w:rsidR="00CF446E">
        <w:t xml:space="preserve"> </w:t>
      </w:r>
      <w:r w:rsidR="005C241A">
        <w:t xml:space="preserve">this </w:t>
      </w:r>
      <w:r w:rsidR="00CF446E">
        <w:t>Advice Letter</w:t>
      </w:r>
    </w:p>
    <w:p w:rsidR="006C6A00" w:rsidP="009A2015" w:rsidRDefault="006C6A00" w14:paraId="18D28D59" w14:textId="776B0F22">
      <w:pPr>
        <w:rPr>
          <w:bCs/>
        </w:rPr>
      </w:pPr>
      <w:r w:rsidRPr="006C6A00">
        <w:rPr>
          <w:bCs/>
        </w:rPr>
        <w:t xml:space="preserve">There were ten protested issues by MHP owners and operators.  </w:t>
      </w:r>
      <w:r w:rsidR="00236976">
        <w:rPr>
          <w:bCs/>
        </w:rPr>
        <w:t xml:space="preserve">Discussion of </w:t>
      </w:r>
      <w:r w:rsidR="00022BC6">
        <w:rPr>
          <w:bCs/>
        </w:rPr>
        <w:t>closely related</w:t>
      </w:r>
      <w:r w:rsidRPr="00A37B1F" w:rsidR="00A37B1F">
        <w:rPr>
          <w:bCs/>
        </w:rPr>
        <w:t xml:space="preserve"> issues are combined</w:t>
      </w:r>
      <w:r w:rsidR="0018495C">
        <w:rPr>
          <w:bCs/>
        </w:rPr>
        <w:t xml:space="preserve"> in</w:t>
      </w:r>
      <w:r w:rsidR="00022BC6">
        <w:rPr>
          <w:bCs/>
        </w:rPr>
        <w:t xml:space="preserve"> the following</w:t>
      </w:r>
      <w:r w:rsidR="0018495C">
        <w:rPr>
          <w:bCs/>
        </w:rPr>
        <w:t xml:space="preserve"> subsections</w:t>
      </w:r>
      <w:r w:rsidR="00022BC6">
        <w:rPr>
          <w:bCs/>
        </w:rPr>
        <w:t xml:space="preserve">, </w:t>
      </w:r>
      <w:r w:rsidR="00071E3F">
        <w:rPr>
          <w:bCs/>
        </w:rPr>
        <w:t xml:space="preserve">each corresponding </w:t>
      </w:r>
      <w:r w:rsidR="00894433">
        <w:rPr>
          <w:bCs/>
        </w:rPr>
        <w:t xml:space="preserve">to </w:t>
      </w:r>
      <w:r w:rsidR="00071E3F">
        <w:rPr>
          <w:bCs/>
        </w:rPr>
        <w:t>the protests section above</w:t>
      </w:r>
      <w:r w:rsidR="003C3BFB">
        <w:rPr>
          <w:bCs/>
        </w:rPr>
        <w:t xml:space="preserve">.  </w:t>
      </w:r>
      <w:r w:rsidRPr="006C6A00">
        <w:rPr>
          <w:bCs/>
        </w:rPr>
        <w:t xml:space="preserve">These issues are related to </w:t>
      </w:r>
      <w:r w:rsidR="00226D92">
        <w:rPr>
          <w:bCs/>
        </w:rPr>
        <w:t xml:space="preserve">underground </w:t>
      </w:r>
      <w:r w:rsidRPr="006C6A00">
        <w:rPr>
          <w:bCs/>
        </w:rPr>
        <w:t xml:space="preserve">utility </w:t>
      </w:r>
      <w:r w:rsidR="00F71DCD">
        <w:rPr>
          <w:bCs/>
        </w:rPr>
        <w:t>placement</w:t>
      </w:r>
      <w:r w:rsidR="006030B1">
        <w:rPr>
          <w:rStyle w:val="FootnoteReference"/>
          <w:bCs/>
        </w:rPr>
        <w:footnoteReference w:id="73"/>
      </w:r>
      <w:r w:rsidRPr="006C6A00">
        <w:rPr>
          <w:bCs/>
        </w:rPr>
        <w:t xml:space="preserve">, </w:t>
      </w:r>
      <w:r w:rsidRPr="006C6A00" w:rsidR="00B8752E">
        <w:rPr>
          <w:bCs/>
        </w:rPr>
        <w:t>preservation of existing underground sewage systems</w:t>
      </w:r>
      <w:r w:rsidR="003A3AB5">
        <w:rPr>
          <w:rStyle w:val="FootnoteReference"/>
          <w:bCs/>
        </w:rPr>
        <w:footnoteReference w:id="74"/>
      </w:r>
      <w:r w:rsidRPr="006C6A00" w:rsidR="00E64989">
        <w:rPr>
          <w:bCs/>
        </w:rPr>
        <w:t xml:space="preserve">, removal of legacy infrastructure, </w:t>
      </w:r>
      <w:r w:rsidR="00226D92">
        <w:rPr>
          <w:bCs/>
        </w:rPr>
        <w:t xml:space="preserve">location of utility meters, </w:t>
      </w:r>
      <w:r w:rsidRPr="006C6A00">
        <w:rPr>
          <w:bCs/>
        </w:rPr>
        <w:t xml:space="preserve">electric </w:t>
      </w:r>
      <w:r w:rsidRPr="006C6A00">
        <w:rPr>
          <w:bCs/>
        </w:rPr>
        <w:lastRenderedPageBreak/>
        <w:t>capacity</w:t>
      </w:r>
      <w:r w:rsidR="00B05554">
        <w:rPr>
          <w:rStyle w:val="FootnoteReference"/>
          <w:bCs/>
        </w:rPr>
        <w:footnoteReference w:id="75"/>
      </w:r>
      <w:r w:rsidRPr="006C6A00">
        <w:rPr>
          <w:bCs/>
        </w:rPr>
        <w:t>,</w:t>
      </w:r>
      <w:r w:rsidR="007C0808">
        <w:rPr>
          <w:bCs/>
        </w:rPr>
        <w:t xml:space="preserve"> </w:t>
      </w:r>
      <w:r w:rsidRPr="006C6A00">
        <w:rPr>
          <w:bCs/>
        </w:rPr>
        <w:t xml:space="preserve">and language </w:t>
      </w:r>
      <w:r w:rsidR="007C0808">
        <w:rPr>
          <w:bCs/>
        </w:rPr>
        <w:t>within</w:t>
      </w:r>
      <w:r w:rsidRPr="006C6A00">
        <w:rPr>
          <w:bCs/>
        </w:rPr>
        <w:t xml:space="preserve"> the Butte County </w:t>
      </w:r>
      <w:r w:rsidRPr="000068A2" w:rsidR="000068A2">
        <w:rPr>
          <w:bCs/>
        </w:rPr>
        <w:t>Mobilehome</w:t>
      </w:r>
      <w:r w:rsidR="0061125A">
        <w:rPr>
          <w:bCs/>
        </w:rPr>
        <w:t xml:space="preserve"> Park</w:t>
      </w:r>
      <w:r w:rsidRPr="006C6A00">
        <w:rPr>
          <w:bCs/>
        </w:rPr>
        <w:t xml:space="preserve"> Rebuild Program Agreement</w:t>
      </w:r>
      <w:r w:rsidR="00667C64">
        <w:rPr>
          <w:rStyle w:val="FootnoteReference"/>
          <w:bCs/>
        </w:rPr>
        <w:footnoteReference w:id="76"/>
      </w:r>
      <w:r w:rsidRPr="006C6A00">
        <w:rPr>
          <w:bCs/>
        </w:rPr>
        <w:t xml:space="preserve">. </w:t>
      </w:r>
      <w:r w:rsidR="007C0808">
        <w:rPr>
          <w:bCs/>
        </w:rPr>
        <w:t xml:space="preserve"> </w:t>
      </w:r>
    </w:p>
    <w:p w:rsidR="009B4FA6" w:rsidP="006C6A00" w:rsidRDefault="009B4FA6" w14:paraId="3D22D403" w14:textId="77777777">
      <w:pPr>
        <w:spacing w:line="276" w:lineRule="auto"/>
        <w:rPr>
          <w:bCs/>
        </w:rPr>
      </w:pPr>
    </w:p>
    <w:p w:rsidRPr="00E2196B" w:rsidR="00BE0045" w:rsidP="000A2AD9" w:rsidRDefault="00BE0045" w14:paraId="17901EB7" w14:textId="3B55C7AA">
      <w:pPr>
        <w:pStyle w:val="Heading3"/>
        <w:rPr>
          <w:b w:val="0"/>
        </w:rPr>
      </w:pPr>
      <w:r w:rsidRPr="00E2196B">
        <w:rPr>
          <w:b w:val="0"/>
          <w:i/>
        </w:rPr>
        <w:t>Rebuilt Utility Placement</w:t>
      </w:r>
      <w:r w:rsidRPr="00E2196B" w:rsidDel="00410FFB" w:rsidR="00F24854">
        <w:rPr>
          <w:b w:val="0"/>
        </w:rPr>
        <w:t xml:space="preserve"> </w:t>
      </w:r>
    </w:p>
    <w:p w:rsidR="00F71DCD" w:rsidP="009A2015" w:rsidRDefault="006B42EE" w14:paraId="03687A20" w14:textId="182198BD">
      <w:pPr>
        <w:rPr>
          <w:bCs/>
        </w:rPr>
      </w:pPr>
      <w:r>
        <w:rPr>
          <w:bCs/>
        </w:rPr>
        <w:t>MHP</w:t>
      </w:r>
      <w:r w:rsidR="00BB05E8">
        <w:rPr>
          <w:bCs/>
        </w:rPr>
        <w:t xml:space="preserve"> owners and operators </w:t>
      </w:r>
      <w:r w:rsidRPr="00BB05E8" w:rsidR="00BB05E8">
        <w:rPr>
          <w:bCs/>
        </w:rPr>
        <w:t xml:space="preserve">indicate in their protests that </w:t>
      </w:r>
      <w:r w:rsidR="007E30CA">
        <w:rPr>
          <w:bCs/>
        </w:rPr>
        <w:t>e</w:t>
      </w:r>
      <w:r w:rsidRPr="00BB05E8" w:rsidR="007E30CA">
        <w:rPr>
          <w:bCs/>
        </w:rPr>
        <w:t xml:space="preserve">lectric </w:t>
      </w:r>
      <w:r w:rsidRPr="00BB05E8" w:rsidR="00BB05E8">
        <w:rPr>
          <w:bCs/>
        </w:rPr>
        <w:t xml:space="preserve">and gas utilities </w:t>
      </w:r>
      <w:r w:rsidRPr="00BB05E8" w:rsidR="00F86910">
        <w:rPr>
          <w:bCs/>
        </w:rPr>
        <w:t>do not</w:t>
      </w:r>
      <w:r w:rsidRPr="00BB05E8" w:rsidR="00BB05E8">
        <w:rPr>
          <w:bCs/>
        </w:rPr>
        <w:t xml:space="preserve"> have to be placed in the streets</w:t>
      </w:r>
      <w:r w:rsidR="00D12A7D">
        <w:rPr>
          <w:bCs/>
        </w:rPr>
        <w:t xml:space="preserve">.  They </w:t>
      </w:r>
      <w:r w:rsidR="002F13C0">
        <w:rPr>
          <w:bCs/>
        </w:rPr>
        <w:t xml:space="preserve">expressed </w:t>
      </w:r>
      <w:r w:rsidR="008C5FFE">
        <w:rPr>
          <w:bCs/>
        </w:rPr>
        <w:t xml:space="preserve">a preference for the route that the previous service had taken and </w:t>
      </w:r>
      <w:r w:rsidR="002F13C0">
        <w:rPr>
          <w:bCs/>
        </w:rPr>
        <w:t>concerns</w:t>
      </w:r>
      <w:r w:rsidR="00DE07AD">
        <w:rPr>
          <w:bCs/>
        </w:rPr>
        <w:t xml:space="preserve"> that </w:t>
      </w:r>
      <w:r w:rsidRPr="00DE07AD" w:rsidR="00DE07AD">
        <w:rPr>
          <w:bCs/>
        </w:rPr>
        <w:t>PG&amp;E might damage salvageable utilities</w:t>
      </w:r>
      <w:r w:rsidR="00DE1B33">
        <w:rPr>
          <w:bCs/>
        </w:rPr>
        <w:t xml:space="preserve"> du</w:t>
      </w:r>
      <w:r w:rsidR="00E87E20">
        <w:rPr>
          <w:bCs/>
        </w:rPr>
        <w:t>e to</w:t>
      </w:r>
      <w:r w:rsidR="00D12A7D">
        <w:rPr>
          <w:bCs/>
        </w:rPr>
        <w:t xml:space="preserve"> (1)</w:t>
      </w:r>
      <w:r w:rsidR="00E87E20">
        <w:rPr>
          <w:bCs/>
        </w:rPr>
        <w:t xml:space="preserve"> the </w:t>
      </w:r>
      <w:r w:rsidR="00DE1B33">
        <w:rPr>
          <w:bCs/>
        </w:rPr>
        <w:t>route</w:t>
      </w:r>
      <w:r w:rsidR="00E87E20">
        <w:rPr>
          <w:bCs/>
        </w:rPr>
        <w:t xml:space="preserve"> taken in service</w:t>
      </w:r>
      <w:r w:rsidR="00DE1B33">
        <w:rPr>
          <w:bCs/>
        </w:rPr>
        <w:t xml:space="preserve"> installation and </w:t>
      </w:r>
      <w:r w:rsidR="00D12A7D">
        <w:rPr>
          <w:bCs/>
        </w:rPr>
        <w:t xml:space="preserve">(2) </w:t>
      </w:r>
      <w:r w:rsidR="00DE1B33">
        <w:rPr>
          <w:bCs/>
        </w:rPr>
        <w:t>the debris removal process</w:t>
      </w:r>
      <w:r w:rsidR="00142CDB">
        <w:rPr>
          <w:bCs/>
        </w:rPr>
        <w:t>.</w:t>
      </w:r>
      <w:r w:rsidR="00AD52D9">
        <w:rPr>
          <w:bCs/>
        </w:rPr>
        <w:t xml:space="preserve"> </w:t>
      </w:r>
      <w:r w:rsidR="00F71DCD">
        <w:rPr>
          <w:bCs/>
        </w:rPr>
        <w:t xml:space="preserve">In </w:t>
      </w:r>
      <w:r w:rsidR="009C117D">
        <w:rPr>
          <w:bCs/>
        </w:rPr>
        <w:t xml:space="preserve">consideration of these </w:t>
      </w:r>
      <w:r w:rsidR="008840E5">
        <w:rPr>
          <w:bCs/>
        </w:rPr>
        <w:t xml:space="preserve">salvageable </w:t>
      </w:r>
      <w:r w:rsidR="009C117D">
        <w:rPr>
          <w:bCs/>
        </w:rPr>
        <w:t>legacy systems</w:t>
      </w:r>
      <w:r w:rsidR="00F71DCD">
        <w:rPr>
          <w:bCs/>
        </w:rPr>
        <w:t xml:space="preserve">, PG&amp;E </w:t>
      </w:r>
      <w:r w:rsidR="00175F85">
        <w:rPr>
          <w:bCs/>
        </w:rPr>
        <w:t>is directed to</w:t>
      </w:r>
      <w:r w:rsidR="003E6D51">
        <w:rPr>
          <w:bCs/>
        </w:rPr>
        <w:t xml:space="preserve"> </w:t>
      </w:r>
      <w:r w:rsidR="00F71DCD">
        <w:rPr>
          <w:bCs/>
        </w:rPr>
        <w:t>consider alternate service routes</w:t>
      </w:r>
      <w:r w:rsidR="0065559F">
        <w:rPr>
          <w:bCs/>
        </w:rPr>
        <w:t xml:space="preserve"> that meet</w:t>
      </w:r>
      <w:r w:rsidRPr="00A12847" w:rsidR="00F71DCD">
        <w:rPr>
          <w:bCs/>
        </w:rPr>
        <w:t xml:space="preserve"> </w:t>
      </w:r>
      <w:r w:rsidR="00EB035C">
        <w:rPr>
          <w:bCs/>
        </w:rPr>
        <w:t>applicable</w:t>
      </w:r>
      <w:r w:rsidR="00A633EE">
        <w:rPr>
          <w:bCs/>
        </w:rPr>
        <w:t xml:space="preserve"> </w:t>
      </w:r>
      <w:r w:rsidRPr="00A12847" w:rsidR="00F71DCD">
        <w:rPr>
          <w:bCs/>
        </w:rPr>
        <w:t>codes, regulations</w:t>
      </w:r>
      <w:r w:rsidRPr="00A12847" w:rsidR="001760E7">
        <w:rPr>
          <w:bCs/>
        </w:rPr>
        <w:t>,</w:t>
      </w:r>
      <w:r w:rsidRPr="00A12847" w:rsidR="00F71DCD">
        <w:rPr>
          <w:bCs/>
        </w:rPr>
        <w:t xml:space="preserve"> and requirements</w:t>
      </w:r>
      <w:r w:rsidR="00F71DCD">
        <w:rPr>
          <w:bCs/>
        </w:rPr>
        <w:t xml:space="preserve">.    </w:t>
      </w:r>
    </w:p>
    <w:p w:rsidR="00A633EE" w:rsidP="006F6035" w:rsidRDefault="00A633EE" w14:paraId="0F7A9147" w14:textId="77777777"/>
    <w:p w:rsidRPr="00E2196B" w:rsidR="00A633EE" w:rsidP="00A633EE" w:rsidRDefault="00A633EE" w14:paraId="38C45222" w14:textId="3B14E56D">
      <w:pPr>
        <w:pStyle w:val="Heading3"/>
        <w:rPr>
          <w:b w:val="0"/>
          <w:i/>
        </w:rPr>
      </w:pPr>
      <w:r w:rsidRPr="00E2196B">
        <w:rPr>
          <w:b w:val="0"/>
          <w:i/>
        </w:rPr>
        <w:t>Damage to Existing Salvageable Utilities</w:t>
      </w:r>
      <w:r w:rsidRPr="00E2196B" w:rsidR="00366BC9">
        <w:rPr>
          <w:b w:val="0"/>
          <w:i/>
        </w:rPr>
        <w:t xml:space="preserve"> and Underground Facilities</w:t>
      </w:r>
    </w:p>
    <w:p w:rsidR="00AA1ECE" w:rsidP="009A2015" w:rsidRDefault="00AA1ECE" w14:paraId="4A6005BC" w14:textId="77777777">
      <w:pPr>
        <w:rPr>
          <w:bCs/>
        </w:rPr>
      </w:pPr>
      <w:r>
        <w:rPr>
          <w:bCs/>
        </w:rPr>
        <w:t>Since s</w:t>
      </w:r>
      <w:r w:rsidRPr="00AA1ECE">
        <w:rPr>
          <w:bCs/>
        </w:rPr>
        <w:t>ubsurface </w:t>
      </w:r>
      <w:r w:rsidRPr="00566B5A">
        <w:rPr>
          <w:iCs/>
        </w:rPr>
        <w:t>salvageable utilities</w:t>
      </w:r>
      <w:r w:rsidRPr="00AA1ECE">
        <w:rPr>
          <w:b/>
          <w:bCs/>
          <w:i/>
        </w:rPr>
        <w:t xml:space="preserve"> </w:t>
      </w:r>
      <w:r w:rsidRPr="00AA1ECE">
        <w:rPr>
          <w:bCs/>
        </w:rPr>
        <w:t>may be closer to the surface than expected</w:t>
      </w:r>
      <w:r>
        <w:rPr>
          <w:bCs/>
        </w:rPr>
        <w:t xml:space="preserve">, PG&amp;E shall implement the following minimum measures to </w:t>
      </w:r>
      <w:r w:rsidRPr="00AA1ECE">
        <w:rPr>
          <w:bCs/>
        </w:rPr>
        <w:t>locate underground assets that are within the vicinity of a worksite prior to breaking ground.</w:t>
      </w:r>
      <w:r>
        <w:rPr>
          <w:bCs/>
        </w:rPr>
        <w:t xml:space="preserve">  </w:t>
      </w:r>
    </w:p>
    <w:p w:rsidR="00034624" w:rsidP="009A2015" w:rsidRDefault="00AA1ECE" w14:paraId="492B1342" w14:textId="561BD480">
      <w:pPr>
        <w:pStyle w:val="ListParagraph"/>
        <w:numPr>
          <w:ilvl w:val="0"/>
          <w:numId w:val="20"/>
        </w:numPr>
        <w:rPr>
          <w:bCs/>
        </w:rPr>
      </w:pPr>
      <w:r>
        <w:rPr>
          <w:bCs/>
        </w:rPr>
        <w:t>PG&amp;E shall work with the MHP owner</w:t>
      </w:r>
      <w:r w:rsidR="00B011FB">
        <w:rPr>
          <w:bCs/>
        </w:rPr>
        <w:t xml:space="preserve">s and </w:t>
      </w:r>
      <w:r>
        <w:rPr>
          <w:bCs/>
        </w:rPr>
        <w:t>operator</w:t>
      </w:r>
      <w:r w:rsidR="00B011FB">
        <w:rPr>
          <w:bCs/>
        </w:rPr>
        <w:t>s</w:t>
      </w:r>
      <w:r>
        <w:rPr>
          <w:bCs/>
        </w:rPr>
        <w:t xml:space="preserve"> to identify </w:t>
      </w:r>
      <w:r w:rsidR="00034624">
        <w:rPr>
          <w:iCs/>
        </w:rPr>
        <w:t>s</w:t>
      </w:r>
      <w:r w:rsidRPr="00566B5A" w:rsidR="00034624">
        <w:rPr>
          <w:iCs/>
        </w:rPr>
        <w:t>alvageable</w:t>
      </w:r>
      <w:r w:rsidRPr="00034624" w:rsidR="00034624">
        <w:rPr>
          <w:b/>
          <w:bCs/>
          <w:i/>
        </w:rPr>
        <w:t xml:space="preserve"> </w:t>
      </w:r>
      <w:r>
        <w:rPr>
          <w:bCs/>
        </w:rPr>
        <w:t>underground utilities</w:t>
      </w:r>
      <w:r w:rsidR="00034624">
        <w:rPr>
          <w:bCs/>
        </w:rPr>
        <w:t xml:space="preserve"> such as electrical, communications, gas, water, sewage</w:t>
      </w:r>
      <w:r w:rsidR="0010332D">
        <w:rPr>
          <w:bCs/>
        </w:rPr>
        <w:t xml:space="preserve">, </w:t>
      </w:r>
      <w:r w:rsidRPr="00034624" w:rsidR="00034624">
        <w:rPr>
          <w:bCs/>
        </w:rPr>
        <w:t xml:space="preserve">septic system, </w:t>
      </w:r>
      <w:r w:rsidR="00034624">
        <w:rPr>
          <w:bCs/>
        </w:rPr>
        <w:t>and</w:t>
      </w:r>
      <w:r w:rsidRPr="00034624" w:rsidR="00034624">
        <w:rPr>
          <w:bCs/>
        </w:rPr>
        <w:t xml:space="preserve"> leach fields</w:t>
      </w:r>
      <w:r w:rsidR="00034624">
        <w:rPr>
          <w:bCs/>
        </w:rPr>
        <w:t xml:space="preserve">.  </w:t>
      </w:r>
    </w:p>
    <w:p w:rsidR="00034624" w:rsidP="009A2015" w:rsidRDefault="00034624" w14:paraId="5FDD5E52" w14:textId="0C02037E">
      <w:pPr>
        <w:pStyle w:val="ListParagraph"/>
        <w:numPr>
          <w:ilvl w:val="0"/>
          <w:numId w:val="20"/>
        </w:numPr>
        <w:rPr>
          <w:bCs/>
        </w:rPr>
      </w:pPr>
      <w:r>
        <w:rPr>
          <w:bCs/>
        </w:rPr>
        <w:t>PG&amp;E shall develop an excavation plan</w:t>
      </w:r>
      <w:r w:rsidR="00672FB1">
        <w:rPr>
          <w:bCs/>
        </w:rPr>
        <w:t xml:space="preserve"> and</w:t>
      </w:r>
      <w:r>
        <w:rPr>
          <w:bCs/>
        </w:rPr>
        <w:t xml:space="preserve"> </w:t>
      </w:r>
      <w:r w:rsidR="00B011FB">
        <w:rPr>
          <w:bCs/>
        </w:rPr>
        <w:t>consult</w:t>
      </w:r>
      <w:r>
        <w:rPr>
          <w:bCs/>
        </w:rPr>
        <w:t xml:space="preserve"> </w:t>
      </w:r>
      <w:r w:rsidR="00A547B6">
        <w:rPr>
          <w:bCs/>
        </w:rPr>
        <w:t xml:space="preserve">with </w:t>
      </w:r>
      <w:r>
        <w:rPr>
          <w:bCs/>
        </w:rPr>
        <w:t>MHP owner</w:t>
      </w:r>
      <w:r w:rsidR="00B011FB">
        <w:rPr>
          <w:bCs/>
        </w:rPr>
        <w:t xml:space="preserve">s and </w:t>
      </w:r>
      <w:r>
        <w:rPr>
          <w:bCs/>
        </w:rPr>
        <w:t xml:space="preserve">operator </w:t>
      </w:r>
      <w:r w:rsidR="0010332D">
        <w:rPr>
          <w:bCs/>
        </w:rPr>
        <w:t xml:space="preserve">on the plan </w:t>
      </w:r>
      <w:r w:rsidRPr="00034624">
        <w:rPr>
          <w:bCs/>
        </w:rPr>
        <w:t>prior to starting excavation</w:t>
      </w:r>
      <w:r>
        <w:rPr>
          <w:bCs/>
        </w:rPr>
        <w:t>.</w:t>
      </w:r>
    </w:p>
    <w:p w:rsidR="00AA1ECE" w:rsidP="009A2015" w:rsidRDefault="00034624" w14:paraId="16D4EA27" w14:textId="7DB2A8BB">
      <w:pPr>
        <w:pStyle w:val="ListParagraph"/>
        <w:numPr>
          <w:ilvl w:val="0"/>
          <w:numId w:val="20"/>
        </w:numPr>
        <w:rPr>
          <w:bCs/>
        </w:rPr>
      </w:pPr>
      <w:r>
        <w:rPr>
          <w:bCs/>
        </w:rPr>
        <w:t>PG&amp;E shall</w:t>
      </w:r>
      <w:r w:rsidR="00216D7A">
        <w:rPr>
          <w:bCs/>
        </w:rPr>
        <w:t>, when possible,</w:t>
      </w:r>
      <w:r>
        <w:rPr>
          <w:bCs/>
        </w:rPr>
        <w:t xml:space="preserve"> </w:t>
      </w:r>
      <w:r w:rsidR="0010332D">
        <w:rPr>
          <w:bCs/>
        </w:rPr>
        <w:t xml:space="preserve">electronically and physically confirm the actual locations </w:t>
      </w:r>
      <w:r w:rsidR="00672FB1">
        <w:rPr>
          <w:bCs/>
        </w:rPr>
        <w:t>and depth</w:t>
      </w:r>
      <w:r w:rsidR="0087437A">
        <w:rPr>
          <w:bCs/>
        </w:rPr>
        <w:t>s</w:t>
      </w:r>
      <w:r w:rsidR="00672FB1">
        <w:rPr>
          <w:bCs/>
        </w:rPr>
        <w:t xml:space="preserve"> </w:t>
      </w:r>
      <w:r w:rsidR="0010332D">
        <w:rPr>
          <w:bCs/>
        </w:rPr>
        <w:t>of the underground asset.</w:t>
      </w:r>
    </w:p>
    <w:p w:rsidR="0087437A" w:rsidP="009A2015" w:rsidRDefault="00672FB1" w14:paraId="2CADC7A7" w14:textId="77777777">
      <w:pPr>
        <w:pStyle w:val="ListParagraph"/>
        <w:numPr>
          <w:ilvl w:val="0"/>
          <w:numId w:val="20"/>
        </w:numPr>
        <w:rPr>
          <w:bCs/>
        </w:rPr>
      </w:pPr>
      <w:r>
        <w:rPr>
          <w:bCs/>
        </w:rPr>
        <w:t>PG&amp;E shall protect and support exposed underground Infrastructure and erect safety barriers at the work site.</w:t>
      </w:r>
    </w:p>
    <w:p w:rsidRPr="00AA1ECE" w:rsidR="0010332D" w:rsidP="009A2015" w:rsidRDefault="0087437A" w14:paraId="6170B219" w14:textId="444CC174">
      <w:pPr>
        <w:pStyle w:val="ListParagraph"/>
        <w:numPr>
          <w:ilvl w:val="0"/>
          <w:numId w:val="20"/>
        </w:numPr>
        <w:rPr>
          <w:bCs/>
        </w:rPr>
      </w:pPr>
      <w:r>
        <w:rPr>
          <w:bCs/>
        </w:rPr>
        <w:t>PG&amp;E shall Immediately notify the MHP owner</w:t>
      </w:r>
      <w:r w:rsidR="00B011FB">
        <w:rPr>
          <w:bCs/>
        </w:rPr>
        <w:t xml:space="preserve">s and </w:t>
      </w:r>
      <w:r>
        <w:rPr>
          <w:bCs/>
        </w:rPr>
        <w:t>operator</w:t>
      </w:r>
      <w:r w:rsidR="00B011FB">
        <w:rPr>
          <w:bCs/>
        </w:rPr>
        <w:t>s</w:t>
      </w:r>
      <w:r>
        <w:rPr>
          <w:bCs/>
        </w:rPr>
        <w:t xml:space="preserve"> </w:t>
      </w:r>
      <w:r w:rsidR="000C6E6B">
        <w:rPr>
          <w:bCs/>
        </w:rPr>
        <w:t>of</w:t>
      </w:r>
      <w:r>
        <w:rPr>
          <w:bCs/>
        </w:rPr>
        <w:t xml:space="preserve"> any damage </w:t>
      </w:r>
      <w:r w:rsidR="00BD7116">
        <w:rPr>
          <w:bCs/>
        </w:rPr>
        <w:t>to underground</w:t>
      </w:r>
      <w:r>
        <w:rPr>
          <w:bCs/>
        </w:rPr>
        <w:t xml:space="preserve"> Infrastructure asset.</w:t>
      </w:r>
      <w:r w:rsidR="00672FB1">
        <w:rPr>
          <w:bCs/>
        </w:rPr>
        <w:t xml:space="preserve"> </w:t>
      </w:r>
    </w:p>
    <w:p w:rsidR="00AA1ECE" w:rsidP="009A2015" w:rsidRDefault="00AA1ECE" w14:paraId="40BC0AD4" w14:textId="77777777">
      <w:pPr>
        <w:rPr>
          <w:bCs/>
        </w:rPr>
      </w:pPr>
    </w:p>
    <w:p w:rsidR="00F71DCD" w:rsidP="009A2015" w:rsidRDefault="00323A13" w14:paraId="5FEC5245" w14:textId="390DC406">
      <w:pPr>
        <w:rPr>
          <w:bCs/>
        </w:rPr>
      </w:pPr>
      <w:r>
        <w:rPr>
          <w:bCs/>
        </w:rPr>
        <w:t>While damage to existing</w:t>
      </w:r>
      <w:r w:rsidR="00366BC9">
        <w:rPr>
          <w:bCs/>
        </w:rPr>
        <w:t xml:space="preserve"> utilities or</w:t>
      </w:r>
      <w:r>
        <w:rPr>
          <w:bCs/>
        </w:rPr>
        <w:t xml:space="preserve"> facilities is not expressly addressed in the agreement, damages generally are addressed.  </w:t>
      </w:r>
      <w:r w:rsidRPr="00945D3B" w:rsidR="00F71DCD">
        <w:rPr>
          <w:bCs/>
        </w:rPr>
        <w:t xml:space="preserve">According to Section 12 of the Butte County </w:t>
      </w:r>
      <w:r w:rsidRPr="000068A2" w:rsidR="000068A2">
        <w:rPr>
          <w:bCs/>
        </w:rPr>
        <w:t>Mobilehome</w:t>
      </w:r>
      <w:r w:rsidR="0061125A">
        <w:rPr>
          <w:bCs/>
        </w:rPr>
        <w:t xml:space="preserve"> Park</w:t>
      </w:r>
      <w:r w:rsidRPr="00945D3B" w:rsidR="00F71DCD">
        <w:rPr>
          <w:bCs/>
        </w:rPr>
        <w:t xml:space="preserve"> Rebuild Program Agreement, PG&amp;E is responsible for the “claims, demands, losses, damages, costs, expenses, liability </w:t>
      </w:r>
      <w:r w:rsidRPr="00945D3B" w:rsidR="00F71DCD">
        <w:rPr>
          <w:bCs/>
        </w:rPr>
        <w:lastRenderedPageBreak/>
        <w:t>or violation of law or regulation as may be caused by the active gross negligence or willful misconduct of PG&amp;E, its officers, agents, or employees.”</w:t>
      </w:r>
      <w:r w:rsidR="00F71DCD">
        <w:rPr>
          <w:bCs/>
        </w:rPr>
        <w:t xml:space="preserve">  </w:t>
      </w:r>
      <w:r w:rsidR="00041856">
        <w:rPr>
          <w:bCs/>
        </w:rPr>
        <w:t>Hence, PG&amp;E is aware of its</w:t>
      </w:r>
      <w:r w:rsidR="001E4FD7">
        <w:rPr>
          <w:bCs/>
        </w:rPr>
        <w:t xml:space="preserve"> potential</w:t>
      </w:r>
      <w:r w:rsidR="00041856">
        <w:rPr>
          <w:bCs/>
        </w:rPr>
        <w:t xml:space="preserve"> </w:t>
      </w:r>
      <w:r w:rsidR="00880B93">
        <w:rPr>
          <w:bCs/>
        </w:rPr>
        <w:t>liability</w:t>
      </w:r>
      <w:r w:rsidR="00041856">
        <w:rPr>
          <w:bCs/>
        </w:rPr>
        <w:t xml:space="preserve"> </w:t>
      </w:r>
      <w:r w:rsidR="00880B93">
        <w:rPr>
          <w:bCs/>
        </w:rPr>
        <w:t xml:space="preserve">and </w:t>
      </w:r>
      <w:r w:rsidR="00F71DCD">
        <w:rPr>
          <w:bCs/>
        </w:rPr>
        <w:t xml:space="preserve">Section 6.1.1 of the </w:t>
      </w:r>
      <w:r w:rsidRPr="006C6A00" w:rsidR="00F71DCD">
        <w:rPr>
          <w:bCs/>
        </w:rPr>
        <w:t xml:space="preserve">Butte County </w:t>
      </w:r>
      <w:r w:rsidRPr="000068A2" w:rsidR="000068A2">
        <w:rPr>
          <w:bCs/>
        </w:rPr>
        <w:t>Mobilehome</w:t>
      </w:r>
      <w:r w:rsidR="0061125A">
        <w:rPr>
          <w:bCs/>
        </w:rPr>
        <w:t xml:space="preserve"> Park</w:t>
      </w:r>
      <w:r w:rsidRPr="006C6A00" w:rsidR="00F71DCD">
        <w:rPr>
          <w:bCs/>
        </w:rPr>
        <w:t xml:space="preserve"> Rebuild Program </w:t>
      </w:r>
      <w:r w:rsidR="00F71DCD">
        <w:rPr>
          <w:bCs/>
        </w:rPr>
        <w:t>Agreement should remain unchanged.</w:t>
      </w:r>
      <w:r w:rsidR="00F71DCD">
        <w:rPr>
          <w:rStyle w:val="FootnoteReference"/>
          <w:bCs/>
        </w:rPr>
        <w:footnoteReference w:id="77"/>
      </w:r>
      <w:r w:rsidR="00B80B88">
        <w:rPr>
          <w:bCs/>
        </w:rPr>
        <w:t xml:space="preserve">  </w:t>
      </w:r>
    </w:p>
    <w:p w:rsidRPr="00E2196B" w:rsidR="00E42B30" w:rsidP="00E42B30" w:rsidRDefault="00E42B30" w14:paraId="51613DF0" w14:textId="023A143E">
      <w:pPr>
        <w:pStyle w:val="Heading3"/>
        <w:rPr>
          <w:b w:val="0"/>
          <w:i/>
        </w:rPr>
      </w:pPr>
      <w:r w:rsidRPr="00E2196B">
        <w:rPr>
          <w:b w:val="0"/>
          <w:i/>
        </w:rPr>
        <w:t xml:space="preserve">Legacy Utility </w:t>
      </w:r>
      <w:r w:rsidRPr="00E2196B" w:rsidR="004A7BE4">
        <w:rPr>
          <w:b w:val="0"/>
          <w:i/>
        </w:rPr>
        <w:t>Owned I</w:t>
      </w:r>
      <w:r w:rsidRPr="00E2196B">
        <w:rPr>
          <w:b w:val="0"/>
          <w:i/>
        </w:rPr>
        <w:t>nfrastructure Removal</w:t>
      </w:r>
    </w:p>
    <w:p w:rsidR="00E42B30" w:rsidP="009A2015" w:rsidRDefault="00E42B30" w14:paraId="1A9208A4" w14:textId="3808C460">
      <w:r w:rsidRPr="0AEE5C04">
        <w:t>MHP owners and operators suggest that PG&amp;E should remove legacy infrastructure</w:t>
      </w:r>
      <w:r>
        <w:rPr>
          <w:bCs/>
        </w:rPr>
        <w:t xml:space="preserve"> </w:t>
      </w:r>
      <w:r w:rsidRPr="0AEE5C04">
        <w:t xml:space="preserve">in the </w:t>
      </w:r>
      <w:r w:rsidRPr="008007D2" w:rsidR="008007D2">
        <w:rPr>
          <w:bCs/>
        </w:rPr>
        <w:t>Rebuild Program</w:t>
      </w:r>
      <w:r>
        <w:rPr>
          <w:bCs/>
        </w:rPr>
        <w:t xml:space="preserve">.  </w:t>
      </w:r>
      <w:r w:rsidR="00ED2910">
        <w:rPr>
          <w:bCs/>
        </w:rPr>
        <w:t xml:space="preserve">In order to contain the Rebuild Program costs to reasonable levels, </w:t>
      </w:r>
      <w:r w:rsidR="00ED2910">
        <w:t>t</w:t>
      </w:r>
      <w:r w:rsidRPr="0AEE5C04" w:rsidR="00ED2910">
        <w:t xml:space="preserve">he </w:t>
      </w:r>
      <w:r w:rsidRPr="0AEE5C04">
        <w:t>CPUC agrees that PG&amp;E should</w:t>
      </w:r>
      <w:r w:rsidRPr="00E33BDE">
        <w:rPr>
          <w:bCs/>
        </w:rPr>
        <w:t xml:space="preserve"> </w:t>
      </w:r>
      <w:r w:rsidR="00ED2910">
        <w:rPr>
          <w:bCs/>
        </w:rPr>
        <w:t xml:space="preserve">continue its standard safety practice </w:t>
      </w:r>
      <w:r w:rsidR="00626D30">
        <w:rPr>
          <w:bCs/>
        </w:rPr>
        <w:t>of</w:t>
      </w:r>
      <w:r w:rsidR="00ED2910">
        <w:rPr>
          <w:bCs/>
        </w:rPr>
        <w:t xml:space="preserve"> abandon</w:t>
      </w:r>
      <w:r w:rsidR="00626D30">
        <w:rPr>
          <w:bCs/>
        </w:rPr>
        <w:t>ing</w:t>
      </w:r>
      <w:r w:rsidR="00ED2910">
        <w:rPr>
          <w:bCs/>
        </w:rPr>
        <w:t xml:space="preserve"> its underground</w:t>
      </w:r>
      <w:r w:rsidR="000D53AC">
        <w:t xml:space="preserve"> </w:t>
      </w:r>
      <w:r w:rsidRPr="0AEE5C04">
        <w:t>assets</w:t>
      </w:r>
      <w:r w:rsidR="00ED2910">
        <w:t xml:space="preserve"> in place</w:t>
      </w:r>
      <w:r w:rsidR="004A7BE4">
        <w:t xml:space="preserve">. </w:t>
      </w:r>
      <w:r w:rsidR="00ED2910">
        <w:t xml:space="preserve"> </w:t>
      </w:r>
      <w:r w:rsidRPr="0AEE5C04">
        <w:t>MHP owners and operators</w:t>
      </w:r>
      <w:r w:rsidR="004A7BE4">
        <w:t>, however,</w:t>
      </w:r>
      <w:r w:rsidRPr="0AEE5C04">
        <w:t xml:space="preserve"> are responsible for MHP</w:t>
      </w:r>
      <w:r w:rsidR="000D53AC">
        <w:t>-</w:t>
      </w:r>
      <w:r w:rsidRPr="0AEE5C04">
        <w:t>owned legacy infrastructure.</w:t>
      </w:r>
      <w:r>
        <w:rPr>
          <w:bCs/>
        </w:rPr>
        <w:t xml:space="preserve">  PG&amp;E may remove existing legacy system owned by the MHPs only with the MHP owner’s permission. </w:t>
      </w:r>
      <w:r w:rsidRPr="0AEE5C04">
        <w:t>Hence, Section 6.5.4</w:t>
      </w:r>
      <w:r w:rsidRPr="00400E9A">
        <w:rPr>
          <w:bCs/>
        </w:rPr>
        <w:t xml:space="preserve"> </w:t>
      </w:r>
      <w:r w:rsidRPr="0AEE5C04">
        <w:t xml:space="preserve">of the Butte County </w:t>
      </w:r>
      <w:r w:rsidRPr="000068A2" w:rsidR="000068A2">
        <w:rPr>
          <w:bCs/>
        </w:rPr>
        <w:t>Mobilehome</w:t>
      </w:r>
      <w:r w:rsidR="0061125A">
        <w:rPr>
          <w:bCs/>
        </w:rPr>
        <w:t xml:space="preserve"> Park</w:t>
      </w:r>
      <w:r w:rsidRPr="0AEE5C04">
        <w:t xml:space="preserve"> Rebuild Program </w:t>
      </w:r>
      <w:r>
        <w:t xml:space="preserve">Agreement </w:t>
      </w:r>
      <w:r w:rsidRPr="0AEE5C04">
        <w:t xml:space="preserve">should </w:t>
      </w:r>
      <w:r>
        <w:t xml:space="preserve">be revised to read: </w:t>
      </w:r>
      <w:r w:rsidRPr="00C4762A">
        <w:t xml:space="preserve">“PG&amp;E shall not remove the existing legacy system owned by the MHPs </w:t>
      </w:r>
      <w:r w:rsidR="000C77E7">
        <w:t>and</w:t>
      </w:r>
      <w:r w:rsidRPr="00C4762A" w:rsidR="000C77E7">
        <w:t xml:space="preserve"> the system shall be abandoned in place </w:t>
      </w:r>
      <w:r w:rsidRPr="00C4762A">
        <w:t xml:space="preserve">unless </w:t>
      </w:r>
      <w:r w:rsidR="000C77E7">
        <w:t xml:space="preserve">removal is </w:t>
      </w:r>
      <w:r w:rsidRPr="00C4762A">
        <w:t xml:space="preserve">necessary </w:t>
      </w:r>
      <w:r>
        <w:t>and MHP owner’s permission</w:t>
      </w:r>
      <w:r w:rsidR="00AA066B">
        <w:t xml:space="preserve"> has been obtained</w:t>
      </w:r>
      <w:r>
        <w:t>.</w:t>
      </w:r>
      <w:r w:rsidRPr="00C4762A">
        <w:t xml:space="preserve"> PG&amp;E shall</w:t>
      </w:r>
      <w:r>
        <w:t xml:space="preserve"> ensure that</w:t>
      </w:r>
      <w:r w:rsidRPr="00C4762A">
        <w:t xml:space="preserve"> the new and </w:t>
      </w:r>
      <w:r>
        <w:t xml:space="preserve">the </w:t>
      </w:r>
      <w:r w:rsidRPr="00C4762A">
        <w:t>existing legacy systems</w:t>
      </w:r>
      <w:r>
        <w:t xml:space="preserve"> are electrically and physically isolated from each other.  </w:t>
      </w:r>
      <w:r w:rsidRPr="00C443CF">
        <w:t xml:space="preserve">PG&amp;E shall not incur any expenses associated with the removal or retirement of the existing system </w:t>
      </w:r>
      <w:r w:rsidRPr="00CE3516">
        <w:rPr>
          <w:bCs/>
        </w:rPr>
        <w:t>owned by the MHP</w:t>
      </w:r>
      <w:r>
        <w:rPr>
          <w:bCs/>
        </w:rPr>
        <w:t xml:space="preserve"> owners </w:t>
      </w:r>
      <w:r w:rsidRPr="00C443CF">
        <w:t xml:space="preserve">under the MHP Rebuild program. </w:t>
      </w:r>
      <w:r w:rsidR="00393A09">
        <w:t xml:space="preserve"> </w:t>
      </w:r>
      <w:r w:rsidRPr="00C443CF">
        <w:t xml:space="preserve">Should removal of the legacy distribution system </w:t>
      </w:r>
      <w:r w:rsidRPr="00CE3516">
        <w:rPr>
          <w:bCs/>
        </w:rPr>
        <w:t xml:space="preserve">owned by the MHP owners </w:t>
      </w:r>
      <w:r w:rsidRPr="00C443CF">
        <w:t>be necessary to complete the MHP Rebuild program, such costs may at PG&amp;E’s discretion be included in the MHP Rebuild Program if it is necessary and can be done so efficiently.</w:t>
      </w:r>
      <w:r w:rsidRPr="00C4762A">
        <w:t>”</w:t>
      </w:r>
      <w:r w:rsidRPr="0AEE5C04" w:rsidDel="00FE66EE" w:rsidR="00FE66EE">
        <w:rPr>
          <w:rStyle w:val="FootnoteReference"/>
        </w:rPr>
        <w:t xml:space="preserve"> </w:t>
      </w:r>
    </w:p>
    <w:p w:rsidR="00E42B30" w:rsidP="009A2015" w:rsidRDefault="00E42B30" w14:paraId="4E77AA94" w14:textId="77777777">
      <w:pPr>
        <w:rPr>
          <w:bCs/>
        </w:rPr>
      </w:pPr>
    </w:p>
    <w:p w:rsidRPr="009142D5" w:rsidR="009134CD" w:rsidP="009142D5" w:rsidRDefault="009134CD" w14:paraId="409C25FD" w14:textId="77777777">
      <w:pPr>
        <w:pStyle w:val="Heading3"/>
        <w:rPr>
          <w:i/>
          <w:iCs/>
        </w:rPr>
      </w:pPr>
      <w:r w:rsidRPr="00E2196B">
        <w:rPr>
          <w:b w:val="0"/>
          <w:i/>
        </w:rPr>
        <w:t>Location of the Electric and Gas Meters</w:t>
      </w:r>
    </w:p>
    <w:p w:rsidR="00F16A3A" w:rsidP="009A2015" w:rsidRDefault="00F34BEE" w14:paraId="1FB60322" w14:textId="42BA1539">
      <w:pPr>
        <w:rPr>
          <w:bCs/>
        </w:rPr>
      </w:pPr>
      <w:r w:rsidRPr="00F34BEE">
        <w:rPr>
          <w:bCs/>
        </w:rPr>
        <w:t>All the protestants expressed concern</w:t>
      </w:r>
      <w:r>
        <w:rPr>
          <w:bCs/>
        </w:rPr>
        <w:t xml:space="preserve"> on the location of the electric and gas meters.  </w:t>
      </w:r>
      <w:r w:rsidR="002D4A2A">
        <w:rPr>
          <w:bCs/>
        </w:rPr>
        <w:t xml:space="preserve">As mentioned above in the “Protest” section, </w:t>
      </w:r>
      <w:r w:rsidR="004657EE">
        <w:rPr>
          <w:bCs/>
        </w:rPr>
        <w:t xml:space="preserve">PG&amp;E </w:t>
      </w:r>
      <w:r w:rsidR="00676C7A">
        <w:rPr>
          <w:bCs/>
        </w:rPr>
        <w:t xml:space="preserve">is planning on </w:t>
      </w:r>
      <w:r w:rsidR="004657EE">
        <w:rPr>
          <w:bCs/>
        </w:rPr>
        <w:t>install</w:t>
      </w:r>
      <w:r w:rsidR="00676C7A">
        <w:rPr>
          <w:bCs/>
        </w:rPr>
        <w:t>ing</w:t>
      </w:r>
      <w:r w:rsidR="004657EE">
        <w:rPr>
          <w:bCs/>
        </w:rPr>
        <w:t xml:space="preserve"> </w:t>
      </w:r>
      <w:r w:rsidR="00612512">
        <w:rPr>
          <w:bCs/>
        </w:rPr>
        <w:t>these meters in accordance with</w:t>
      </w:r>
      <w:r w:rsidR="002D4A2A">
        <w:rPr>
          <w:bCs/>
        </w:rPr>
        <w:t xml:space="preserve"> </w:t>
      </w:r>
      <w:r w:rsidRPr="00612512" w:rsidR="00612512">
        <w:rPr>
          <w:bCs/>
        </w:rPr>
        <w:t>PG&amp;E’s Electric &amp; Gas Service Requirements (Greenbook)</w:t>
      </w:r>
      <w:r w:rsidR="00F47AEA">
        <w:rPr>
          <w:bCs/>
        </w:rPr>
        <w:t>.</w:t>
      </w:r>
      <w:r w:rsidRPr="00F65CF1" w:rsidR="00F65CF1">
        <w:rPr>
          <w:vertAlign w:val="superscript"/>
        </w:rPr>
        <w:t xml:space="preserve"> </w:t>
      </w:r>
      <w:r w:rsidRPr="00F65CF1" w:rsidR="00F65CF1">
        <w:rPr>
          <w:bCs/>
          <w:vertAlign w:val="superscript"/>
        </w:rPr>
        <w:footnoteReference w:id="78"/>
      </w:r>
      <w:r w:rsidR="00F47AEA">
        <w:rPr>
          <w:bCs/>
        </w:rPr>
        <w:t xml:space="preserve">  </w:t>
      </w:r>
      <w:r w:rsidR="001E160D">
        <w:rPr>
          <w:bCs/>
        </w:rPr>
        <w:t xml:space="preserve"> </w:t>
      </w:r>
      <w:r w:rsidR="00F47AEA">
        <w:rPr>
          <w:bCs/>
        </w:rPr>
        <w:t xml:space="preserve">Hence, </w:t>
      </w:r>
      <w:r w:rsidR="00A012A6">
        <w:rPr>
          <w:bCs/>
        </w:rPr>
        <w:t xml:space="preserve">Section 6.1.3 </w:t>
      </w:r>
      <w:r w:rsidR="00307659">
        <w:rPr>
          <w:bCs/>
        </w:rPr>
        <w:t xml:space="preserve">of </w:t>
      </w:r>
      <w:r w:rsidRPr="00164B99" w:rsidR="00164B99">
        <w:rPr>
          <w:bCs/>
        </w:rPr>
        <w:t xml:space="preserve">the </w:t>
      </w:r>
      <w:r w:rsidRPr="006C6A00" w:rsidR="00164B99">
        <w:rPr>
          <w:bCs/>
        </w:rPr>
        <w:t xml:space="preserve">Butte County </w:t>
      </w:r>
      <w:r w:rsidRPr="000068A2" w:rsidR="000068A2">
        <w:rPr>
          <w:bCs/>
        </w:rPr>
        <w:lastRenderedPageBreak/>
        <w:t>Mobilehome</w:t>
      </w:r>
      <w:r w:rsidR="0061125A">
        <w:rPr>
          <w:bCs/>
        </w:rPr>
        <w:t xml:space="preserve"> Park</w:t>
      </w:r>
      <w:r w:rsidRPr="006C6A00" w:rsidR="00164B99">
        <w:rPr>
          <w:bCs/>
        </w:rPr>
        <w:t xml:space="preserve"> Rebuild Program </w:t>
      </w:r>
      <w:r w:rsidRPr="00164B99" w:rsidR="00164B99">
        <w:rPr>
          <w:bCs/>
        </w:rPr>
        <w:t xml:space="preserve">Agreement </w:t>
      </w:r>
      <w:r w:rsidR="00A012A6">
        <w:rPr>
          <w:bCs/>
        </w:rPr>
        <w:t>should remain unchanged.</w:t>
      </w:r>
      <w:r w:rsidR="00A012A6">
        <w:rPr>
          <w:rStyle w:val="FootnoteReference"/>
          <w:bCs/>
        </w:rPr>
        <w:footnoteReference w:id="79"/>
      </w:r>
      <w:r w:rsidRPr="00722F66" w:rsidR="00722F66">
        <w:rPr>
          <w:bCs/>
        </w:rPr>
        <w:t xml:space="preserve"> </w:t>
      </w:r>
      <w:r w:rsidR="00722F66">
        <w:rPr>
          <w:bCs/>
        </w:rPr>
        <w:t xml:space="preserve">PG&amp;E </w:t>
      </w:r>
      <w:r w:rsidRPr="00D26821" w:rsidR="00722F66">
        <w:rPr>
          <w:bCs/>
        </w:rPr>
        <w:t xml:space="preserve">should take into consideration the area occupied by </w:t>
      </w:r>
      <w:r w:rsidR="00722F66">
        <w:rPr>
          <w:bCs/>
        </w:rPr>
        <w:t>any salvageable</w:t>
      </w:r>
      <w:r w:rsidRPr="00D26821" w:rsidR="00722F66">
        <w:rPr>
          <w:bCs/>
        </w:rPr>
        <w:t xml:space="preserve"> utility system</w:t>
      </w:r>
      <w:r w:rsidR="00722F66">
        <w:rPr>
          <w:bCs/>
        </w:rPr>
        <w:t>s to avoid damaging existing salvageable utilities either when installing new gas and electric utilities or during the debris removal process.</w:t>
      </w:r>
    </w:p>
    <w:p w:rsidR="00F41782" w:rsidP="006C6A00" w:rsidRDefault="00F41782" w14:paraId="02FEFE2C" w14:textId="77777777">
      <w:pPr>
        <w:spacing w:line="276" w:lineRule="auto"/>
        <w:rPr>
          <w:bCs/>
        </w:rPr>
      </w:pPr>
    </w:p>
    <w:p w:rsidRPr="00E2196B" w:rsidR="00DE20BC" w:rsidP="00DE20BC" w:rsidRDefault="00DE20BC" w14:paraId="1E62154D" w14:textId="77777777">
      <w:pPr>
        <w:pStyle w:val="Heading3"/>
        <w:rPr>
          <w:b w:val="0"/>
          <w:i/>
        </w:rPr>
      </w:pPr>
      <w:r w:rsidRPr="00E2196B">
        <w:rPr>
          <w:b w:val="0"/>
          <w:i/>
        </w:rPr>
        <w:t>Electric Service Amperage Rating</w:t>
      </w:r>
    </w:p>
    <w:p w:rsidR="00DE20BC" w:rsidP="009A2015" w:rsidRDefault="00E137C0" w14:paraId="33D7E412" w14:textId="6F26B828">
      <w:pPr>
        <w:rPr>
          <w:bCs/>
        </w:rPr>
      </w:pPr>
      <w:r>
        <w:rPr>
          <w:bCs/>
        </w:rPr>
        <w:t xml:space="preserve">In the MHP Pilot, </w:t>
      </w:r>
      <w:r w:rsidRPr="00CF6E49" w:rsidR="00DE20BC">
        <w:rPr>
          <w:bCs/>
        </w:rPr>
        <w:t xml:space="preserve">PG&amp;E increased the electric capacity of electric services </w:t>
      </w:r>
      <w:r>
        <w:rPr>
          <w:bCs/>
        </w:rPr>
        <w:t xml:space="preserve">in </w:t>
      </w:r>
      <w:r w:rsidRPr="00CF6E49" w:rsidR="00DE20BC">
        <w:rPr>
          <w:bCs/>
        </w:rPr>
        <w:t xml:space="preserve">MHPs from a </w:t>
      </w:r>
      <w:r w:rsidR="00DE20BC">
        <w:rPr>
          <w:bCs/>
        </w:rPr>
        <w:t xml:space="preserve">historic </w:t>
      </w:r>
      <w:r w:rsidRPr="00CF6E49" w:rsidR="00DE20BC">
        <w:rPr>
          <w:bCs/>
        </w:rPr>
        <w:t xml:space="preserve">range of 30 </w:t>
      </w:r>
      <w:r>
        <w:rPr>
          <w:bCs/>
        </w:rPr>
        <w:t>to</w:t>
      </w:r>
      <w:r w:rsidRPr="00CF6E49" w:rsidR="00DE20BC">
        <w:rPr>
          <w:bCs/>
        </w:rPr>
        <w:t xml:space="preserve"> 50 amp</w:t>
      </w:r>
      <w:r>
        <w:rPr>
          <w:bCs/>
        </w:rPr>
        <w:t xml:space="preserve">s </w:t>
      </w:r>
      <w:r w:rsidRPr="00CF6E49" w:rsidR="00DE20BC">
        <w:rPr>
          <w:bCs/>
        </w:rPr>
        <w:t xml:space="preserve"> to </w:t>
      </w:r>
      <w:r w:rsidR="00DE20BC">
        <w:rPr>
          <w:bCs/>
        </w:rPr>
        <w:t xml:space="preserve">a minimum of </w:t>
      </w:r>
      <w:r w:rsidRPr="00CF6E49" w:rsidR="00DE20BC">
        <w:rPr>
          <w:bCs/>
        </w:rPr>
        <w:t xml:space="preserve">100 amps so that the MHP residents can utilize modern appliances.  </w:t>
      </w:r>
      <w:r w:rsidR="008625CE">
        <w:rPr>
          <w:bCs/>
        </w:rPr>
        <w:t>PG&amp;E is intend</w:t>
      </w:r>
      <w:r w:rsidR="00C31CFD">
        <w:rPr>
          <w:bCs/>
        </w:rPr>
        <w:t>ing</w:t>
      </w:r>
      <w:r w:rsidR="008625CE">
        <w:rPr>
          <w:bCs/>
        </w:rPr>
        <w:t xml:space="preserve"> to provide a mini</w:t>
      </w:r>
      <w:r w:rsidR="007D2993">
        <w:rPr>
          <w:bCs/>
        </w:rPr>
        <w:t xml:space="preserve">mum of 100 amp service to the </w:t>
      </w:r>
      <w:r w:rsidR="0087433E">
        <w:rPr>
          <w:bCs/>
        </w:rPr>
        <w:t xml:space="preserve">MHPs in </w:t>
      </w:r>
      <w:r w:rsidR="008007D2">
        <w:rPr>
          <w:bCs/>
        </w:rPr>
        <w:t xml:space="preserve">the </w:t>
      </w:r>
      <w:r w:rsidRPr="008007D2" w:rsidR="008007D2">
        <w:rPr>
          <w:bCs/>
        </w:rPr>
        <w:t>Rebuild Program</w:t>
      </w:r>
      <w:r w:rsidR="00B50969">
        <w:rPr>
          <w:bCs/>
        </w:rPr>
        <w:t xml:space="preserve">. </w:t>
      </w:r>
      <w:r w:rsidRPr="00B50969" w:rsidR="00B50969">
        <w:rPr>
          <w:bCs/>
        </w:rPr>
        <w:t xml:space="preserve"> </w:t>
      </w:r>
      <w:r w:rsidR="00DE20BC">
        <w:rPr>
          <w:bCs/>
        </w:rPr>
        <w:t xml:space="preserve">MHP owners and operators, </w:t>
      </w:r>
      <w:r w:rsidR="00722F66">
        <w:rPr>
          <w:bCs/>
        </w:rPr>
        <w:t>however</w:t>
      </w:r>
      <w:r w:rsidR="00DE20BC">
        <w:rPr>
          <w:bCs/>
        </w:rPr>
        <w:t>, filed protests advocating for 150</w:t>
      </w:r>
      <w:r w:rsidR="00B04D31">
        <w:rPr>
          <w:bCs/>
        </w:rPr>
        <w:t xml:space="preserve"> </w:t>
      </w:r>
      <w:r w:rsidR="00DE20BC">
        <w:rPr>
          <w:bCs/>
        </w:rPr>
        <w:t xml:space="preserve">amp and </w:t>
      </w:r>
      <w:r w:rsidR="002238AE">
        <w:rPr>
          <w:bCs/>
        </w:rPr>
        <w:br/>
      </w:r>
      <w:r w:rsidR="00DE20BC">
        <w:rPr>
          <w:bCs/>
        </w:rPr>
        <w:t>200</w:t>
      </w:r>
      <w:r w:rsidR="00B04D31">
        <w:rPr>
          <w:bCs/>
        </w:rPr>
        <w:t xml:space="preserve"> </w:t>
      </w:r>
      <w:r w:rsidR="00DE20BC">
        <w:rPr>
          <w:bCs/>
        </w:rPr>
        <w:t xml:space="preserve">amp services in the </w:t>
      </w:r>
      <w:r w:rsidRPr="008007D2" w:rsidR="008007D2">
        <w:rPr>
          <w:bCs/>
        </w:rPr>
        <w:t>Rebuild Program</w:t>
      </w:r>
      <w:r w:rsidR="00DE20BC">
        <w:rPr>
          <w:bCs/>
        </w:rPr>
        <w:t xml:space="preserve">.  They indicated that FEMA trailers and contemporary manufactured homes are designed to run on 200 amps and that they have experienced issues with overloaded electrical systems when residents replaced gas appliances with electric ones. </w:t>
      </w:r>
      <w:r w:rsidR="00B00F58">
        <w:rPr>
          <w:bCs/>
        </w:rPr>
        <w:t xml:space="preserve"> PG&amp;E indicated that </w:t>
      </w:r>
      <w:r w:rsidR="00F845D0">
        <w:rPr>
          <w:bCs/>
        </w:rPr>
        <w:t>“</w:t>
      </w:r>
      <w:r w:rsidR="003D3D5B">
        <w:rPr>
          <w:bCs/>
        </w:rPr>
        <w:t xml:space="preserve">At this time, </w:t>
      </w:r>
      <w:r w:rsidRPr="00F90800" w:rsidR="00B00F58">
        <w:rPr>
          <w:bCs/>
        </w:rPr>
        <w:t xml:space="preserve">Edgewood-Sawmill Estates is the only </w:t>
      </w:r>
      <w:r w:rsidR="00F845D0">
        <w:rPr>
          <w:bCs/>
        </w:rPr>
        <w:t>MHP</w:t>
      </w:r>
      <w:r w:rsidRPr="00F90800" w:rsidR="00B00F58">
        <w:rPr>
          <w:bCs/>
        </w:rPr>
        <w:t xml:space="preserve"> </w:t>
      </w:r>
      <w:r w:rsidRPr="00F845D0" w:rsidR="00F845D0">
        <w:rPr>
          <w:bCs/>
        </w:rPr>
        <w:t xml:space="preserve">identified to receive </w:t>
      </w:r>
      <w:r w:rsidDel="00B04D31" w:rsidR="00B00F58">
        <w:rPr>
          <w:bCs/>
        </w:rPr>
        <w:t>2</w:t>
      </w:r>
      <w:r w:rsidRPr="00F90800" w:rsidDel="00B04D31" w:rsidR="00B00F58">
        <w:rPr>
          <w:bCs/>
        </w:rPr>
        <w:t>00</w:t>
      </w:r>
      <w:r w:rsidR="00B04D31">
        <w:rPr>
          <w:bCs/>
        </w:rPr>
        <w:t xml:space="preserve"> amp</w:t>
      </w:r>
      <w:r w:rsidRPr="00F90800" w:rsidR="00B00F58">
        <w:rPr>
          <w:bCs/>
        </w:rPr>
        <w:t xml:space="preserve"> service</w:t>
      </w:r>
      <w:r w:rsidR="00F845D0">
        <w:rPr>
          <w:bCs/>
        </w:rPr>
        <w:t xml:space="preserve"> </w:t>
      </w:r>
      <w:r w:rsidRPr="00F845D0" w:rsidR="00F845D0">
        <w:rPr>
          <w:bCs/>
        </w:rPr>
        <w:t>before the Camp Fire</w:t>
      </w:r>
      <w:r w:rsidR="002F0D9C">
        <w:rPr>
          <w:bCs/>
        </w:rPr>
        <w:t>.</w:t>
      </w:r>
      <w:r w:rsidR="00F845D0">
        <w:rPr>
          <w:bCs/>
        </w:rPr>
        <w:t>”</w:t>
      </w:r>
      <w:r w:rsidR="002F0D9C">
        <w:rPr>
          <w:rStyle w:val="FootnoteReference"/>
          <w:bCs/>
        </w:rPr>
        <w:footnoteReference w:id="80"/>
      </w:r>
      <w:r w:rsidR="00DE20BC">
        <w:rPr>
          <w:bCs/>
        </w:rPr>
        <w:t xml:space="preserve"> </w:t>
      </w:r>
    </w:p>
    <w:p w:rsidR="00DE20BC" w:rsidP="00DE20BC" w:rsidRDefault="00DE20BC" w14:paraId="7C5549BF" w14:textId="77777777">
      <w:pPr>
        <w:spacing w:line="276" w:lineRule="auto"/>
        <w:rPr>
          <w:bCs/>
        </w:rPr>
      </w:pPr>
    </w:p>
    <w:p w:rsidR="00DE20BC" w:rsidP="009A2015" w:rsidRDefault="00DE20BC" w14:paraId="6EFB21F7" w14:textId="64E1C221">
      <w:pPr>
        <w:rPr>
          <w:bCs/>
        </w:rPr>
      </w:pPr>
      <w:r w:rsidRPr="00042391">
        <w:rPr>
          <w:bCs/>
        </w:rPr>
        <w:t xml:space="preserve">FEMA trailers are intended to provide 18 months of temporary housing for </w:t>
      </w:r>
      <w:r w:rsidRPr="00D012B5">
        <w:rPr>
          <w:bCs/>
        </w:rPr>
        <w:t xml:space="preserve">homeowners after a disaster.  </w:t>
      </w:r>
      <w:r w:rsidRPr="00D012B5" w:rsidR="00DA3E2D">
        <w:rPr>
          <w:bCs/>
        </w:rPr>
        <w:t>Historically, they</w:t>
      </w:r>
      <w:r w:rsidRPr="00FE1D8F" w:rsidR="001A7942">
        <w:rPr>
          <w:bCs/>
        </w:rPr>
        <w:t xml:space="preserve"> </w:t>
      </w:r>
      <w:r w:rsidRPr="00FE1D8F">
        <w:rPr>
          <w:bCs/>
        </w:rPr>
        <w:t>are poorly insulated, and typical</w:t>
      </w:r>
      <w:r w:rsidRPr="00FE1D8F" w:rsidR="00DA3E2D">
        <w:rPr>
          <w:bCs/>
        </w:rPr>
        <w:t>ly</w:t>
      </w:r>
      <w:r w:rsidRPr="00FE1D8F">
        <w:rPr>
          <w:bCs/>
        </w:rPr>
        <w:t xml:space="preserve"> ha</w:t>
      </w:r>
      <w:r w:rsidRPr="00FE1D8F" w:rsidR="00D92D81">
        <w:rPr>
          <w:bCs/>
        </w:rPr>
        <w:t>ve</w:t>
      </w:r>
      <w:r w:rsidRPr="00FE1D8F">
        <w:rPr>
          <w:bCs/>
        </w:rPr>
        <w:t xml:space="preserve"> two </w:t>
      </w:r>
      <w:r w:rsidRPr="00FE1D8F">
        <w:t>propane tanks</w:t>
      </w:r>
      <w:r w:rsidRPr="00FE1D8F">
        <w:rPr>
          <w:bCs/>
        </w:rPr>
        <w:t> on the front of the trailer which provide the hot water, indoor heating, and gas for the stove and oven.</w:t>
      </w:r>
      <w:r w:rsidRPr="00FE1D8F">
        <w:rPr>
          <w:bCs/>
          <w:vertAlign w:val="superscript"/>
        </w:rPr>
        <w:t xml:space="preserve"> </w:t>
      </w:r>
      <w:r w:rsidRPr="00041C68">
        <w:rPr>
          <w:bCs/>
          <w:vertAlign w:val="superscript"/>
        </w:rPr>
        <w:footnoteReference w:id="81"/>
      </w:r>
      <w:r w:rsidRPr="00041C68">
        <w:rPr>
          <w:bCs/>
          <w:vertAlign w:val="superscript"/>
        </w:rPr>
        <w:t xml:space="preserve"> </w:t>
      </w:r>
      <w:r w:rsidRPr="00041C68">
        <w:rPr>
          <w:bCs/>
        </w:rPr>
        <w:t xml:space="preserve"> </w:t>
      </w:r>
      <w:r w:rsidRPr="00041C68" w:rsidR="00BE7EEC">
        <w:rPr>
          <w:bCs/>
        </w:rPr>
        <w:t>T</w:t>
      </w:r>
      <w:r w:rsidRPr="00041C68" w:rsidR="002E3B5C">
        <w:rPr>
          <w:bCs/>
        </w:rPr>
        <w:t>here are also</w:t>
      </w:r>
      <w:r w:rsidRPr="00041C68" w:rsidR="005E3AAC">
        <w:rPr>
          <w:bCs/>
        </w:rPr>
        <w:t xml:space="preserve"> </w:t>
      </w:r>
      <w:r w:rsidRPr="00041C68" w:rsidR="00F8798F">
        <w:rPr>
          <w:bCs/>
        </w:rPr>
        <w:t xml:space="preserve">newer </w:t>
      </w:r>
      <w:r w:rsidRPr="00041C68" w:rsidR="008820FB">
        <w:rPr>
          <w:bCs/>
        </w:rPr>
        <w:lastRenderedPageBreak/>
        <w:t>FEMA trailer</w:t>
      </w:r>
      <w:r w:rsidRPr="00041C68" w:rsidR="00FF4DC8">
        <w:rPr>
          <w:bCs/>
        </w:rPr>
        <w:t>s</w:t>
      </w:r>
      <w:r w:rsidRPr="00041C68" w:rsidR="008820FB">
        <w:rPr>
          <w:bCs/>
        </w:rPr>
        <w:t xml:space="preserve"> with </w:t>
      </w:r>
      <w:r w:rsidRPr="00041C68" w:rsidDel="00B04D31" w:rsidR="008820FB">
        <w:rPr>
          <w:bCs/>
        </w:rPr>
        <w:t>200</w:t>
      </w:r>
      <w:r w:rsidR="00B04D31">
        <w:rPr>
          <w:bCs/>
        </w:rPr>
        <w:t xml:space="preserve"> amp</w:t>
      </w:r>
      <w:r w:rsidRPr="00041C68" w:rsidR="008820FB">
        <w:rPr>
          <w:bCs/>
        </w:rPr>
        <w:t xml:space="preserve"> service for sale.</w:t>
      </w:r>
      <w:r w:rsidRPr="00041C68" w:rsidR="008820FB">
        <w:rPr>
          <w:rStyle w:val="FootnoteReference"/>
          <w:bCs/>
        </w:rPr>
        <w:footnoteReference w:id="82"/>
      </w:r>
      <w:r w:rsidRPr="00041C68" w:rsidR="008820FB">
        <w:rPr>
          <w:bCs/>
        </w:rPr>
        <w:t xml:space="preserve"> </w:t>
      </w:r>
      <w:r w:rsidRPr="00041C68" w:rsidR="00C74421">
        <w:rPr>
          <w:bCs/>
        </w:rPr>
        <w:t xml:space="preserve"> </w:t>
      </w:r>
      <w:r w:rsidRPr="00041C68" w:rsidR="00D2090F">
        <w:rPr>
          <w:bCs/>
        </w:rPr>
        <w:t>Staff has contacted the seller but has received no response.</w:t>
      </w:r>
      <w:r w:rsidRPr="00041C68" w:rsidR="009850D2">
        <w:rPr>
          <w:rStyle w:val="FootnoteReference"/>
          <w:bCs/>
        </w:rPr>
        <w:footnoteReference w:id="83"/>
      </w:r>
      <w:r w:rsidRPr="00041C68" w:rsidR="009850D2">
        <w:rPr>
          <w:bCs/>
        </w:rPr>
        <w:t xml:space="preserve">  </w:t>
      </w:r>
      <w:r w:rsidRPr="00041C68" w:rsidR="003A6945">
        <w:rPr>
          <w:bCs/>
        </w:rPr>
        <w:t xml:space="preserve">Kathy Catanho, owner of the Forest Glen MHP also indicated in a phone conversion </w:t>
      </w:r>
      <w:r w:rsidRPr="00041C68" w:rsidR="007033A4">
        <w:rPr>
          <w:bCs/>
        </w:rPr>
        <w:t xml:space="preserve">and </w:t>
      </w:r>
      <w:r w:rsidR="00575775">
        <w:rPr>
          <w:bCs/>
        </w:rPr>
        <w:t>via</w:t>
      </w:r>
      <w:r w:rsidRPr="00041C68" w:rsidR="007033A4">
        <w:rPr>
          <w:bCs/>
        </w:rPr>
        <w:t xml:space="preserve"> email that </w:t>
      </w:r>
      <w:r w:rsidRPr="00041C68" w:rsidR="006B5AA9">
        <w:rPr>
          <w:bCs/>
        </w:rPr>
        <w:t>“At one point, it seemed as though FEMA might be interested in providing Mobiles on an interim basis to assist in the housing for burned out individuals.  Since the units were all electric (no gas appliances) I felt it would be challenging to provide all of that with only a 100 amp service.  However, FEMA determined that they would not be working with any Paradise MH Parks to provide interim housing. So I let this go</w:t>
      </w:r>
      <w:r w:rsidRPr="00041C68" w:rsidR="00FA6D0D">
        <w:rPr>
          <w:bCs/>
        </w:rPr>
        <w:t>.</w:t>
      </w:r>
      <w:r w:rsidRPr="00041C68" w:rsidR="00873303">
        <w:rPr>
          <w:bCs/>
        </w:rPr>
        <w:t>”</w:t>
      </w:r>
      <w:r w:rsidRPr="00041C68" w:rsidR="009F252A">
        <w:rPr>
          <w:rStyle w:val="FootnoteReference"/>
          <w:bCs/>
        </w:rPr>
        <w:footnoteReference w:id="84"/>
      </w:r>
      <w:r w:rsidRPr="00041C68" w:rsidR="00FA6D0D">
        <w:rPr>
          <w:bCs/>
        </w:rPr>
        <w:t xml:space="preserve">  </w:t>
      </w:r>
      <w:r w:rsidR="00B77CF8">
        <w:rPr>
          <w:bCs/>
        </w:rPr>
        <w:t>Given FEMA’s determination that they will not be providing trailers</w:t>
      </w:r>
      <w:r w:rsidRPr="00041C68">
        <w:rPr>
          <w:bCs/>
        </w:rPr>
        <w:t>,</w:t>
      </w:r>
      <w:r w:rsidR="00B77CF8">
        <w:rPr>
          <w:bCs/>
        </w:rPr>
        <w:t xml:space="preserve"> the</w:t>
      </w:r>
      <w:r w:rsidRPr="00041C68">
        <w:rPr>
          <w:bCs/>
        </w:rPr>
        <w:t xml:space="preserve"> </w:t>
      </w:r>
      <w:r w:rsidR="00B04D31">
        <w:rPr>
          <w:bCs/>
        </w:rPr>
        <w:t>200 amp</w:t>
      </w:r>
      <w:r w:rsidRPr="00041C68">
        <w:rPr>
          <w:bCs/>
        </w:rPr>
        <w:t xml:space="preserve"> requirement for the </w:t>
      </w:r>
      <w:r w:rsidR="000916FC">
        <w:rPr>
          <w:bCs/>
        </w:rPr>
        <w:t xml:space="preserve">sole purpose of powering </w:t>
      </w:r>
      <w:r w:rsidRPr="00041C68">
        <w:rPr>
          <w:bCs/>
        </w:rPr>
        <w:t>FEMA trailers is questionable.</w:t>
      </w:r>
    </w:p>
    <w:p w:rsidR="00DE20BC" w:rsidP="009A2015" w:rsidRDefault="00DE20BC" w14:paraId="3352EB0E" w14:textId="77777777">
      <w:pPr>
        <w:rPr>
          <w:bCs/>
        </w:rPr>
      </w:pPr>
    </w:p>
    <w:p w:rsidR="00EF7B91" w:rsidP="00F55F5B" w:rsidRDefault="00AD031D" w14:paraId="6DAA7433" w14:textId="5A1F497B">
      <w:pPr>
        <w:rPr>
          <w:bCs/>
        </w:rPr>
      </w:pPr>
      <w:r>
        <w:rPr>
          <w:bCs/>
        </w:rPr>
        <w:t>W</w:t>
      </w:r>
      <w:r w:rsidR="00882EB0">
        <w:rPr>
          <w:bCs/>
        </w:rPr>
        <w:t>hil</w:t>
      </w:r>
      <w:r>
        <w:rPr>
          <w:bCs/>
        </w:rPr>
        <w:t xml:space="preserve">e </w:t>
      </w:r>
      <w:r w:rsidR="00882EB0">
        <w:rPr>
          <w:bCs/>
        </w:rPr>
        <w:t>FEMA trailers may not be utilized, protestants assert a</w:t>
      </w:r>
      <w:r>
        <w:rPr>
          <w:bCs/>
        </w:rPr>
        <w:t xml:space="preserve"> need for 200 amp service to serve modern </w:t>
      </w:r>
      <w:r w:rsidR="00E84224">
        <w:rPr>
          <w:bCs/>
        </w:rPr>
        <w:t xml:space="preserve">or </w:t>
      </w:r>
      <w:r>
        <w:rPr>
          <w:bCs/>
        </w:rPr>
        <w:t xml:space="preserve">all-electric </w:t>
      </w:r>
      <w:r w:rsidR="000916FC">
        <w:rPr>
          <w:bCs/>
        </w:rPr>
        <w:t xml:space="preserve">manufactured homes </w:t>
      </w:r>
      <w:r w:rsidR="00F97342">
        <w:rPr>
          <w:bCs/>
        </w:rPr>
        <w:t>that are likely to repopulate these MHPs</w:t>
      </w:r>
      <w:r>
        <w:rPr>
          <w:bCs/>
        </w:rPr>
        <w:t xml:space="preserve">. </w:t>
      </w:r>
    </w:p>
    <w:p w:rsidR="00EF7B91" w:rsidP="00F55F5B" w:rsidRDefault="00EF7B91" w14:paraId="6C4E4433" w14:textId="77777777">
      <w:pPr>
        <w:rPr>
          <w:bCs/>
        </w:rPr>
      </w:pPr>
    </w:p>
    <w:p w:rsidR="0093383E" w:rsidP="00F55F5B" w:rsidRDefault="00EF7B91" w14:paraId="3DBDE75F" w14:textId="68E05F56">
      <w:pPr>
        <w:rPr>
          <w:bCs/>
        </w:rPr>
      </w:pPr>
      <w:r>
        <w:rPr>
          <w:bCs/>
        </w:rPr>
        <w:t>Each manufactured home must be designed to the federal Manufactured Home Construction and Safety Standards of 24 CFR</w:t>
      </w:r>
      <w:r w:rsidR="00FC4C44">
        <w:rPr>
          <w:rStyle w:val="FootnoteReference"/>
          <w:bCs/>
        </w:rPr>
        <w:footnoteReference w:id="85"/>
      </w:r>
      <w:r>
        <w:rPr>
          <w:bCs/>
        </w:rPr>
        <w:t xml:space="preserve"> 3280, commonly called the HUD Code.  </w:t>
      </w:r>
      <w:r w:rsidR="00553B97">
        <w:rPr>
          <w:bCs/>
        </w:rPr>
        <w:t xml:space="preserve">HUD current standard has 3 </w:t>
      </w:r>
      <w:r w:rsidR="00FF4B4E">
        <w:rPr>
          <w:bCs/>
        </w:rPr>
        <w:t>t</w:t>
      </w:r>
      <w:r w:rsidR="00553B97">
        <w:rPr>
          <w:bCs/>
        </w:rPr>
        <w:t xml:space="preserve">hermal </w:t>
      </w:r>
      <w:r w:rsidR="00FF4B4E">
        <w:rPr>
          <w:bCs/>
        </w:rPr>
        <w:t>load z</w:t>
      </w:r>
      <w:r w:rsidR="00553B97">
        <w:rPr>
          <w:bCs/>
        </w:rPr>
        <w:t>ones</w:t>
      </w:r>
      <w:r w:rsidR="00FF4B4E">
        <w:rPr>
          <w:bCs/>
        </w:rPr>
        <w:t xml:space="preserve"> in the nation</w:t>
      </w:r>
      <w:r>
        <w:rPr>
          <w:rStyle w:val="FootnoteReference"/>
          <w:bCs/>
        </w:rPr>
        <w:footnoteReference w:id="86"/>
      </w:r>
      <w:r w:rsidR="00553B97">
        <w:rPr>
          <w:bCs/>
        </w:rPr>
        <w:t xml:space="preserve"> while Title 24 of California consists of 16 Climate Zones within California</w:t>
      </w:r>
      <w:r w:rsidR="00FF4B4E">
        <w:rPr>
          <w:bCs/>
        </w:rPr>
        <w:t xml:space="preserve"> alone</w:t>
      </w:r>
      <w:r w:rsidR="00553B97">
        <w:rPr>
          <w:bCs/>
        </w:rPr>
        <w:t>.</w:t>
      </w:r>
      <w:r w:rsidR="00E865AB">
        <w:rPr>
          <w:rStyle w:val="FootnoteReference"/>
          <w:bCs/>
        </w:rPr>
        <w:footnoteReference w:id="87"/>
      </w:r>
      <w:r w:rsidR="00553B97">
        <w:rPr>
          <w:bCs/>
        </w:rPr>
        <w:t xml:space="preserve">  HUD Code considers a </w:t>
      </w:r>
      <w:r w:rsidR="00A63558">
        <w:rPr>
          <w:bCs/>
        </w:rPr>
        <w:t>manufactured home</w:t>
      </w:r>
      <w:r w:rsidR="00553B97">
        <w:rPr>
          <w:bCs/>
        </w:rPr>
        <w:t xml:space="preserve"> as one </w:t>
      </w:r>
      <w:r w:rsidR="00FF4B4E">
        <w:rPr>
          <w:bCs/>
        </w:rPr>
        <w:t xml:space="preserve">home thermal </w:t>
      </w:r>
      <w:r w:rsidR="00553B97">
        <w:rPr>
          <w:bCs/>
        </w:rPr>
        <w:t xml:space="preserve">envelope and </w:t>
      </w:r>
      <w:r w:rsidR="00553B97">
        <w:rPr>
          <w:bCs/>
        </w:rPr>
        <w:lastRenderedPageBreak/>
        <w:t>requires a combined U-Value</w:t>
      </w:r>
      <w:r w:rsidR="00FF4B4E">
        <w:rPr>
          <w:rStyle w:val="FootnoteReference"/>
          <w:bCs/>
        </w:rPr>
        <w:footnoteReference w:id="88"/>
      </w:r>
      <w:r w:rsidR="00553B97">
        <w:rPr>
          <w:bCs/>
        </w:rPr>
        <w:t xml:space="preserve"> of </w:t>
      </w:r>
      <w:r w:rsidRPr="00553B97" w:rsidR="00553B97">
        <w:rPr>
          <w:bCs/>
        </w:rPr>
        <w:t xml:space="preserve">0.096 </w:t>
      </w:r>
      <w:r w:rsidR="00553B97">
        <w:rPr>
          <w:bCs/>
        </w:rPr>
        <w:t xml:space="preserve">in California, while Title 24 requires every part of the building envelope to have its own U-Value code requirement.  </w:t>
      </w:r>
      <w:r w:rsidR="007D3D51">
        <w:rPr>
          <w:bCs/>
        </w:rPr>
        <w:t>Therefore,</w:t>
      </w:r>
      <w:r w:rsidR="00553B97">
        <w:rPr>
          <w:bCs/>
        </w:rPr>
        <w:t xml:space="preserve"> </w:t>
      </w:r>
      <w:r w:rsidR="007D3D51">
        <w:rPr>
          <w:bCs/>
        </w:rPr>
        <w:t xml:space="preserve">HUD </w:t>
      </w:r>
      <w:r w:rsidRPr="007D3D51" w:rsidR="007D3D51">
        <w:rPr>
          <w:bCs/>
        </w:rPr>
        <w:t xml:space="preserve">energy efficiency code requirements </w:t>
      </w:r>
      <w:r w:rsidR="007D3D51">
        <w:rPr>
          <w:bCs/>
        </w:rPr>
        <w:t xml:space="preserve">are more relaxed than </w:t>
      </w:r>
      <w:r w:rsidR="00553B97">
        <w:rPr>
          <w:bCs/>
        </w:rPr>
        <w:t xml:space="preserve">Title 24 of California.    </w:t>
      </w:r>
    </w:p>
    <w:p w:rsidR="00FC4C44" w:rsidP="00F55F5B" w:rsidRDefault="00FC4C44" w14:paraId="50B502C3" w14:textId="232018B4">
      <w:pPr>
        <w:rPr>
          <w:bCs/>
        </w:rPr>
      </w:pPr>
    </w:p>
    <w:p w:rsidR="00FC4C44" w:rsidP="00F55F5B" w:rsidRDefault="00E865AB" w14:paraId="21607FFE" w14:textId="4040249A">
      <w:pPr>
        <w:rPr>
          <w:bCs/>
        </w:rPr>
      </w:pPr>
      <w:r>
        <w:rPr>
          <w:bCs/>
        </w:rPr>
        <w:t>Furthermore</w:t>
      </w:r>
      <w:r w:rsidR="00B405AC">
        <w:rPr>
          <w:bCs/>
        </w:rPr>
        <w:t>, an</w:t>
      </w:r>
      <w:r w:rsidRPr="007D3D51" w:rsidR="007D3D51">
        <w:rPr>
          <w:bCs/>
        </w:rPr>
        <w:t xml:space="preserve"> Advanced Energy Rebuild (AER) program was created by </w:t>
      </w:r>
      <w:r w:rsidR="00B405AC">
        <w:rPr>
          <w:bCs/>
        </w:rPr>
        <w:t xml:space="preserve">the </w:t>
      </w:r>
      <w:r w:rsidRPr="007D3D51" w:rsidR="007D3D51">
        <w:rPr>
          <w:bCs/>
        </w:rPr>
        <w:t xml:space="preserve">Sonoma Clean Power, Pacific Gas and Electric Company (PG&amp;E), and </w:t>
      </w:r>
      <w:r w:rsidR="00B405AC">
        <w:rPr>
          <w:bCs/>
        </w:rPr>
        <w:t xml:space="preserve">the </w:t>
      </w:r>
      <w:r w:rsidRPr="007D3D51" w:rsidR="007D3D51">
        <w:rPr>
          <w:bCs/>
        </w:rPr>
        <w:t>Bay Area Air Quality Management District to help homeowners affected by the October 2017 firestorms</w:t>
      </w:r>
      <w:r w:rsidR="00A63558">
        <w:rPr>
          <w:bCs/>
        </w:rPr>
        <w:t xml:space="preserve"> to</w:t>
      </w:r>
      <w:r w:rsidRPr="007D3D51" w:rsidR="007D3D51">
        <w:rPr>
          <w:bCs/>
        </w:rPr>
        <w:t xml:space="preserve"> rebuild energy efficient</w:t>
      </w:r>
      <w:r w:rsidR="00A63558">
        <w:rPr>
          <w:bCs/>
        </w:rPr>
        <w:t xml:space="preserve"> and</w:t>
      </w:r>
      <w:r w:rsidRPr="007D3D51" w:rsidR="007D3D51">
        <w:rPr>
          <w:bCs/>
        </w:rPr>
        <w:t xml:space="preserve"> sustainable homes</w:t>
      </w:r>
      <w:r w:rsidR="007D3D51">
        <w:rPr>
          <w:bCs/>
        </w:rPr>
        <w:t xml:space="preserve">.  </w:t>
      </w:r>
      <w:r w:rsidR="00E91E98">
        <w:rPr>
          <w:bCs/>
        </w:rPr>
        <w:t>M</w:t>
      </w:r>
      <w:r w:rsidR="007D3D51">
        <w:rPr>
          <w:bCs/>
        </w:rPr>
        <w:t xml:space="preserve">anufactured homes qualify for base </w:t>
      </w:r>
      <w:r w:rsidR="00BA0481">
        <w:rPr>
          <w:bCs/>
        </w:rPr>
        <w:t>incentive</w:t>
      </w:r>
      <w:r w:rsidR="00440F2D">
        <w:rPr>
          <w:bCs/>
        </w:rPr>
        <w:t>s</w:t>
      </w:r>
      <w:r w:rsidR="00BF2884">
        <w:rPr>
          <w:bCs/>
        </w:rPr>
        <w:t xml:space="preserve">.  </w:t>
      </w:r>
      <w:r w:rsidR="00BA0481">
        <w:rPr>
          <w:bCs/>
        </w:rPr>
        <w:t xml:space="preserve"> </w:t>
      </w:r>
      <w:r w:rsidR="00297A54">
        <w:rPr>
          <w:bCs/>
        </w:rPr>
        <w:t xml:space="preserve">Manufactured homes </w:t>
      </w:r>
      <w:r w:rsidR="00D63601">
        <w:rPr>
          <w:bCs/>
        </w:rPr>
        <w:t xml:space="preserve">that meet Energy Star Version 2.0 requirements </w:t>
      </w:r>
      <w:r w:rsidR="00297A54">
        <w:rPr>
          <w:bCs/>
        </w:rPr>
        <w:t>receive</w:t>
      </w:r>
      <w:r w:rsidR="007D3D51">
        <w:rPr>
          <w:bCs/>
        </w:rPr>
        <w:t xml:space="preserve"> </w:t>
      </w:r>
      <w:r w:rsidR="00D63601">
        <w:rPr>
          <w:bCs/>
        </w:rPr>
        <w:t>base</w:t>
      </w:r>
      <w:r w:rsidR="007D3D51">
        <w:rPr>
          <w:bCs/>
        </w:rPr>
        <w:t xml:space="preserve"> </w:t>
      </w:r>
      <w:r w:rsidR="0007194F">
        <w:rPr>
          <w:bCs/>
        </w:rPr>
        <w:t xml:space="preserve">financial </w:t>
      </w:r>
      <w:r w:rsidR="007D3D51">
        <w:rPr>
          <w:bCs/>
        </w:rPr>
        <w:t>incentives</w:t>
      </w:r>
      <w:r w:rsidR="00A30CC4">
        <w:rPr>
          <w:bCs/>
        </w:rPr>
        <w:t>.</w:t>
      </w:r>
      <w:r w:rsidR="0007194F">
        <w:rPr>
          <w:rStyle w:val="FootnoteReference"/>
          <w:bCs/>
        </w:rPr>
        <w:footnoteReference w:id="89"/>
      </w:r>
      <w:r w:rsidR="00A30CC4">
        <w:rPr>
          <w:bCs/>
        </w:rPr>
        <w:t xml:space="preserve">  All-electric manufactured homes with</w:t>
      </w:r>
      <w:r w:rsidR="00440F2D">
        <w:rPr>
          <w:bCs/>
        </w:rPr>
        <w:t xml:space="preserve"> heat pump </w:t>
      </w:r>
      <w:r w:rsidR="00A30CC4">
        <w:rPr>
          <w:bCs/>
        </w:rPr>
        <w:t>for</w:t>
      </w:r>
      <w:r w:rsidR="00440F2D">
        <w:rPr>
          <w:bCs/>
        </w:rPr>
        <w:t xml:space="preserve"> </w:t>
      </w:r>
      <w:r w:rsidR="002359A9">
        <w:rPr>
          <w:bCs/>
        </w:rPr>
        <w:t>space and water heating and induction cooking</w:t>
      </w:r>
      <w:r w:rsidR="00A63558">
        <w:rPr>
          <w:bCs/>
        </w:rPr>
        <w:t xml:space="preserve"> </w:t>
      </w:r>
      <w:r w:rsidR="00350E50">
        <w:rPr>
          <w:bCs/>
        </w:rPr>
        <w:t>receive bonus incentives.</w:t>
      </w:r>
      <w:r w:rsidR="00FA6B5C">
        <w:rPr>
          <w:rStyle w:val="FootnoteReference"/>
          <w:bCs/>
        </w:rPr>
        <w:footnoteReference w:id="90"/>
      </w:r>
      <w:r w:rsidR="00350E50">
        <w:rPr>
          <w:bCs/>
        </w:rPr>
        <w:t xml:space="preserve">  </w:t>
      </w:r>
      <w:r w:rsidR="00CC123F">
        <w:rPr>
          <w:bCs/>
        </w:rPr>
        <w:t xml:space="preserve">Hence, </w:t>
      </w:r>
      <w:r w:rsidR="00BD1DEB">
        <w:rPr>
          <w:bCs/>
        </w:rPr>
        <w:t xml:space="preserve">the </w:t>
      </w:r>
      <w:r w:rsidR="00A056C6">
        <w:rPr>
          <w:bCs/>
        </w:rPr>
        <w:t xml:space="preserve">AER </w:t>
      </w:r>
      <w:r w:rsidR="00924C28">
        <w:rPr>
          <w:bCs/>
        </w:rPr>
        <w:t xml:space="preserve">program </w:t>
      </w:r>
      <w:r w:rsidR="00524EE7">
        <w:rPr>
          <w:bCs/>
        </w:rPr>
        <w:t xml:space="preserve">provides financial incentives </w:t>
      </w:r>
      <w:r w:rsidR="00A63558">
        <w:rPr>
          <w:bCs/>
        </w:rPr>
        <w:t xml:space="preserve">to rebuild </w:t>
      </w:r>
      <w:r w:rsidR="00D70447">
        <w:rPr>
          <w:bCs/>
        </w:rPr>
        <w:t xml:space="preserve">manufactured </w:t>
      </w:r>
      <w:r w:rsidR="00A63558">
        <w:rPr>
          <w:bCs/>
        </w:rPr>
        <w:t xml:space="preserve">homes </w:t>
      </w:r>
      <w:r w:rsidR="00427BA4">
        <w:rPr>
          <w:bCs/>
        </w:rPr>
        <w:t>to</w:t>
      </w:r>
      <w:r w:rsidR="00A63558">
        <w:rPr>
          <w:bCs/>
        </w:rPr>
        <w:t xml:space="preserve"> exceed HUD code requirements</w:t>
      </w:r>
      <w:r w:rsidR="003675A3">
        <w:rPr>
          <w:bCs/>
        </w:rPr>
        <w:t xml:space="preserve"> </w:t>
      </w:r>
      <w:r w:rsidR="00427BA4">
        <w:rPr>
          <w:bCs/>
        </w:rPr>
        <w:t>and</w:t>
      </w:r>
      <w:r w:rsidR="003A174F">
        <w:rPr>
          <w:bCs/>
        </w:rPr>
        <w:t xml:space="preserve"> </w:t>
      </w:r>
      <w:r w:rsidR="00D40FA4">
        <w:rPr>
          <w:bCs/>
        </w:rPr>
        <w:t>the</w:t>
      </w:r>
      <w:r w:rsidR="005F7E8F">
        <w:rPr>
          <w:bCs/>
        </w:rPr>
        <w:t xml:space="preserve"> demand for</w:t>
      </w:r>
      <w:r w:rsidR="00CC123F">
        <w:rPr>
          <w:bCs/>
        </w:rPr>
        <w:t xml:space="preserve"> 200 amp electric services.</w:t>
      </w:r>
      <w:r w:rsidR="007D3D51">
        <w:rPr>
          <w:bCs/>
        </w:rPr>
        <w:t xml:space="preserve">   </w:t>
      </w:r>
    </w:p>
    <w:p w:rsidR="0093383E" w:rsidP="00F55F5B" w:rsidRDefault="0093383E" w14:paraId="3A48B12A" w14:textId="77777777">
      <w:pPr>
        <w:rPr>
          <w:bCs/>
        </w:rPr>
      </w:pPr>
    </w:p>
    <w:p w:rsidR="0008091C" w:rsidP="00131D61" w:rsidRDefault="007E5E76" w14:paraId="1EAEDA50" w14:textId="0EDA1C83">
      <w:pPr>
        <w:rPr>
          <w:bCs/>
        </w:rPr>
      </w:pPr>
      <w:r>
        <w:rPr>
          <w:bCs/>
        </w:rPr>
        <w:t xml:space="preserve">Nic Dunfee of </w:t>
      </w:r>
      <w:r w:rsidR="00274892">
        <w:rPr>
          <w:bCs/>
        </w:rPr>
        <w:t>TRC</w:t>
      </w:r>
      <w:r w:rsidR="002C0CD4">
        <w:rPr>
          <w:bCs/>
        </w:rPr>
        <w:t xml:space="preserve"> Companies Inc.,</w:t>
      </w:r>
      <w:r w:rsidR="005905CA">
        <w:rPr>
          <w:bCs/>
        </w:rPr>
        <w:t xml:space="preserve"> indicated in </w:t>
      </w:r>
      <w:r w:rsidR="007C7910">
        <w:rPr>
          <w:bCs/>
        </w:rPr>
        <w:t>a</w:t>
      </w:r>
      <w:r w:rsidR="005905CA">
        <w:rPr>
          <w:bCs/>
        </w:rPr>
        <w:t xml:space="preserve"> presentation at a</w:t>
      </w:r>
      <w:r w:rsidR="002B61AD">
        <w:rPr>
          <w:bCs/>
        </w:rPr>
        <w:t xml:space="preserve"> September 15, 2020</w:t>
      </w:r>
      <w:r w:rsidR="005905CA">
        <w:rPr>
          <w:bCs/>
        </w:rPr>
        <w:t xml:space="preserve"> workshop on </w:t>
      </w:r>
      <w:bookmarkStart w:name="_Hlk57210644" w:id="38"/>
      <w:r w:rsidRPr="00FE1D8F" w:rsidR="005905CA">
        <w:rPr>
          <w:i/>
        </w:rPr>
        <w:t>Building De</w:t>
      </w:r>
      <w:r w:rsidRPr="00FE1D8F" w:rsidR="0030004A">
        <w:rPr>
          <w:i/>
        </w:rPr>
        <w:t xml:space="preserve">carbonization and </w:t>
      </w:r>
      <w:r w:rsidRPr="00FE1D8F" w:rsidR="00C65F17">
        <w:rPr>
          <w:i/>
        </w:rPr>
        <w:t>M</w:t>
      </w:r>
      <w:r w:rsidRPr="00FE1D8F" w:rsidR="0030004A">
        <w:rPr>
          <w:i/>
        </w:rPr>
        <w:t xml:space="preserve">obilehome </w:t>
      </w:r>
      <w:r w:rsidRPr="00FE1D8F" w:rsidR="00C65F17">
        <w:rPr>
          <w:i/>
        </w:rPr>
        <w:t>P</w:t>
      </w:r>
      <w:r w:rsidRPr="00FE1D8F" w:rsidR="0030004A">
        <w:rPr>
          <w:i/>
        </w:rPr>
        <w:t>ark Electrification and Tenant Protection Topics</w:t>
      </w:r>
      <w:r w:rsidR="00893B09">
        <w:rPr>
          <w:bCs/>
        </w:rPr>
        <w:t xml:space="preserve"> </w:t>
      </w:r>
      <w:bookmarkEnd w:id="38"/>
      <w:r w:rsidR="00893B09">
        <w:rPr>
          <w:bCs/>
        </w:rPr>
        <w:t>that</w:t>
      </w:r>
      <w:r w:rsidR="0030004A">
        <w:rPr>
          <w:bCs/>
        </w:rPr>
        <w:t xml:space="preserve"> </w:t>
      </w:r>
      <w:r w:rsidR="00C65F17">
        <w:rPr>
          <w:bCs/>
        </w:rPr>
        <w:t>approximately 4,000 m</w:t>
      </w:r>
      <w:r w:rsidR="00AB5306">
        <w:rPr>
          <w:bCs/>
        </w:rPr>
        <w:t xml:space="preserve">anufactured housing units </w:t>
      </w:r>
      <w:r w:rsidR="002C0CD4">
        <w:rPr>
          <w:bCs/>
        </w:rPr>
        <w:t xml:space="preserve">were </w:t>
      </w:r>
      <w:r w:rsidR="00AB5306">
        <w:rPr>
          <w:bCs/>
        </w:rPr>
        <w:t xml:space="preserve">delivered across </w:t>
      </w:r>
      <w:r w:rsidR="00FD1254">
        <w:rPr>
          <w:bCs/>
        </w:rPr>
        <w:t>California</w:t>
      </w:r>
      <w:r w:rsidR="00AB5306">
        <w:rPr>
          <w:bCs/>
        </w:rPr>
        <w:t xml:space="preserve"> in 2019</w:t>
      </w:r>
      <w:r w:rsidR="00271905">
        <w:rPr>
          <w:bCs/>
        </w:rPr>
        <w:t xml:space="preserve"> and approximately 50% of them </w:t>
      </w:r>
      <w:r w:rsidR="002C0CD4">
        <w:rPr>
          <w:bCs/>
        </w:rPr>
        <w:t>were</w:t>
      </w:r>
      <w:r w:rsidR="00271905">
        <w:rPr>
          <w:bCs/>
        </w:rPr>
        <w:t xml:space="preserve"> all </w:t>
      </w:r>
      <w:r w:rsidR="00271905">
        <w:rPr>
          <w:bCs/>
        </w:rPr>
        <w:lastRenderedPageBreak/>
        <w:t>electric.</w:t>
      </w:r>
      <w:r w:rsidR="00664C46">
        <w:rPr>
          <w:rStyle w:val="FootnoteReference"/>
          <w:bCs/>
        </w:rPr>
        <w:footnoteReference w:id="91"/>
      </w:r>
      <w:r w:rsidR="00271905">
        <w:rPr>
          <w:bCs/>
        </w:rPr>
        <w:t xml:space="preserve"> </w:t>
      </w:r>
      <w:r w:rsidR="009D60AA">
        <w:rPr>
          <w:bCs/>
        </w:rPr>
        <w:t>Manufactured homes are concentrated in rural area that often lack access to piped natural gas.</w:t>
      </w:r>
      <w:r w:rsidR="008C6B69">
        <w:rPr>
          <w:rStyle w:val="FootnoteReference"/>
          <w:bCs/>
        </w:rPr>
        <w:footnoteReference w:id="92"/>
      </w:r>
      <w:r w:rsidR="004C6F57">
        <w:rPr>
          <w:bCs/>
        </w:rPr>
        <w:t xml:space="preserve"> </w:t>
      </w:r>
    </w:p>
    <w:p w:rsidR="00B46CCA" w:rsidP="00131D61" w:rsidRDefault="00B46CCA" w14:paraId="26BCF644" w14:textId="77777777">
      <w:pPr>
        <w:rPr>
          <w:bCs/>
        </w:rPr>
      </w:pPr>
    </w:p>
    <w:p w:rsidR="00675B84" w:rsidP="00131D61" w:rsidRDefault="001C4C7A" w14:paraId="7A549689" w14:textId="5FE435E0">
      <w:pPr>
        <w:rPr>
          <w:bCs/>
        </w:rPr>
      </w:pPr>
      <w:r>
        <w:rPr>
          <w:bCs/>
        </w:rPr>
        <w:t xml:space="preserve">Therefore, the </w:t>
      </w:r>
      <w:r w:rsidR="004E6170">
        <w:rPr>
          <w:bCs/>
        </w:rPr>
        <w:t>CPUC</w:t>
      </w:r>
      <w:r>
        <w:rPr>
          <w:bCs/>
        </w:rPr>
        <w:t xml:space="preserve"> should anticipate that demand for 200 amp services will continue to increase as more all-electric HUD compliant </w:t>
      </w:r>
      <w:r w:rsidR="007848EF">
        <w:rPr>
          <w:bCs/>
        </w:rPr>
        <w:t>mobilehomes</w:t>
      </w:r>
      <w:r w:rsidR="00990E50">
        <w:rPr>
          <w:bCs/>
        </w:rPr>
        <w:t xml:space="preserve"> </w:t>
      </w:r>
      <w:r>
        <w:rPr>
          <w:bCs/>
        </w:rPr>
        <w:t xml:space="preserve">come into the </w:t>
      </w:r>
      <w:r w:rsidR="00A4423B">
        <w:rPr>
          <w:bCs/>
        </w:rPr>
        <w:t>S</w:t>
      </w:r>
      <w:r>
        <w:rPr>
          <w:bCs/>
        </w:rPr>
        <w:t xml:space="preserve">tate. </w:t>
      </w:r>
      <w:r w:rsidR="00990E50">
        <w:rPr>
          <w:bCs/>
        </w:rPr>
        <w:t xml:space="preserve">Furthermore, even if a </w:t>
      </w:r>
      <w:r w:rsidR="00D27936">
        <w:rPr>
          <w:bCs/>
        </w:rPr>
        <w:t>mobilehome</w:t>
      </w:r>
      <w:r w:rsidR="00990E50">
        <w:rPr>
          <w:bCs/>
        </w:rPr>
        <w:t xml:space="preserve"> homeowner chooses to live in a dual fuel home that does not require a 200-amp panel today,</w:t>
      </w:r>
      <w:r w:rsidR="00E35E27">
        <w:rPr>
          <w:bCs/>
        </w:rPr>
        <w:t xml:space="preserve"> which is approximately 50% of the marketplace, the increased panel size will enable the MH owner to install </w:t>
      </w:r>
      <w:r w:rsidR="00F44581">
        <w:rPr>
          <w:bCs/>
        </w:rPr>
        <w:t>electric vehicle (</w:t>
      </w:r>
      <w:r w:rsidR="00E35E27">
        <w:rPr>
          <w:bCs/>
        </w:rPr>
        <w:t>EV</w:t>
      </w:r>
      <w:r w:rsidR="00F44581">
        <w:rPr>
          <w:bCs/>
        </w:rPr>
        <w:t>)</w:t>
      </w:r>
      <w:r w:rsidR="00E35E27">
        <w:rPr>
          <w:bCs/>
        </w:rPr>
        <w:t xml:space="preserve"> charging.</w:t>
      </w:r>
      <w:r w:rsidR="00BC4384">
        <w:rPr>
          <w:bCs/>
        </w:rPr>
        <w:t xml:space="preserve"> Given these market realities and desire to enable the adoption of electric vehicles, we find it appropriate to explore the costs of 200 amp service.</w:t>
      </w:r>
    </w:p>
    <w:p w:rsidR="0008091C" w:rsidP="00131D61" w:rsidRDefault="0008091C" w14:paraId="2721318F" w14:textId="77777777">
      <w:pPr>
        <w:rPr>
          <w:bCs/>
        </w:rPr>
      </w:pPr>
    </w:p>
    <w:p w:rsidR="00CF0D74" w:rsidP="00723927" w:rsidRDefault="00FC3B1A" w14:paraId="7668F65D" w14:textId="22C6F966">
      <w:pPr>
        <w:rPr>
          <w:bCs/>
        </w:rPr>
      </w:pPr>
      <w:r>
        <w:rPr>
          <w:bCs/>
        </w:rPr>
        <w:t>Jeffrey Jenkins of SCE also indicated in</w:t>
      </w:r>
      <w:r w:rsidR="00613AE9">
        <w:rPr>
          <w:bCs/>
        </w:rPr>
        <w:t xml:space="preserve"> a presentation </w:t>
      </w:r>
      <w:r w:rsidR="000E17F5">
        <w:rPr>
          <w:bCs/>
        </w:rPr>
        <w:t>titled "</w:t>
      </w:r>
      <w:r w:rsidRPr="00491874" w:rsidR="000E17F5">
        <w:rPr>
          <w:bCs/>
          <w:i/>
          <w:iCs/>
        </w:rPr>
        <w:t>Southern California Edison (SCE) Electrification of MHPs</w:t>
      </w:r>
      <w:r w:rsidR="000E17F5">
        <w:rPr>
          <w:bCs/>
        </w:rPr>
        <w:t xml:space="preserve">" </w:t>
      </w:r>
      <w:r w:rsidR="00613AE9">
        <w:rPr>
          <w:bCs/>
        </w:rPr>
        <w:t>at th</w:t>
      </w:r>
      <w:r w:rsidR="00C40A53">
        <w:rPr>
          <w:bCs/>
        </w:rPr>
        <w:t>is</w:t>
      </w:r>
      <w:r w:rsidR="00613AE9">
        <w:rPr>
          <w:bCs/>
        </w:rPr>
        <w:t xml:space="preserve"> workshop that an all-electric </w:t>
      </w:r>
      <w:r w:rsidR="009E7B4E">
        <w:rPr>
          <w:bCs/>
        </w:rPr>
        <w:t xml:space="preserve">MHP </w:t>
      </w:r>
      <w:r w:rsidR="00613AE9">
        <w:rPr>
          <w:bCs/>
        </w:rPr>
        <w:t>unit would require</w:t>
      </w:r>
      <w:r w:rsidR="009E7B4E">
        <w:rPr>
          <w:bCs/>
        </w:rPr>
        <w:t xml:space="preserve"> </w:t>
      </w:r>
      <w:r w:rsidR="009671DA">
        <w:rPr>
          <w:bCs/>
        </w:rPr>
        <w:t>remodeling or retrofitting of</w:t>
      </w:r>
      <w:r w:rsidR="00613AE9">
        <w:rPr>
          <w:bCs/>
        </w:rPr>
        <w:t xml:space="preserve"> </w:t>
      </w:r>
      <w:r w:rsidR="000E7D4E">
        <w:rPr>
          <w:bCs/>
        </w:rPr>
        <w:t>its</w:t>
      </w:r>
      <w:r w:rsidR="001C1066">
        <w:rPr>
          <w:bCs/>
        </w:rPr>
        <w:t xml:space="preserve"> existing meter panel to </w:t>
      </w:r>
      <w:r w:rsidR="00613AE9">
        <w:rPr>
          <w:bCs/>
        </w:rPr>
        <w:t>a minimum of 200 amp</w:t>
      </w:r>
      <w:r w:rsidR="00491874">
        <w:rPr>
          <w:bCs/>
        </w:rPr>
        <w:t>s</w:t>
      </w:r>
      <w:r w:rsidR="00613AE9">
        <w:rPr>
          <w:bCs/>
        </w:rPr>
        <w:t xml:space="preserve">.  </w:t>
      </w:r>
      <w:r w:rsidR="00153EF4">
        <w:rPr>
          <w:bCs/>
        </w:rPr>
        <w:t>He further indicated that "100 amp panels</w:t>
      </w:r>
      <w:r w:rsidR="007C6391">
        <w:rPr>
          <w:bCs/>
        </w:rPr>
        <w:t xml:space="preserve"> may not have capacity to support an all-electric unit.</w:t>
      </w:r>
      <w:r w:rsidR="00AC4E9B">
        <w:rPr>
          <w:bCs/>
        </w:rPr>
        <w:t>"</w:t>
      </w:r>
      <w:r w:rsidR="007C6391">
        <w:rPr>
          <w:rStyle w:val="FootnoteReference"/>
          <w:bCs/>
        </w:rPr>
        <w:footnoteReference w:id="93"/>
      </w:r>
      <w:r w:rsidR="007C6391">
        <w:rPr>
          <w:bCs/>
        </w:rPr>
        <w:t xml:space="preserve"> </w:t>
      </w:r>
      <w:r w:rsidR="00153EF4">
        <w:rPr>
          <w:bCs/>
        </w:rPr>
        <w:t xml:space="preserve"> </w:t>
      </w:r>
    </w:p>
    <w:p w:rsidR="00D9675A" w:rsidP="00723927" w:rsidRDefault="00D9675A" w14:paraId="465A7EF1" w14:textId="77777777">
      <w:pPr>
        <w:rPr>
          <w:bCs/>
        </w:rPr>
      </w:pPr>
    </w:p>
    <w:p w:rsidR="00A022D5" w:rsidRDefault="00C3289D" w14:paraId="4995ABDA" w14:textId="3178F287">
      <w:pPr>
        <w:rPr>
          <w:bCs/>
        </w:rPr>
      </w:pPr>
      <w:r w:rsidRPr="00C3289D">
        <w:rPr>
          <w:bCs/>
        </w:rPr>
        <w:t xml:space="preserve">Reaching decarbonization goals of 75 percent or greater reduction in greenhouse gas emissions will require eliminating most of the </w:t>
      </w:r>
      <w:r w:rsidR="00313135">
        <w:rPr>
          <w:bCs/>
        </w:rPr>
        <w:t>carbon dioxide</w:t>
      </w:r>
      <w:r w:rsidRPr="00C3289D">
        <w:rPr>
          <w:bCs/>
        </w:rPr>
        <w:t> produced by furnaces and water heaters across the country, alongside other measures across the economy.</w:t>
      </w:r>
      <w:r w:rsidR="00701FC7">
        <w:rPr>
          <w:rStyle w:val="FootnoteReference"/>
          <w:bCs/>
        </w:rPr>
        <w:footnoteReference w:id="94"/>
      </w:r>
      <w:r>
        <w:rPr>
          <w:bCs/>
        </w:rPr>
        <w:t xml:space="preserve">  </w:t>
      </w:r>
      <w:r w:rsidRPr="002C0347" w:rsidR="002C0347">
        <w:rPr>
          <w:bCs/>
        </w:rPr>
        <w:t xml:space="preserve">For most new home construction, electrification of space and water heating and air conditioning reduces the homeowner’s costs over the lifetime of the appliances when compared with performing the same functions </w:t>
      </w:r>
      <w:r w:rsidRPr="002C0347" w:rsidR="002C0347">
        <w:rPr>
          <w:bCs/>
        </w:rPr>
        <w:lastRenderedPageBreak/>
        <w:t>with fossil fuels.</w:t>
      </w:r>
      <w:r w:rsidRPr="002C0347" w:rsidR="002C0347">
        <w:rPr>
          <w:bCs/>
          <w:vertAlign w:val="superscript"/>
        </w:rPr>
        <w:footnoteReference w:id="95"/>
      </w:r>
      <w:r w:rsidRPr="002C0347" w:rsidR="002C0347">
        <w:rPr>
          <w:bCs/>
        </w:rPr>
        <w:t xml:space="preserve">  </w:t>
      </w:r>
      <w:r w:rsidR="00BF1A28">
        <w:rPr>
          <w:bCs/>
        </w:rPr>
        <w:t xml:space="preserve">Technologies </w:t>
      </w:r>
      <w:r w:rsidR="0059245F">
        <w:rPr>
          <w:bCs/>
        </w:rPr>
        <w:t xml:space="preserve">also </w:t>
      </w:r>
      <w:r w:rsidR="00F52C81">
        <w:rPr>
          <w:bCs/>
        </w:rPr>
        <w:t xml:space="preserve">are available to efficiently and affordably electrify homes, especially </w:t>
      </w:r>
      <w:r w:rsidR="002904B5">
        <w:rPr>
          <w:bCs/>
        </w:rPr>
        <w:t xml:space="preserve">as </w:t>
      </w:r>
      <w:r w:rsidR="00CE0B0B">
        <w:rPr>
          <w:bCs/>
        </w:rPr>
        <w:t>heat pumps for heating and cooling space and water have improved</w:t>
      </w:r>
      <w:r w:rsidR="004E32F4">
        <w:rPr>
          <w:bCs/>
        </w:rPr>
        <w:t xml:space="preserve">.  </w:t>
      </w:r>
      <w:r w:rsidR="00DF19F9">
        <w:rPr>
          <w:bCs/>
        </w:rPr>
        <w:t xml:space="preserve">Air source heat pumps can reduce electricity use </w:t>
      </w:r>
      <w:r w:rsidR="008A7CF5">
        <w:rPr>
          <w:bCs/>
        </w:rPr>
        <w:t>50% compared to electric resistance appli</w:t>
      </w:r>
      <w:r w:rsidR="009F12F5">
        <w:rPr>
          <w:bCs/>
        </w:rPr>
        <w:t xml:space="preserve">ances.  Heat pump water heaters are 3 to 5 times </w:t>
      </w:r>
      <w:r w:rsidR="00D95DEB">
        <w:rPr>
          <w:bCs/>
        </w:rPr>
        <w:t>more energy efficient than gas storage water heaters.</w:t>
      </w:r>
      <w:r w:rsidR="006662A7">
        <w:rPr>
          <w:rStyle w:val="FootnoteReference"/>
          <w:bCs/>
        </w:rPr>
        <w:footnoteReference w:id="96"/>
      </w:r>
      <w:r w:rsidR="00D95DEB">
        <w:rPr>
          <w:bCs/>
        </w:rPr>
        <w:t xml:space="preserve">  </w:t>
      </w:r>
      <w:r w:rsidR="007A3E2D">
        <w:rPr>
          <w:bCs/>
        </w:rPr>
        <w:t>The</w:t>
      </w:r>
      <w:r w:rsidR="00D95DEB">
        <w:rPr>
          <w:bCs/>
        </w:rPr>
        <w:t>refore, the</w:t>
      </w:r>
      <w:r w:rsidR="007A3E2D">
        <w:rPr>
          <w:bCs/>
        </w:rPr>
        <w:t xml:space="preserve"> Commission also should anticipate demand for 200 amp service due to </w:t>
      </w:r>
      <w:r w:rsidR="0030498B">
        <w:rPr>
          <w:bCs/>
        </w:rPr>
        <w:t xml:space="preserve">the </w:t>
      </w:r>
      <w:r w:rsidR="007A3E2D">
        <w:rPr>
          <w:bCs/>
        </w:rPr>
        <w:t xml:space="preserve">increased load imposed by </w:t>
      </w:r>
      <w:r w:rsidR="00BA54D3">
        <w:rPr>
          <w:bCs/>
        </w:rPr>
        <w:t xml:space="preserve">electric </w:t>
      </w:r>
      <w:r w:rsidR="007A3E2D">
        <w:rPr>
          <w:bCs/>
        </w:rPr>
        <w:t>space conditioning, water heating, and cooking equipment found in modern mobilehomes</w:t>
      </w:r>
      <w:r w:rsidR="0030498B">
        <w:rPr>
          <w:bCs/>
        </w:rPr>
        <w:t xml:space="preserve">.  </w:t>
      </w:r>
      <w:r w:rsidR="00611643">
        <w:rPr>
          <w:bCs/>
        </w:rPr>
        <w:t>Hence</w:t>
      </w:r>
      <w:r w:rsidR="004504D0">
        <w:rPr>
          <w:bCs/>
        </w:rPr>
        <w:t xml:space="preserve"> i</w:t>
      </w:r>
      <w:r w:rsidR="002904B5">
        <w:rPr>
          <w:bCs/>
        </w:rPr>
        <w:t>t is reasonable to anticipate that</w:t>
      </w:r>
      <w:r w:rsidR="00611643">
        <w:rPr>
          <w:bCs/>
        </w:rPr>
        <w:t xml:space="preserve">, </w:t>
      </w:r>
      <w:r w:rsidR="002C374B">
        <w:rPr>
          <w:bCs/>
        </w:rPr>
        <w:t>200 amp electric service upgrade</w:t>
      </w:r>
      <w:r w:rsidR="00932DFE">
        <w:rPr>
          <w:bCs/>
        </w:rPr>
        <w:t xml:space="preserve">s </w:t>
      </w:r>
      <w:r w:rsidR="00335EED">
        <w:rPr>
          <w:bCs/>
        </w:rPr>
        <w:t>are</w:t>
      </w:r>
      <w:r w:rsidR="002C374B">
        <w:rPr>
          <w:bCs/>
        </w:rPr>
        <w:t xml:space="preserve"> </w:t>
      </w:r>
      <w:r w:rsidR="002904B5">
        <w:rPr>
          <w:bCs/>
        </w:rPr>
        <w:t xml:space="preserve">likely to </w:t>
      </w:r>
      <w:r w:rsidR="00881AE9">
        <w:rPr>
          <w:bCs/>
        </w:rPr>
        <w:t xml:space="preserve">be </w:t>
      </w:r>
      <w:r w:rsidR="00317587">
        <w:rPr>
          <w:bCs/>
        </w:rPr>
        <w:t>required</w:t>
      </w:r>
      <w:r w:rsidR="002C374B">
        <w:rPr>
          <w:bCs/>
        </w:rPr>
        <w:t xml:space="preserve"> </w:t>
      </w:r>
      <w:r w:rsidR="00932DFE">
        <w:rPr>
          <w:bCs/>
        </w:rPr>
        <w:t xml:space="preserve">for </w:t>
      </w:r>
      <w:r w:rsidR="000A2E65">
        <w:rPr>
          <w:bCs/>
        </w:rPr>
        <w:t>modern all</w:t>
      </w:r>
      <w:r w:rsidR="00962290">
        <w:rPr>
          <w:bCs/>
        </w:rPr>
        <w:t xml:space="preserve">-electric </w:t>
      </w:r>
      <w:r w:rsidR="00184071">
        <w:rPr>
          <w:bCs/>
        </w:rPr>
        <w:t>mobilehomes</w:t>
      </w:r>
      <w:r w:rsidR="00204FCB">
        <w:rPr>
          <w:bCs/>
        </w:rPr>
        <w:t xml:space="preserve">, particularly if </w:t>
      </w:r>
      <w:r w:rsidR="00184071">
        <w:rPr>
          <w:bCs/>
        </w:rPr>
        <w:t>the owners have an electric vehicle</w:t>
      </w:r>
      <w:r w:rsidR="00962290">
        <w:rPr>
          <w:bCs/>
        </w:rPr>
        <w:t>.</w:t>
      </w:r>
    </w:p>
    <w:p w:rsidR="00672223" w:rsidP="009A2015" w:rsidRDefault="00491874" w14:paraId="6E3A8F2F" w14:textId="0DD1ED9F">
      <w:pPr>
        <w:rPr>
          <w:bCs/>
        </w:rPr>
      </w:pPr>
      <w:r>
        <w:rPr>
          <w:bCs/>
        </w:rPr>
        <w:t xml:space="preserve">  </w:t>
      </w:r>
    </w:p>
    <w:p w:rsidR="00DE20BC" w:rsidP="009A2015" w:rsidRDefault="00494F56" w14:paraId="53BEE6F3" w14:textId="5DC4C366">
      <w:pPr>
        <w:rPr>
          <w:bCs/>
        </w:rPr>
      </w:pPr>
      <w:r>
        <w:rPr>
          <w:bCs/>
        </w:rPr>
        <w:t>PG&amp;E indicated “</w:t>
      </w:r>
      <w:r w:rsidRPr="0095703D" w:rsidR="0095703D">
        <w:rPr>
          <w:bCs/>
        </w:rPr>
        <w:t>There is no standard service level for a new MHP space in PG&amp;E’s service territory. The acceptable amperage ranges from 50-amp service to a max of 200-amp service.</w:t>
      </w:r>
      <w:r w:rsidR="0095703D">
        <w:rPr>
          <w:bCs/>
        </w:rPr>
        <w:t>”</w:t>
      </w:r>
      <w:r w:rsidR="00A6609B">
        <w:rPr>
          <w:rStyle w:val="FootnoteReference"/>
          <w:bCs/>
        </w:rPr>
        <w:footnoteReference w:id="97"/>
      </w:r>
      <w:r w:rsidR="0095703D">
        <w:rPr>
          <w:bCs/>
        </w:rPr>
        <w:t xml:space="preserve"> </w:t>
      </w:r>
      <w:r w:rsidRPr="0095703D" w:rsidR="0095703D">
        <w:rPr>
          <w:bCs/>
        </w:rPr>
        <w:t xml:space="preserve"> </w:t>
      </w:r>
      <w:r w:rsidR="00DE20BC">
        <w:rPr>
          <w:bCs/>
        </w:rPr>
        <w:t>T</w:t>
      </w:r>
      <w:r w:rsidR="003D6192">
        <w:rPr>
          <w:bCs/>
        </w:rPr>
        <w:t xml:space="preserve">herefore, </w:t>
      </w:r>
      <w:r w:rsidR="00B71094">
        <w:rPr>
          <w:bCs/>
        </w:rPr>
        <w:t xml:space="preserve">the analysis below will </w:t>
      </w:r>
      <w:r w:rsidR="00541F9F">
        <w:rPr>
          <w:bCs/>
        </w:rPr>
        <w:t xml:space="preserve">focus on the more common </w:t>
      </w:r>
      <w:r w:rsidR="00DE20BC">
        <w:rPr>
          <w:bCs/>
        </w:rPr>
        <w:t xml:space="preserve">PG&amp;E service levels </w:t>
      </w:r>
      <w:r w:rsidR="00F64B89">
        <w:rPr>
          <w:bCs/>
        </w:rPr>
        <w:t>of</w:t>
      </w:r>
      <w:r w:rsidR="00DE20BC">
        <w:rPr>
          <w:bCs/>
        </w:rPr>
        <w:t xml:space="preserve"> 100 </w:t>
      </w:r>
      <w:r w:rsidR="00E02130">
        <w:rPr>
          <w:bCs/>
        </w:rPr>
        <w:t xml:space="preserve">and </w:t>
      </w:r>
      <w:r w:rsidR="00DE20BC">
        <w:rPr>
          <w:bCs/>
        </w:rPr>
        <w:t>200 amps.</w:t>
      </w:r>
      <w:r w:rsidR="00DC25B1">
        <w:rPr>
          <w:rStyle w:val="FootnoteReference"/>
          <w:bCs/>
        </w:rPr>
        <w:footnoteReference w:id="98"/>
      </w:r>
    </w:p>
    <w:p w:rsidR="00DE20BC" w:rsidP="009A2015" w:rsidRDefault="00DE20BC" w14:paraId="5DAEE359" w14:textId="60890E80">
      <w:pPr>
        <w:rPr>
          <w:bCs/>
        </w:rPr>
      </w:pPr>
    </w:p>
    <w:p w:rsidR="00C348BB" w:rsidP="009A2015" w:rsidRDefault="000E4ED7" w14:paraId="309802D1" w14:textId="0E36A8D7">
      <w:pPr>
        <w:rPr>
          <w:bCs/>
        </w:rPr>
      </w:pPr>
      <w:r w:rsidRPr="0AEE5C04">
        <w:t xml:space="preserve">PG&amp;E </w:t>
      </w:r>
      <w:r w:rsidR="007F6C23">
        <w:t xml:space="preserve">indicated that it </w:t>
      </w:r>
      <w:r w:rsidRPr="0AEE5C04">
        <w:t xml:space="preserve">will be able to reuse </w:t>
      </w:r>
      <w:r w:rsidR="00461A95">
        <w:t xml:space="preserve">the </w:t>
      </w:r>
      <w:r w:rsidR="00DE7345">
        <w:t xml:space="preserve">following </w:t>
      </w:r>
      <w:r w:rsidR="00461A95">
        <w:t xml:space="preserve">survived </w:t>
      </w:r>
      <w:r w:rsidR="002D6FA1">
        <w:t xml:space="preserve">infrastructure: 1) </w:t>
      </w:r>
      <w:r w:rsidRPr="0AEE5C04">
        <w:t>transformers</w:t>
      </w:r>
      <w:r w:rsidR="00BA3AEE">
        <w:t xml:space="preserve"> </w:t>
      </w:r>
      <w:r w:rsidRPr="00BA3AEE" w:rsidR="00BA3AEE">
        <w:t>at Sherwood Forest MHP and Pine Grove MHP</w:t>
      </w:r>
      <w:r w:rsidR="00461A95">
        <w:t xml:space="preserve">, </w:t>
      </w:r>
      <w:r w:rsidR="002D6FA1">
        <w:t xml:space="preserve">2) </w:t>
      </w:r>
      <w:r w:rsidR="00461A95">
        <w:t>2</w:t>
      </w:r>
      <w:r w:rsidR="002F3DA5">
        <w:t>-inch</w:t>
      </w:r>
      <w:r w:rsidR="00461A95">
        <w:t xml:space="preserve">” </w:t>
      </w:r>
      <w:r w:rsidRPr="0AEE5C04">
        <w:t>gas main</w:t>
      </w:r>
      <w:r w:rsidR="00461A95">
        <w:t xml:space="preserve">s at </w:t>
      </w:r>
      <w:r w:rsidRPr="009D215A" w:rsidR="009D215A">
        <w:t>Quail Trails Village and Idlewild MHP</w:t>
      </w:r>
      <w:r w:rsidRPr="0AEE5C04">
        <w:t xml:space="preserve">, and </w:t>
      </w:r>
      <w:r w:rsidR="002D6FA1">
        <w:t xml:space="preserve">3) </w:t>
      </w:r>
      <w:r w:rsidRPr="00850FF9" w:rsidR="00850FF9">
        <w:t xml:space="preserve">some of the </w:t>
      </w:r>
      <w:r w:rsidRPr="0AEE5C04">
        <w:t>secondary</w:t>
      </w:r>
      <w:r w:rsidR="004B3D3C">
        <w:rPr>
          <w:rStyle w:val="FootnoteReference"/>
        </w:rPr>
        <w:footnoteReference w:id="99"/>
      </w:r>
      <w:r w:rsidRPr="0AEE5C04">
        <w:t xml:space="preserve"> </w:t>
      </w:r>
      <w:r w:rsidRPr="0AEE5C04">
        <w:lastRenderedPageBreak/>
        <w:t xml:space="preserve">and service </w:t>
      </w:r>
      <w:r w:rsidR="00DC2420">
        <w:t>cable</w:t>
      </w:r>
      <w:r w:rsidR="007426A4">
        <w:t>s</w:t>
      </w:r>
      <w:r w:rsidRPr="0AEE5C04">
        <w:t xml:space="preserve"> at </w:t>
      </w:r>
      <w:r w:rsidR="00850FF9">
        <w:t>I</w:t>
      </w:r>
      <w:r w:rsidRPr="00850FF9" w:rsidR="00850FF9">
        <w:t xml:space="preserve">dlewild </w:t>
      </w:r>
      <w:r w:rsidRPr="0AEE5C04">
        <w:t>MHPs.</w:t>
      </w:r>
      <w:r w:rsidR="001305E3">
        <w:rPr>
          <w:rStyle w:val="FootnoteReference"/>
        </w:rPr>
        <w:footnoteReference w:id="100"/>
      </w:r>
      <w:r w:rsidRPr="0AEE5C04">
        <w:t xml:space="preserve">  </w:t>
      </w:r>
      <w:r w:rsidR="0007308F">
        <w:t xml:space="preserve">PG&amp;E </w:t>
      </w:r>
      <w:r w:rsidRPr="009D5D50" w:rsidR="009D5D50">
        <w:t>is working with mobilehome park owners to replace infrastructure like-for-like</w:t>
      </w:r>
      <w:r w:rsidR="008718E8">
        <w:t xml:space="preserve"> or to the minimum current service standard</w:t>
      </w:r>
      <w:r w:rsidRPr="009D5D50" w:rsidR="009D5D50">
        <w:t xml:space="preserve">. </w:t>
      </w:r>
      <w:r w:rsidR="0007308F">
        <w:t xml:space="preserve"> </w:t>
      </w:r>
      <w:r w:rsidR="00A00C1A">
        <w:t>The e</w:t>
      </w:r>
      <w:r w:rsidRPr="009D5D50" w:rsidR="009D5D50">
        <w:t xml:space="preserve">ntirety of </w:t>
      </w:r>
      <w:r w:rsidR="00A00C1A">
        <w:t xml:space="preserve">the </w:t>
      </w:r>
      <w:r w:rsidRPr="009D5D50" w:rsidR="009D5D50">
        <w:t>service</w:t>
      </w:r>
      <w:r w:rsidR="00A00C1A">
        <w:t xml:space="preserve"> capacity</w:t>
      </w:r>
      <w:r w:rsidRPr="009D5D50" w:rsidR="009D5D50">
        <w:t xml:space="preserve"> that was available before the Camp Fire will be available through the Rebuild Program</w:t>
      </w:r>
      <w:r w:rsidRPr="0AEE5C04">
        <w:t>.</w:t>
      </w:r>
      <w:r w:rsidRPr="0AEE5C04">
        <w:rPr>
          <w:rStyle w:val="FootnoteReference"/>
        </w:rPr>
        <w:footnoteReference w:id="101"/>
      </w:r>
      <w:r>
        <w:rPr>
          <w:bCs/>
        </w:rPr>
        <w:t xml:space="preserve"> </w:t>
      </w:r>
      <w:r w:rsidR="00A00C1A">
        <w:rPr>
          <w:bCs/>
        </w:rPr>
        <w:t>PG&amp;E has planned, however, to incorporate an increase in conduit size within this program to accommodate future demand.</w:t>
      </w:r>
      <w:r>
        <w:rPr>
          <w:bCs/>
        </w:rPr>
        <w:t xml:space="preserve"> </w:t>
      </w:r>
      <w:r w:rsidR="00C348BB">
        <w:rPr>
          <w:bCs/>
        </w:rPr>
        <w:t>PG&amp;E has indicated that they are planning to install 3</w:t>
      </w:r>
      <w:r w:rsidR="008D5908">
        <w:rPr>
          <w:bCs/>
        </w:rPr>
        <w:t>-inch</w:t>
      </w:r>
      <w:r w:rsidR="00C348BB">
        <w:rPr>
          <w:bCs/>
        </w:rPr>
        <w:t>" conduit that is capable of 200 amp cable in all replacement electrical infrastructure.</w:t>
      </w:r>
      <w:r w:rsidR="00C348BB">
        <w:rPr>
          <w:rStyle w:val="FootnoteReference"/>
          <w:bCs/>
        </w:rPr>
        <w:footnoteReference w:id="102"/>
      </w:r>
      <w:r w:rsidR="00C348BB">
        <w:rPr>
          <w:bCs/>
        </w:rPr>
        <w:t xml:space="preserve">  PG&amp;E is</w:t>
      </w:r>
      <w:r w:rsidRPr="006867A8" w:rsidR="00C348BB">
        <w:rPr>
          <w:bCs/>
        </w:rPr>
        <w:t xml:space="preserve"> </w:t>
      </w:r>
      <w:r w:rsidR="00C348BB">
        <w:rPr>
          <w:bCs/>
        </w:rPr>
        <w:t>“</w:t>
      </w:r>
      <w:r w:rsidRPr="006867A8" w:rsidR="00C348BB">
        <w:rPr>
          <w:bCs/>
        </w:rPr>
        <w:t>installing 3</w:t>
      </w:r>
      <w:r w:rsidR="002F3DA5">
        <w:rPr>
          <w:bCs/>
        </w:rPr>
        <w:t>-inch</w:t>
      </w:r>
      <w:r w:rsidRPr="006867A8" w:rsidR="00C348BB">
        <w:rPr>
          <w:bCs/>
        </w:rPr>
        <w:t>’’ conduit within the MHPs in the event that there are upgrades in the future</w:t>
      </w:r>
      <w:r w:rsidR="00C348BB">
        <w:rPr>
          <w:bCs/>
        </w:rPr>
        <w:t>.”</w:t>
      </w:r>
      <w:r w:rsidR="00C348BB">
        <w:rPr>
          <w:rStyle w:val="FootnoteReference"/>
          <w:bCs/>
        </w:rPr>
        <w:footnoteReference w:id="103"/>
      </w:r>
    </w:p>
    <w:p w:rsidR="00DE20BC" w:rsidRDefault="00DE20BC" w14:paraId="62DCCF47" w14:textId="2C0BF8B6">
      <w:pPr>
        <w:rPr>
          <w:bCs/>
        </w:rPr>
      </w:pPr>
    </w:p>
    <w:p w:rsidRPr="002C7C48" w:rsidR="002C7C48" w:rsidP="002C7C48" w:rsidRDefault="002C7C48" w14:paraId="5D16AF21" w14:textId="1416C316">
      <w:pPr>
        <w:rPr>
          <w:bCs/>
        </w:rPr>
      </w:pPr>
      <w:r w:rsidRPr="002C7C48">
        <w:rPr>
          <w:bCs/>
        </w:rPr>
        <w:t xml:space="preserve">Under the proposed agreement, the owner of a newer manufactured home with electric appliances requiring more than 100 amps would need to either request a service modification through the Rebuild Program or submit a Rule 15 </w:t>
      </w:r>
      <w:r w:rsidRPr="002C7C48" w:rsidR="00723CC2">
        <w:rPr>
          <w:bCs/>
        </w:rPr>
        <w:t>application.</w:t>
      </w:r>
      <w:r w:rsidRPr="002C7C48">
        <w:rPr>
          <w:bCs/>
        </w:rPr>
        <w:t xml:space="preserve"> The added cost for this service modification then would be at the MHP owner’s expense.</w:t>
      </w:r>
    </w:p>
    <w:p w:rsidRPr="002C7C48" w:rsidR="002C7C48" w:rsidP="002C7C48" w:rsidRDefault="002C7C48" w14:paraId="4A4961F9" w14:textId="77777777">
      <w:pPr>
        <w:rPr>
          <w:bCs/>
        </w:rPr>
      </w:pPr>
      <w:r w:rsidRPr="002C7C48">
        <w:rPr>
          <w:bCs/>
        </w:rPr>
        <w:t xml:space="preserve"> </w:t>
      </w:r>
    </w:p>
    <w:p w:rsidRPr="002C7C48" w:rsidR="002C7C48" w:rsidP="002C7C48" w:rsidRDefault="002C7C48" w14:paraId="7C407741" w14:textId="77777777">
      <w:pPr>
        <w:rPr>
          <w:bCs/>
        </w:rPr>
      </w:pPr>
      <w:r w:rsidRPr="002C7C48">
        <w:rPr>
          <w:bCs/>
        </w:rPr>
        <w:t xml:space="preserve">Below, we address the concerns of the above mentioned protests related to 200 amp service, taking into consideration the likelihood of benefits resulting from providing service at the 200 amp service level, and the prospective costs of these upgrades before and after reconstruction.  </w:t>
      </w:r>
    </w:p>
    <w:p w:rsidR="002C7C48" w:rsidP="009A2015" w:rsidRDefault="002C7C48" w14:paraId="62511EC7" w14:textId="77777777">
      <w:pPr>
        <w:rPr>
          <w:bCs/>
        </w:rPr>
      </w:pPr>
    </w:p>
    <w:p w:rsidR="0011042E" w:rsidP="00675B84" w:rsidRDefault="00DE20BC" w14:paraId="52FE57DD" w14:textId="659C7029">
      <w:r w:rsidRPr="00675B84">
        <w:t xml:space="preserve">In </w:t>
      </w:r>
      <w:r w:rsidRPr="00675B84" w:rsidR="00CD6582">
        <w:t>analy</w:t>
      </w:r>
      <w:r w:rsidRPr="00675B84" w:rsidR="003F104B">
        <w:t>zing the cost of providing upgraded service</w:t>
      </w:r>
      <w:r w:rsidRPr="00675B84">
        <w:t xml:space="preserve">, we differentiate between the </w:t>
      </w:r>
      <w:r w:rsidRPr="00675B84" w:rsidR="008007D2">
        <w:t>Rebuild Program</w:t>
      </w:r>
      <w:r w:rsidR="0011042E">
        <w:t xml:space="preserve"> </w:t>
      </w:r>
      <w:r w:rsidRPr="00675B84" w:rsidR="00F518E0">
        <w:t xml:space="preserve">program's </w:t>
      </w:r>
      <w:r w:rsidRPr="00675B84">
        <w:t xml:space="preserve">marginal cost of upgrading service </w:t>
      </w:r>
      <w:r w:rsidRPr="00675B84" w:rsidR="000E4ED7">
        <w:t xml:space="preserve">from 100 to 200 amps </w:t>
      </w:r>
      <w:r w:rsidRPr="00675B84">
        <w:t xml:space="preserve">for a single motorhome </w:t>
      </w:r>
      <w:r w:rsidRPr="00675B84" w:rsidR="00175F85">
        <w:t xml:space="preserve">mobilehome </w:t>
      </w:r>
      <w:r w:rsidRPr="00675B84">
        <w:t xml:space="preserve">and the marginal cost </w:t>
      </w:r>
      <w:r w:rsidRPr="00675B84" w:rsidR="00523910">
        <w:t>that would be incurred by</w:t>
      </w:r>
      <w:r w:rsidRPr="00675B84">
        <w:t xml:space="preserve"> upgrading service for all mobilehomes within a MHP.</w:t>
      </w:r>
    </w:p>
    <w:p w:rsidR="0011042E" w:rsidP="00675B84" w:rsidRDefault="0011042E" w14:paraId="4C452192" w14:textId="77777777"/>
    <w:p w:rsidRPr="009A2015" w:rsidR="00BE5D4B" w:rsidP="0011042E" w:rsidRDefault="00BE5D4B" w14:paraId="15898B70" w14:textId="316673AB">
      <w:pPr>
        <w:pStyle w:val="Heading4"/>
        <w:ind w:firstLine="0"/>
        <w:rPr>
          <w:b w:val="0"/>
          <w:bCs/>
        </w:rPr>
      </w:pPr>
      <w:r w:rsidRPr="009A2015">
        <w:rPr>
          <w:b w:val="0"/>
          <w:bCs/>
        </w:rPr>
        <w:t>Marginal Cost of Providing 200 Amp Service to a Single Mobilehome</w:t>
      </w:r>
    </w:p>
    <w:p w:rsidR="00282D97" w:rsidP="009A2015" w:rsidRDefault="00EC04FB" w14:paraId="4D80F282" w14:textId="1D192505">
      <w:pPr>
        <w:rPr>
          <w:bCs/>
        </w:rPr>
      </w:pPr>
      <w:r>
        <w:rPr>
          <w:bCs/>
        </w:rPr>
        <w:t xml:space="preserve">Changing </w:t>
      </w:r>
      <w:r w:rsidR="00DE20BC">
        <w:rPr>
          <w:bCs/>
        </w:rPr>
        <w:t xml:space="preserve">the service for a single mobilehome </w:t>
      </w:r>
      <w:r w:rsidRPr="005D6CFD" w:rsidR="00DE20BC">
        <w:rPr>
          <w:bCs/>
        </w:rPr>
        <w:t xml:space="preserve">from 100 amps to 200 amps involves </w:t>
      </w:r>
      <w:r w:rsidR="00C7792D">
        <w:rPr>
          <w:bCs/>
        </w:rPr>
        <w:t>providing larger</w:t>
      </w:r>
      <w:r w:rsidRPr="005D6CFD" w:rsidR="00DE20BC">
        <w:rPr>
          <w:bCs/>
        </w:rPr>
        <w:t xml:space="preserve"> </w:t>
      </w:r>
      <w:r w:rsidR="004D789E">
        <w:rPr>
          <w:bCs/>
        </w:rPr>
        <w:t xml:space="preserve">service </w:t>
      </w:r>
      <w:r w:rsidR="00DC2420">
        <w:rPr>
          <w:bCs/>
        </w:rPr>
        <w:t>cable</w:t>
      </w:r>
      <w:r w:rsidRPr="005D6CFD" w:rsidR="00DE20BC">
        <w:rPr>
          <w:bCs/>
        </w:rPr>
        <w:t>s from</w:t>
      </w:r>
      <w:r w:rsidR="00DE20BC">
        <w:rPr>
          <w:bCs/>
        </w:rPr>
        <w:t xml:space="preserve"> the</w:t>
      </w:r>
      <w:r w:rsidRPr="005D6CFD" w:rsidR="00DE20BC">
        <w:rPr>
          <w:bCs/>
        </w:rPr>
        <w:t xml:space="preserve"> splice box to </w:t>
      </w:r>
      <w:r w:rsidR="00DE20BC">
        <w:rPr>
          <w:bCs/>
        </w:rPr>
        <w:t xml:space="preserve">the </w:t>
      </w:r>
      <w:r w:rsidRPr="005D6CFD" w:rsidR="00DE20BC">
        <w:rPr>
          <w:bCs/>
        </w:rPr>
        <w:t>mobilehome electric pedestal</w:t>
      </w:r>
      <w:r w:rsidR="00DE20BC">
        <w:rPr>
          <w:bCs/>
        </w:rPr>
        <w:t xml:space="preserve"> and</w:t>
      </w:r>
      <w:r w:rsidRPr="005D6CFD" w:rsidR="00DE20BC">
        <w:rPr>
          <w:bCs/>
        </w:rPr>
        <w:t xml:space="preserve"> </w:t>
      </w:r>
      <w:r w:rsidR="00DE20BC">
        <w:rPr>
          <w:bCs/>
        </w:rPr>
        <w:t xml:space="preserve">an </w:t>
      </w:r>
      <w:r w:rsidRPr="005D6CFD" w:rsidR="00DE20BC">
        <w:rPr>
          <w:bCs/>
        </w:rPr>
        <w:t>electric pedestal</w:t>
      </w:r>
      <w:r w:rsidR="00DE20BC">
        <w:rPr>
          <w:bCs/>
        </w:rPr>
        <w:t xml:space="preserve"> </w:t>
      </w:r>
      <w:r w:rsidR="00C7792D">
        <w:rPr>
          <w:bCs/>
        </w:rPr>
        <w:t>that is capable of safely providing 200 amps to</w:t>
      </w:r>
      <w:r w:rsidR="00BF73C3">
        <w:rPr>
          <w:bCs/>
        </w:rPr>
        <w:t xml:space="preserve"> </w:t>
      </w:r>
      <w:r w:rsidR="00C7792D">
        <w:rPr>
          <w:bCs/>
        </w:rPr>
        <w:t>the</w:t>
      </w:r>
      <w:r w:rsidRPr="005D6CFD" w:rsidR="00DE20BC">
        <w:rPr>
          <w:bCs/>
        </w:rPr>
        <w:t xml:space="preserve"> mobilehome.  </w:t>
      </w:r>
      <w:r w:rsidR="000F7765">
        <w:rPr>
          <w:bCs/>
        </w:rPr>
        <w:t>An e</w:t>
      </w:r>
      <w:r w:rsidR="0093751E">
        <w:rPr>
          <w:bCs/>
        </w:rPr>
        <w:t>lectric pedestal for</w:t>
      </w:r>
      <w:r w:rsidR="00282D97">
        <w:rPr>
          <w:bCs/>
        </w:rPr>
        <w:t xml:space="preserve"> a</w:t>
      </w:r>
      <w:r w:rsidR="0093751E">
        <w:rPr>
          <w:bCs/>
        </w:rPr>
        <w:t xml:space="preserve"> 200</w:t>
      </w:r>
      <w:r w:rsidR="00282D97">
        <w:rPr>
          <w:bCs/>
        </w:rPr>
        <w:t xml:space="preserve"> </w:t>
      </w:r>
      <w:r w:rsidR="0093751E">
        <w:rPr>
          <w:bCs/>
        </w:rPr>
        <w:t xml:space="preserve">amp service </w:t>
      </w:r>
      <w:r w:rsidR="00280251">
        <w:rPr>
          <w:bCs/>
        </w:rPr>
        <w:t xml:space="preserve">comes with </w:t>
      </w:r>
      <w:r w:rsidR="00280251">
        <w:rPr>
          <w:bCs/>
        </w:rPr>
        <w:lastRenderedPageBreak/>
        <w:t xml:space="preserve">a </w:t>
      </w:r>
      <w:r w:rsidR="00B04D31">
        <w:rPr>
          <w:bCs/>
        </w:rPr>
        <w:t>200 amp</w:t>
      </w:r>
      <w:r w:rsidR="00280251">
        <w:rPr>
          <w:bCs/>
        </w:rPr>
        <w:t xml:space="preserve"> main circuit breaker and </w:t>
      </w:r>
      <w:r w:rsidR="00D14B75">
        <w:rPr>
          <w:bCs/>
        </w:rPr>
        <w:t xml:space="preserve">bus </w:t>
      </w:r>
      <w:r w:rsidR="008C2523">
        <w:rPr>
          <w:bCs/>
        </w:rPr>
        <w:t xml:space="preserve">bars </w:t>
      </w:r>
      <w:r w:rsidR="00A51CCA">
        <w:rPr>
          <w:bCs/>
        </w:rPr>
        <w:t xml:space="preserve">that </w:t>
      </w:r>
      <w:r w:rsidR="00A4304E">
        <w:rPr>
          <w:bCs/>
        </w:rPr>
        <w:t xml:space="preserve">are built for this </w:t>
      </w:r>
      <w:r w:rsidR="004A55B7">
        <w:rPr>
          <w:bCs/>
        </w:rPr>
        <w:t xml:space="preserve">service rating. </w:t>
      </w:r>
      <w:r w:rsidR="00E1002F">
        <w:rPr>
          <w:bCs/>
        </w:rPr>
        <w:t>Th</w:t>
      </w:r>
      <w:r w:rsidR="002A5582">
        <w:rPr>
          <w:bCs/>
        </w:rPr>
        <w:t>e conductor and pedestal can be</w:t>
      </w:r>
      <w:r w:rsidR="00E1002F">
        <w:rPr>
          <w:bCs/>
        </w:rPr>
        <w:t xml:space="preserve"> provided at the time of </w:t>
      </w:r>
      <w:r w:rsidR="002A5582">
        <w:rPr>
          <w:bCs/>
        </w:rPr>
        <w:t>installation as an upgrade, or after the initial installation as a retrofit.</w:t>
      </w:r>
      <w:r w:rsidR="00B56D68">
        <w:rPr>
          <w:bCs/>
        </w:rPr>
        <w:t xml:space="preserve">  </w:t>
      </w:r>
    </w:p>
    <w:p w:rsidR="00FD0C1E" w:rsidP="009A2015" w:rsidRDefault="00B12A33" w14:paraId="17D82EAA" w14:textId="74214BA3">
      <w:pPr>
        <w:rPr>
          <w:bCs/>
        </w:rPr>
      </w:pPr>
      <w:r>
        <w:rPr>
          <w:bCs/>
        </w:rPr>
        <w:t xml:space="preserve">If done </w:t>
      </w:r>
      <w:r w:rsidR="002A5582">
        <w:rPr>
          <w:bCs/>
        </w:rPr>
        <w:t xml:space="preserve">as an upgrade </w:t>
      </w:r>
      <w:r>
        <w:rPr>
          <w:bCs/>
        </w:rPr>
        <w:t>at the time of installation, t</w:t>
      </w:r>
      <w:r w:rsidRPr="005D6CFD" w:rsidR="00DE20BC">
        <w:rPr>
          <w:bCs/>
        </w:rPr>
        <w:t>he</w:t>
      </w:r>
      <w:r w:rsidR="00DE20BC">
        <w:rPr>
          <w:bCs/>
        </w:rPr>
        <w:t xml:space="preserve"> cost associated with the</w:t>
      </w:r>
      <w:r w:rsidR="003861DD">
        <w:rPr>
          <w:bCs/>
        </w:rPr>
        <w:t xml:space="preserve"> </w:t>
      </w:r>
      <w:r w:rsidR="006A5B44">
        <w:rPr>
          <w:bCs/>
        </w:rPr>
        <w:t xml:space="preserve">change in service </w:t>
      </w:r>
      <w:r w:rsidR="003861DD">
        <w:rPr>
          <w:bCs/>
        </w:rPr>
        <w:t>cable</w:t>
      </w:r>
      <w:r w:rsidRPr="005D6CFD">
        <w:rPr>
          <w:bCs/>
        </w:rPr>
        <w:t xml:space="preserve"> </w:t>
      </w:r>
      <w:r w:rsidR="00E057A0">
        <w:rPr>
          <w:bCs/>
        </w:rPr>
        <w:t xml:space="preserve">is </w:t>
      </w:r>
      <w:r w:rsidR="00D93F39">
        <w:rPr>
          <w:bCs/>
        </w:rPr>
        <w:t>proportional to</w:t>
      </w:r>
      <w:r w:rsidRPr="005D6CFD" w:rsidR="00DE20BC">
        <w:rPr>
          <w:bCs/>
        </w:rPr>
        <w:t xml:space="preserve"> the </w:t>
      </w:r>
      <w:r w:rsidR="00DE20BC">
        <w:rPr>
          <w:bCs/>
        </w:rPr>
        <w:t xml:space="preserve">distance between the splice box and pedestal, which is driven by the </w:t>
      </w:r>
      <w:r w:rsidRPr="005D6CFD" w:rsidR="00DE20BC">
        <w:rPr>
          <w:bCs/>
        </w:rPr>
        <w:t>site layout of th</w:t>
      </w:r>
      <w:r w:rsidR="00DE20BC">
        <w:rPr>
          <w:bCs/>
        </w:rPr>
        <w:t>at</w:t>
      </w:r>
      <w:r w:rsidRPr="005D6CFD" w:rsidR="00DE20BC">
        <w:rPr>
          <w:bCs/>
        </w:rPr>
        <w:t xml:space="preserve"> mobilehome park.  </w:t>
      </w:r>
      <w:r w:rsidR="005D69E2">
        <w:rPr>
          <w:bCs/>
        </w:rPr>
        <w:t>For the purposes of this analysis, we are assuming an average service cable length of 100</w:t>
      </w:r>
      <w:r w:rsidR="00C32DDC">
        <w:rPr>
          <w:bCs/>
        </w:rPr>
        <w:t xml:space="preserve"> feet (100')</w:t>
      </w:r>
      <w:r w:rsidR="003456CC">
        <w:rPr>
          <w:bCs/>
        </w:rPr>
        <w:t>, based on</w:t>
      </w:r>
      <w:r w:rsidR="00790378">
        <w:rPr>
          <w:bCs/>
        </w:rPr>
        <w:t xml:space="preserve"> </w:t>
      </w:r>
      <w:r w:rsidR="00DC74F3">
        <w:rPr>
          <w:bCs/>
        </w:rPr>
        <w:t xml:space="preserve">staff </w:t>
      </w:r>
      <w:r w:rsidR="00790378">
        <w:rPr>
          <w:bCs/>
        </w:rPr>
        <w:t xml:space="preserve">review of </w:t>
      </w:r>
      <w:r w:rsidR="00A30D96">
        <w:rPr>
          <w:bCs/>
        </w:rPr>
        <w:t>a</w:t>
      </w:r>
      <w:r w:rsidR="00A97AEC">
        <w:rPr>
          <w:bCs/>
        </w:rPr>
        <w:t xml:space="preserve"> PG&amp;E</w:t>
      </w:r>
      <w:r w:rsidR="00A30D96">
        <w:rPr>
          <w:bCs/>
        </w:rPr>
        <w:t xml:space="preserve"> </w:t>
      </w:r>
      <w:r w:rsidR="00616FDA">
        <w:rPr>
          <w:bCs/>
        </w:rPr>
        <w:t xml:space="preserve">sample </w:t>
      </w:r>
      <w:r w:rsidR="008C34C7">
        <w:rPr>
          <w:bCs/>
        </w:rPr>
        <w:t>electric</w:t>
      </w:r>
      <w:r w:rsidR="00616FDA">
        <w:rPr>
          <w:bCs/>
        </w:rPr>
        <w:t>al</w:t>
      </w:r>
      <w:r w:rsidR="008C34C7">
        <w:rPr>
          <w:bCs/>
        </w:rPr>
        <w:t xml:space="preserve"> </w:t>
      </w:r>
      <w:r w:rsidR="00790378">
        <w:rPr>
          <w:bCs/>
        </w:rPr>
        <w:t>drawing</w:t>
      </w:r>
      <w:r w:rsidR="008C34C7">
        <w:rPr>
          <w:bCs/>
        </w:rPr>
        <w:t xml:space="preserve"> of </w:t>
      </w:r>
      <w:r w:rsidR="001A4F75">
        <w:rPr>
          <w:bCs/>
        </w:rPr>
        <w:t xml:space="preserve">a </w:t>
      </w:r>
      <w:r w:rsidR="008C34C7">
        <w:rPr>
          <w:bCs/>
        </w:rPr>
        <w:t>MHP</w:t>
      </w:r>
      <w:r w:rsidR="00BE7E1B">
        <w:rPr>
          <w:bCs/>
        </w:rPr>
        <w:t xml:space="preserve"> layout</w:t>
      </w:r>
      <w:r w:rsidR="00A30D96">
        <w:rPr>
          <w:bCs/>
        </w:rPr>
        <w:t>.</w:t>
      </w:r>
    </w:p>
    <w:p w:rsidR="00FD0C1E" w:rsidP="009A2015" w:rsidRDefault="00FD0C1E" w14:paraId="47D5A0A6" w14:textId="77777777">
      <w:pPr>
        <w:rPr>
          <w:bCs/>
        </w:rPr>
      </w:pPr>
    </w:p>
    <w:p w:rsidR="006E7D55" w:rsidP="009A2015" w:rsidRDefault="00DE20BC" w14:paraId="69A500EB" w14:textId="0831433C">
      <w:pPr>
        <w:rPr>
          <w:bCs/>
        </w:rPr>
      </w:pPr>
      <w:r w:rsidRPr="005D6CFD">
        <w:rPr>
          <w:bCs/>
        </w:rPr>
        <w:t xml:space="preserve">PG&amp;E indicated that the difference in </w:t>
      </w:r>
      <w:r w:rsidR="00563360">
        <w:rPr>
          <w:bCs/>
        </w:rPr>
        <w:t xml:space="preserve">material </w:t>
      </w:r>
      <w:r w:rsidRPr="005D6CFD">
        <w:rPr>
          <w:bCs/>
        </w:rPr>
        <w:t>cost</w:t>
      </w:r>
      <w:r>
        <w:rPr>
          <w:bCs/>
        </w:rPr>
        <w:t xml:space="preserve"> per </w:t>
      </w:r>
      <w:r w:rsidRPr="005D6CFD">
        <w:rPr>
          <w:bCs/>
        </w:rPr>
        <w:t xml:space="preserve">foot between a </w:t>
      </w:r>
      <w:r w:rsidR="00B04D31">
        <w:rPr>
          <w:bCs/>
        </w:rPr>
        <w:t>200 amp</w:t>
      </w:r>
      <w:r w:rsidRPr="005D6CFD">
        <w:rPr>
          <w:bCs/>
        </w:rPr>
        <w:t xml:space="preserve"> and a </w:t>
      </w:r>
      <w:r w:rsidR="00B04D31">
        <w:rPr>
          <w:bCs/>
        </w:rPr>
        <w:t>100 amp</w:t>
      </w:r>
      <w:r w:rsidRPr="005D6CFD">
        <w:rPr>
          <w:bCs/>
        </w:rPr>
        <w:t xml:space="preserve"> cable</w:t>
      </w:r>
      <w:r w:rsidR="00175F85">
        <w:rPr>
          <w:bCs/>
        </w:rPr>
        <w:t>,</w:t>
      </w:r>
      <w:r w:rsidRPr="005D6CFD">
        <w:rPr>
          <w:bCs/>
        </w:rPr>
        <w:t xml:space="preserve"> including sales tax, handling, and freight</w:t>
      </w:r>
      <w:r w:rsidR="00175F85">
        <w:rPr>
          <w:bCs/>
        </w:rPr>
        <w:t>,</w:t>
      </w:r>
      <w:r w:rsidRPr="005D6CFD">
        <w:rPr>
          <w:bCs/>
        </w:rPr>
        <w:t xml:space="preserve"> is approximately $0.77 per foot.</w:t>
      </w:r>
      <w:r w:rsidRPr="005D6CFD">
        <w:rPr>
          <w:bCs/>
          <w:vertAlign w:val="superscript"/>
        </w:rPr>
        <w:footnoteReference w:id="104"/>
      </w:r>
      <w:r w:rsidRPr="005D6CFD">
        <w:rPr>
          <w:bCs/>
        </w:rPr>
        <w:t xml:space="preserve"> </w:t>
      </w:r>
      <w:r w:rsidR="006B65DE">
        <w:rPr>
          <w:bCs/>
        </w:rPr>
        <w:t xml:space="preserve"> </w:t>
      </w:r>
      <w:r w:rsidR="002563E5">
        <w:rPr>
          <w:bCs/>
        </w:rPr>
        <w:t xml:space="preserve">The material cost of the </w:t>
      </w:r>
      <w:r w:rsidR="001C3CF4">
        <w:rPr>
          <w:bCs/>
        </w:rPr>
        <w:t xml:space="preserve">service </w:t>
      </w:r>
      <w:r w:rsidR="002563E5">
        <w:rPr>
          <w:bCs/>
        </w:rPr>
        <w:t>cable in th</w:t>
      </w:r>
      <w:r w:rsidR="002A5582">
        <w:rPr>
          <w:bCs/>
        </w:rPr>
        <w:t>e upgrade</w:t>
      </w:r>
      <w:r w:rsidR="002563E5">
        <w:rPr>
          <w:bCs/>
        </w:rPr>
        <w:t xml:space="preserve"> scenario</w:t>
      </w:r>
      <w:r w:rsidRPr="00E2349C" w:rsidR="002563E5">
        <w:rPr>
          <w:bCs/>
        </w:rPr>
        <w:t xml:space="preserve"> </w:t>
      </w:r>
      <w:r w:rsidR="002563E5">
        <w:rPr>
          <w:bCs/>
        </w:rPr>
        <w:t xml:space="preserve">would be $77 per mobilehome.  </w:t>
      </w:r>
      <w:r w:rsidR="009E4EB3">
        <w:rPr>
          <w:bCs/>
        </w:rPr>
        <w:t>The</w:t>
      </w:r>
      <w:r w:rsidR="00F211DE">
        <w:rPr>
          <w:bCs/>
        </w:rPr>
        <w:t xml:space="preserve"> labor cost difference between installing </w:t>
      </w:r>
      <w:r w:rsidR="002F6667">
        <w:rPr>
          <w:bCs/>
        </w:rPr>
        <w:t xml:space="preserve">a </w:t>
      </w:r>
      <w:r w:rsidR="004B10A5">
        <w:rPr>
          <w:bCs/>
        </w:rPr>
        <w:t>100</w:t>
      </w:r>
      <w:r w:rsidR="00972B83">
        <w:rPr>
          <w:bCs/>
        </w:rPr>
        <w:t>'</w:t>
      </w:r>
      <w:r w:rsidR="00BF73C3">
        <w:rPr>
          <w:bCs/>
        </w:rPr>
        <w:t xml:space="preserve"> </w:t>
      </w:r>
      <w:r w:rsidR="003C5F77">
        <w:rPr>
          <w:bCs/>
        </w:rPr>
        <w:t>section of</w:t>
      </w:r>
      <w:r w:rsidR="00972B83">
        <w:rPr>
          <w:bCs/>
        </w:rPr>
        <w:t xml:space="preserve"> service</w:t>
      </w:r>
      <w:r w:rsidR="003C5F77">
        <w:rPr>
          <w:bCs/>
        </w:rPr>
        <w:t xml:space="preserve"> cable that is rated for </w:t>
      </w:r>
      <w:r w:rsidR="00B04D31">
        <w:rPr>
          <w:bCs/>
        </w:rPr>
        <w:t>100 amp</w:t>
      </w:r>
      <w:r w:rsidR="00972B83">
        <w:rPr>
          <w:bCs/>
        </w:rPr>
        <w:t xml:space="preserve">s versus a section rated for </w:t>
      </w:r>
      <w:r w:rsidR="00B04D31">
        <w:rPr>
          <w:bCs/>
        </w:rPr>
        <w:t>200 amp</w:t>
      </w:r>
      <w:r w:rsidR="00972B83">
        <w:rPr>
          <w:bCs/>
        </w:rPr>
        <w:t>s</w:t>
      </w:r>
      <w:r w:rsidR="00F211DE">
        <w:rPr>
          <w:bCs/>
        </w:rPr>
        <w:t xml:space="preserve"> </w:t>
      </w:r>
      <w:r w:rsidR="002F6667">
        <w:rPr>
          <w:bCs/>
        </w:rPr>
        <w:t xml:space="preserve">is </w:t>
      </w:r>
      <w:r w:rsidR="00360780">
        <w:rPr>
          <w:bCs/>
        </w:rPr>
        <w:t>assumed to be de minimus</w:t>
      </w:r>
      <w:r w:rsidR="002F6667">
        <w:rPr>
          <w:bCs/>
        </w:rPr>
        <w:t>.</w:t>
      </w:r>
      <w:r w:rsidR="002F6667">
        <w:rPr>
          <w:rStyle w:val="FootnoteReference"/>
          <w:bCs/>
        </w:rPr>
        <w:footnoteReference w:id="105"/>
      </w:r>
      <w:r w:rsidR="002F6667">
        <w:rPr>
          <w:bCs/>
        </w:rPr>
        <w:t xml:space="preserve">  </w:t>
      </w:r>
      <w:r w:rsidR="00F211DE">
        <w:rPr>
          <w:bCs/>
        </w:rPr>
        <w:t xml:space="preserve"> </w:t>
      </w:r>
    </w:p>
    <w:p w:rsidR="003423AE" w:rsidP="009A2015" w:rsidRDefault="003423AE" w14:paraId="6ECA717C" w14:textId="77777777">
      <w:pPr>
        <w:rPr>
          <w:bCs/>
        </w:rPr>
      </w:pPr>
    </w:p>
    <w:p w:rsidR="00C13E06" w:rsidP="009A2015" w:rsidRDefault="00405E9C" w14:paraId="0031FC3E" w14:textId="212F2B5E">
      <w:pPr>
        <w:rPr>
          <w:bCs/>
        </w:rPr>
      </w:pPr>
      <w:r>
        <w:rPr>
          <w:bCs/>
        </w:rPr>
        <w:t xml:space="preserve">The cost of providing an upgrade to a 200 amp pedestal is </w:t>
      </w:r>
      <w:r w:rsidR="00D51ED2">
        <w:rPr>
          <w:bCs/>
        </w:rPr>
        <w:t>more</w:t>
      </w:r>
      <w:r w:rsidR="00056887">
        <w:rPr>
          <w:bCs/>
        </w:rPr>
        <w:t xml:space="preserve"> than the cost of installing a comparable 100 amp pedestal</w:t>
      </w:r>
      <w:r w:rsidR="003423AE">
        <w:rPr>
          <w:bCs/>
        </w:rPr>
        <w:t xml:space="preserve">.  </w:t>
      </w:r>
      <w:r w:rsidR="00056887">
        <w:rPr>
          <w:bCs/>
        </w:rPr>
        <w:t xml:space="preserve"> </w:t>
      </w:r>
      <w:r w:rsidR="00DA75C0">
        <w:rPr>
          <w:bCs/>
        </w:rPr>
        <w:t xml:space="preserve">ED staff consultations </w:t>
      </w:r>
      <w:r w:rsidR="006B0D8A">
        <w:rPr>
          <w:bCs/>
        </w:rPr>
        <w:t xml:space="preserve">with electrical </w:t>
      </w:r>
      <w:r w:rsidR="003C7801">
        <w:rPr>
          <w:bCs/>
        </w:rPr>
        <w:t xml:space="preserve">suppliers </w:t>
      </w:r>
      <w:r w:rsidR="006B0D8A">
        <w:rPr>
          <w:bCs/>
        </w:rPr>
        <w:t xml:space="preserve">indicate that the wholesale price of the 200 amp </w:t>
      </w:r>
      <w:r w:rsidR="002474E7">
        <w:rPr>
          <w:bCs/>
        </w:rPr>
        <w:t xml:space="preserve">pad mounted </w:t>
      </w:r>
      <w:r w:rsidR="006B0D8A">
        <w:rPr>
          <w:bCs/>
        </w:rPr>
        <w:t xml:space="preserve">pedestal may be up to </w:t>
      </w:r>
      <w:r w:rsidR="00101A77">
        <w:rPr>
          <w:bCs/>
        </w:rPr>
        <w:t>3</w:t>
      </w:r>
      <w:r w:rsidR="006B0D8A">
        <w:rPr>
          <w:bCs/>
        </w:rPr>
        <w:t xml:space="preserve">5% </w:t>
      </w:r>
      <w:r w:rsidR="00101A77">
        <w:rPr>
          <w:bCs/>
        </w:rPr>
        <w:t xml:space="preserve">higher </w:t>
      </w:r>
      <w:r w:rsidR="006B0D8A">
        <w:rPr>
          <w:bCs/>
        </w:rPr>
        <w:t xml:space="preserve">than the price of the </w:t>
      </w:r>
      <w:r w:rsidR="002474E7">
        <w:rPr>
          <w:bCs/>
        </w:rPr>
        <w:t xml:space="preserve">pad mounted </w:t>
      </w:r>
      <w:r w:rsidR="006B0D8A">
        <w:rPr>
          <w:bCs/>
        </w:rPr>
        <w:t>100 amp pedestal</w:t>
      </w:r>
      <w:r w:rsidR="00D57969">
        <w:rPr>
          <w:bCs/>
        </w:rPr>
        <w:t>.  This is presumed to be</w:t>
      </w:r>
      <w:r w:rsidR="006B0D8A">
        <w:rPr>
          <w:bCs/>
        </w:rPr>
        <w:t xml:space="preserve"> due to </w:t>
      </w:r>
      <w:r w:rsidR="00181BB1">
        <w:rPr>
          <w:bCs/>
        </w:rPr>
        <w:t>higher</w:t>
      </w:r>
      <w:r w:rsidR="008154DF">
        <w:rPr>
          <w:bCs/>
        </w:rPr>
        <w:t xml:space="preserve"> manufacturing</w:t>
      </w:r>
      <w:r w:rsidR="0029184B">
        <w:rPr>
          <w:bCs/>
        </w:rPr>
        <w:t xml:space="preserve"> </w:t>
      </w:r>
      <w:r w:rsidR="00181BB1">
        <w:rPr>
          <w:bCs/>
        </w:rPr>
        <w:t xml:space="preserve">cost of </w:t>
      </w:r>
      <w:r w:rsidR="0029184B">
        <w:rPr>
          <w:bCs/>
        </w:rPr>
        <w:t xml:space="preserve">200 amp rated </w:t>
      </w:r>
      <w:r w:rsidR="0029184B">
        <w:rPr>
          <w:bCs/>
        </w:rPr>
        <w:lastRenderedPageBreak/>
        <w:t>hardware.</w:t>
      </w:r>
      <w:r w:rsidR="004F5F98">
        <w:rPr>
          <w:bCs/>
        </w:rPr>
        <w:t xml:space="preserve">  The cost difference in the labor required for pedestal installation is assumed to be de minimus.</w:t>
      </w:r>
    </w:p>
    <w:p w:rsidR="00D404AD" w:rsidP="009A2015" w:rsidRDefault="00D404AD" w14:paraId="58EADA7D" w14:textId="77777777">
      <w:pPr>
        <w:rPr>
          <w:bCs/>
        </w:rPr>
      </w:pPr>
    </w:p>
    <w:p w:rsidR="00FD1F85" w:rsidP="009A2015" w:rsidRDefault="00385A81" w14:paraId="18EDE957" w14:textId="7A949418">
      <w:pPr>
        <w:rPr>
          <w:bCs/>
        </w:rPr>
      </w:pPr>
      <w:r w:rsidRPr="00226363">
        <w:rPr>
          <w:bCs/>
        </w:rPr>
        <w:t>The</w:t>
      </w:r>
      <w:r w:rsidR="00DA75C0">
        <w:rPr>
          <w:bCs/>
        </w:rPr>
        <w:t>refore, the</w:t>
      </w:r>
      <w:r w:rsidRPr="00226363">
        <w:rPr>
          <w:bCs/>
        </w:rPr>
        <w:t xml:space="preserve"> incremental cost to </w:t>
      </w:r>
      <w:r w:rsidR="00420D7C">
        <w:rPr>
          <w:bCs/>
        </w:rPr>
        <w:t xml:space="preserve">economically </w:t>
      </w:r>
      <w:r w:rsidRPr="00226363">
        <w:rPr>
          <w:bCs/>
        </w:rPr>
        <w:t>install</w:t>
      </w:r>
      <w:r w:rsidR="000B5AB4">
        <w:rPr>
          <w:bCs/>
        </w:rPr>
        <w:t xml:space="preserve"> service infrastructure capable of</w:t>
      </w:r>
      <w:r w:rsidRPr="00226363">
        <w:rPr>
          <w:bCs/>
        </w:rPr>
        <w:t xml:space="preserve"> a 200 amp instead of 100 amp service </w:t>
      </w:r>
      <w:r w:rsidR="0035081A">
        <w:rPr>
          <w:bCs/>
        </w:rPr>
        <w:t xml:space="preserve">for </w:t>
      </w:r>
      <w:r w:rsidR="000B5AB4">
        <w:rPr>
          <w:bCs/>
        </w:rPr>
        <w:t xml:space="preserve">each </w:t>
      </w:r>
      <w:r w:rsidR="0035081A">
        <w:rPr>
          <w:bCs/>
        </w:rPr>
        <w:t>space eligible for this program</w:t>
      </w:r>
      <w:r w:rsidR="00316052">
        <w:rPr>
          <w:bCs/>
        </w:rPr>
        <w:t xml:space="preserve"> and not yet completed</w:t>
      </w:r>
      <w:r w:rsidR="0035081A">
        <w:rPr>
          <w:bCs/>
        </w:rPr>
        <w:t xml:space="preserve"> </w:t>
      </w:r>
      <w:r w:rsidRPr="00226363">
        <w:rPr>
          <w:bCs/>
        </w:rPr>
        <w:t xml:space="preserve">is </w:t>
      </w:r>
      <w:r w:rsidR="00DA75C0">
        <w:rPr>
          <w:bCs/>
        </w:rPr>
        <w:t>principally driven by</w:t>
      </w:r>
      <w:r w:rsidR="00405E9C">
        <w:rPr>
          <w:bCs/>
        </w:rPr>
        <w:t xml:space="preserve"> service cable </w:t>
      </w:r>
      <w:r w:rsidR="000E237A">
        <w:rPr>
          <w:bCs/>
        </w:rPr>
        <w:t>costs and</w:t>
      </w:r>
      <w:r w:rsidR="00405E9C">
        <w:rPr>
          <w:bCs/>
        </w:rPr>
        <w:t xml:space="preserve"> is </w:t>
      </w:r>
      <w:r w:rsidRPr="00226363">
        <w:rPr>
          <w:bCs/>
        </w:rPr>
        <w:t>estimated to be approximately $</w:t>
      </w:r>
      <w:r w:rsidR="00BC2FBE">
        <w:rPr>
          <w:bCs/>
        </w:rPr>
        <w:t>96,789</w:t>
      </w:r>
      <w:r>
        <w:rPr>
          <w:bCs/>
        </w:rPr>
        <w:t>.</w:t>
      </w:r>
      <w:r w:rsidR="002A3BB1">
        <w:rPr>
          <w:rStyle w:val="FootnoteReference"/>
          <w:bCs/>
        </w:rPr>
        <w:footnoteReference w:id="106"/>
      </w:r>
      <w:r>
        <w:rPr>
          <w:bCs/>
        </w:rPr>
        <w:t xml:space="preserve">  This figure is equivalent to</w:t>
      </w:r>
      <w:r w:rsidRPr="00226363">
        <w:rPr>
          <w:bCs/>
        </w:rPr>
        <w:t xml:space="preserve"> approximately </w:t>
      </w:r>
      <w:r>
        <w:rPr>
          <w:bCs/>
        </w:rPr>
        <w:t>0.</w:t>
      </w:r>
      <w:r w:rsidR="00DA599C">
        <w:rPr>
          <w:bCs/>
        </w:rPr>
        <w:t>14</w:t>
      </w:r>
      <w:r w:rsidRPr="00226363">
        <w:rPr>
          <w:bCs/>
        </w:rPr>
        <w:t xml:space="preserve">% of the total projected cost of the </w:t>
      </w:r>
      <w:r w:rsidRPr="008007D2" w:rsidR="008007D2">
        <w:rPr>
          <w:bCs/>
        </w:rPr>
        <w:t>Rebuild Program</w:t>
      </w:r>
      <w:r w:rsidRPr="001D7CCF">
        <w:rPr>
          <w:bCs/>
          <w:vertAlign w:val="superscript"/>
        </w:rPr>
        <w:t xml:space="preserve"> </w:t>
      </w:r>
      <w:r w:rsidRPr="00761D8F">
        <w:rPr>
          <w:rStyle w:val="FootnoteReference"/>
        </w:rPr>
        <w:footnoteReference w:id="107"/>
      </w:r>
      <w:r w:rsidR="00C1210E">
        <w:rPr>
          <w:bCs/>
        </w:rPr>
        <w:t xml:space="preserve">  </w:t>
      </w:r>
    </w:p>
    <w:p w:rsidR="00D404AD" w:rsidP="009A2015" w:rsidRDefault="00385A81" w14:paraId="00AE20C9" w14:textId="3CC2D18D">
      <w:pPr>
        <w:rPr>
          <w:bCs/>
        </w:rPr>
      </w:pPr>
      <w:r>
        <w:rPr>
          <w:bCs/>
        </w:rPr>
        <w:t xml:space="preserve">  </w:t>
      </w:r>
    </w:p>
    <w:p w:rsidR="0086444D" w:rsidP="009A2015" w:rsidRDefault="0086444D" w14:paraId="0AD4FA6C" w14:textId="436262C7">
      <w:pPr>
        <w:rPr>
          <w:bCs/>
        </w:rPr>
      </w:pPr>
      <w:r>
        <w:rPr>
          <w:bCs/>
        </w:rPr>
        <w:t xml:space="preserve">Having analyzed the incremental cost of upgrading service </w:t>
      </w:r>
      <w:r w:rsidR="00FB7937">
        <w:rPr>
          <w:bCs/>
        </w:rPr>
        <w:t xml:space="preserve">infrastructure </w:t>
      </w:r>
      <w:r>
        <w:rPr>
          <w:bCs/>
        </w:rPr>
        <w:t>from 100 to 200 amps</w:t>
      </w:r>
      <w:r w:rsidRPr="00E36EA5">
        <w:rPr>
          <w:bCs/>
        </w:rPr>
        <w:t xml:space="preserve"> </w:t>
      </w:r>
      <w:r>
        <w:rPr>
          <w:bCs/>
        </w:rPr>
        <w:t xml:space="preserve">under the </w:t>
      </w:r>
      <w:r w:rsidRPr="008007D2" w:rsidR="008007D2">
        <w:rPr>
          <w:bCs/>
        </w:rPr>
        <w:t>Rebuild Program</w:t>
      </w:r>
      <w:r>
        <w:rPr>
          <w:bCs/>
        </w:rPr>
        <w:t>, we now turn to the incremental cost that would be incurred by providing this service as a retrofit</w:t>
      </w:r>
      <w:r w:rsidDel="0022394A">
        <w:rPr>
          <w:bCs/>
        </w:rPr>
        <w:t xml:space="preserve"> </w:t>
      </w:r>
      <w:r>
        <w:rPr>
          <w:bCs/>
        </w:rPr>
        <w:t>later.  In addition to monetary costs, the MHP owner</w:t>
      </w:r>
      <w:r w:rsidR="00C755BF">
        <w:rPr>
          <w:bCs/>
        </w:rPr>
        <w:t xml:space="preserve"> and </w:t>
      </w:r>
      <w:r>
        <w:rPr>
          <w:bCs/>
        </w:rPr>
        <w:t xml:space="preserve">operator would also need to submit an application for PG&amp;E or its contractor to </w:t>
      </w:r>
      <w:r w:rsidRPr="001C6A57">
        <w:rPr>
          <w:bCs/>
        </w:rPr>
        <w:t>handle</w:t>
      </w:r>
      <w:r>
        <w:rPr>
          <w:bCs/>
        </w:rPr>
        <w:t xml:space="preserve"> both the electric cable and pedestal upgrade</w:t>
      </w:r>
      <w:r w:rsidRPr="001C6A57">
        <w:rPr>
          <w:bCs/>
        </w:rPr>
        <w:t xml:space="preserve"> under PG&amp;E’s Rules </w:t>
      </w:r>
      <w:r>
        <w:rPr>
          <w:bCs/>
        </w:rPr>
        <w:t>2 and 16.</w:t>
      </w:r>
    </w:p>
    <w:p w:rsidR="00AF267E" w:rsidP="009A2015" w:rsidRDefault="00AF267E" w14:paraId="480E65FD" w14:textId="77777777">
      <w:pPr>
        <w:rPr>
          <w:bCs/>
        </w:rPr>
      </w:pPr>
    </w:p>
    <w:p w:rsidR="00D404AD" w:rsidP="009A2015" w:rsidRDefault="00D404AD" w14:paraId="079253F9" w14:textId="4DD60BAA">
      <w:pPr>
        <w:rPr>
          <w:bCs/>
        </w:rPr>
      </w:pPr>
      <w:r>
        <w:rPr>
          <w:bCs/>
        </w:rPr>
        <w:t xml:space="preserve">PG&amp;E estimates the </w:t>
      </w:r>
      <w:r w:rsidRPr="00E44028">
        <w:rPr>
          <w:bCs/>
        </w:rPr>
        <w:t xml:space="preserve">total labor and material cost to </w:t>
      </w:r>
      <w:r>
        <w:rPr>
          <w:bCs/>
        </w:rPr>
        <w:t>retrofit</w:t>
      </w:r>
      <w:r w:rsidRPr="00E44028">
        <w:rPr>
          <w:bCs/>
        </w:rPr>
        <w:t xml:space="preserve"> the service cable </w:t>
      </w:r>
      <w:r>
        <w:rPr>
          <w:bCs/>
        </w:rPr>
        <w:t xml:space="preserve">from 100 amp to 200 amp after the </w:t>
      </w:r>
      <w:r w:rsidRPr="008007D2" w:rsidR="008007D2">
        <w:rPr>
          <w:bCs/>
        </w:rPr>
        <w:t>Rebuild Program</w:t>
      </w:r>
      <w:r>
        <w:rPr>
          <w:bCs/>
        </w:rPr>
        <w:t xml:space="preserve"> is concluded </w:t>
      </w:r>
      <w:r w:rsidRPr="00E44028">
        <w:rPr>
          <w:bCs/>
        </w:rPr>
        <w:t>would be approximately $1,250 per mobilehome.</w:t>
      </w:r>
      <w:r w:rsidRPr="00E44028">
        <w:rPr>
          <w:bCs/>
          <w:vertAlign w:val="superscript"/>
        </w:rPr>
        <w:footnoteReference w:id="108"/>
      </w:r>
      <w:r>
        <w:rPr>
          <w:bCs/>
        </w:rPr>
        <w:t xml:space="preserve">  </w:t>
      </w:r>
      <w:r w:rsidRPr="00DA3769">
        <w:rPr>
          <w:b/>
        </w:rPr>
        <w:t>Therefore, it would be more than 1</w:t>
      </w:r>
      <w:r w:rsidR="00475147">
        <w:rPr>
          <w:b/>
        </w:rPr>
        <w:t>6</w:t>
      </w:r>
      <w:r w:rsidRPr="00DA3769">
        <w:rPr>
          <w:b/>
        </w:rPr>
        <w:t xml:space="preserve"> times more expensive to retrofit the 200 amp service cable after the </w:t>
      </w:r>
      <w:r w:rsidRPr="008007D2" w:rsidR="008007D2">
        <w:rPr>
          <w:b/>
          <w:bCs/>
        </w:rPr>
        <w:t>Rebuild Program</w:t>
      </w:r>
      <w:r w:rsidRPr="009A2015">
        <w:rPr>
          <w:b/>
        </w:rPr>
        <w:t xml:space="preserve"> than it would be to upgrade it as a part of the program</w:t>
      </w:r>
      <w:r>
        <w:rPr>
          <w:bCs/>
        </w:rPr>
        <w:t>.</w:t>
      </w:r>
      <w:r>
        <w:rPr>
          <w:rStyle w:val="FootnoteReference"/>
          <w:bCs/>
        </w:rPr>
        <w:footnoteReference w:id="109"/>
      </w:r>
      <w:r>
        <w:rPr>
          <w:bCs/>
        </w:rPr>
        <w:t xml:space="preserve"> </w:t>
      </w:r>
    </w:p>
    <w:p w:rsidR="00C13E06" w:rsidP="009A2015" w:rsidRDefault="00C13E06" w14:paraId="496A83C4" w14:textId="77777777">
      <w:pPr>
        <w:rPr>
          <w:bCs/>
        </w:rPr>
      </w:pPr>
    </w:p>
    <w:p w:rsidR="002E47D2" w:rsidP="009A2015" w:rsidRDefault="00993D5D" w14:paraId="1CEAC81B" w14:textId="278A5226">
      <w:pPr>
        <w:rPr>
          <w:bCs/>
        </w:rPr>
      </w:pPr>
      <w:r w:rsidRPr="00993D5D">
        <w:rPr>
          <w:bCs/>
        </w:rPr>
        <w:t xml:space="preserve">PG&amp;E’s estimate for </w:t>
      </w:r>
      <w:r w:rsidR="00425717">
        <w:rPr>
          <w:bCs/>
        </w:rPr>
        <w:t>retrofitting</w:t>
      </w:r>
      <w:r w:rsidRPr="00993D5D" w:rsidR="00425717">
        <w:rPr>
          <w:bCs/>
        </w:rPr>
        <w:t xml:space="preserve"> </w:t>
      </w:r>
      <w:r w:rsidR="00BF7AF3">
        <w:rPr>
          <w:bCs/>
        </w:rPr>
        <w:t>an existing</w:t>
      </w:r>
      <w:r w:rsidRPr="00993D5D" w:rsidR="00BF7AF3">
        <w:rPr>
          <w:bCs/>
        </w:rPr>
        <w:t xml:space="preserve"> </w:t>
      </w:r>
      <w:r w:rsidR="00425717">
        <w:rPr>
          <w:bCs/>
        </w:rPr>
        <w:t xml:space="preserve">installation's </w:t>
      </w:r>
      <w:r w:rsidRPr="00993D5D">
        <w:rPr>
          <w:bCs/>
        </w:rPr>
        <w:t>100 amp electric pedestal with a</w:t>
      </w:r>
      <w:r w:rsidR="00BF7AF3">
        <w:rPr>
          <w:bCs/>
        </w:rPr>
        <w:t xml:space="preserve"> new</w:t>
      </w:r>
      <w:r w:rsidRPr="00993D5D">
        <w:rPr>
          <w:bCs/>
        </w:rPr>
        <w:t xml:space="preserve"> 200 amp electric pedestal is approximately $3,300 per </w:t>
      </w:r>
      <w:r w:rsidRPr="00993D5D">
        <w:rPr>
          <w:bCs/>
        </w:rPr>
        <w:lastRenderedPageBreak/>
        <w:t>mobilehome.</w:t>
      </w:r>
      <w:r w:rsidR="00A606BD">
        <w:rPr>
          <w:rStyle w:val="FootnoteReference"/>
          <w:bCs/>
        </w:rPr>
        <w:footnoteReference w:id="110"/>
      </w:r>
      <w:r w:rsidRPr="00993D5D">
        <w:rPr>
          <w:bCs/>
        </w:rPr>
        <w:t xml:space="preserve">  Therefore, the total </w:t>
      </w:r>
      <w:r w:rsidR="00BF7AF3">
        <w:rPr>
          <w:bCs/>
        </w:rPr>
        <w:t>retrofit</w:t>
      </w:r>
      <w:r w:rsidRPr="00993D5D" w:rsidR="00BF7AF3">
        <w:rPr>
          <w:bCs/>
        </w:rPr>
        <w:t xml:space="preserve"> </w:t>
      </w:r>
      <w:r w:rsidRPr="00993D5D">
        <w:rPr>
          <w:bCs/>
        </w:rPr>
        <w:t xml:space="preserve">cost from 100 amp to 200 amp service </w:t>
      </w:r>
      <w:r w:rsidR="00BF7AF3">
        <w:rPr>
          <w:bCs/>
        </w:rPr>
        <w:t>(both cable and pedestal)</w:t>
      </w:r>
      <w:r w:rsidR="00B402C5">
        <w:rPr>
          <w:bCs/>
        </w:rPr>
        <w:t xml:space="preserve"> upgraded as a part of the</w:t>
      </w:r>
      <w:r w:rsidRPr="00993D5D">
        <w:rPr>
          <w:bCs/>
        </w:rPr>
        <w:t xml:space="preserve"> </w:t>
      </w:r>
      <w:r w:rsidRPr="008007D2" w:rsidR="008007D2">
        <w:rPr>
          <w:bCs/>
        </w:rPr>
        <w:t>Rebuild Program</w:t>
      </w:r>
      <w:r w:rsidRPr="00993D5D">
        <w:rPr>
          <w:bCs/>
        </w:rPr>
        <w:t xml:space="preserve"> would </w:t>
      </w:r>
      <w:r w:rsidRPr="0019715D">
        <w:rPr>
          <w:bCs/>
        </w:rPr>
        <w:t>be $</w:t>
      </w:r>
      <w:r w:rsidRPr="0019715D" w:rsidR="0019715D">
        <w:rPr>
          <w:bCs/>
        </w:rPr>
        <w:t>4</w:t>
      </w:r>
      <w:r w:rsidRPr="0019715D">
        <w:rPr>
          <w:bCs/>
        </w:rPr>
        <w:t>,</w:t>
      </w:r>
      <w:r w:rsidRPr="0019715D" w:rsidR="0019715D">
        <w:rPr>
          <w:bCs/>
        </w:rPr>
        <w:t>550</w:t>
      </w:r>
      <w:r w:rsidRPr="00993D5D">
        <w:rPr>
          <w:bCs/>
        </w:rPr>
        <w:t xml:space="preserve"> per mobilehome.   </w:t>
      </w:r>
    </w:p>
    <w:p w:rsidR="00405E9C" w:rsidP="009A2015" w:rsidRDefault="00405E9C" w14:paraId="54B17FA5" w14:textId="77777777">
      <w:pPr>
        <w:rPr>
          <w:bCs/>
        </w:rPr>
      </w:pPr>
    </w:p>
    <w:p w:rsidR="00E36EA5" w:rsidP="009A2015" w:rsidRDefault="00405E9C" w14:paraId="1C406805" w14:textId="54622851">
      <w:pPr>
        <w:rPr>
          <w:bCs/>
        </w:rPr>
      </w:pPr>
      <w:r>
        <w:rPr>
          <w:bCs/>
        </w:rPr>
        <w:t>It is likely that a future upgrade to 200 amp service would be cost prohibitive.</w:t>
      </w:r>
    </w:p>
    <w:p w:rsidR="00207670" w:rsidP="009A2015" w:rsidRDefault="00207670" w14:paraId="294147E1" w14:textId="486F5562">
      <w:pPr>
        <w:rPr>
          <w:bCs/>
        </w:rPr>
      </w:pPr>
    </w:p>
    <w:p w:rsidR="009A372A" w:rsidP="009A2015" w:rsidRDefault="002923AB" w14:paraId="02638DDA" w14:textId="5F584BE5">
      <w:pPr>
        <w:rPr>
          <w:bCs/>
        </w:rPr>
      </w:pPr>
      <w:r w:rsidRPr="005D6CFD">
        <w:rPr>
          <w:bCs/>
        </w:rPr>
        <w:t xml:space="preserve">The </w:t>
      </w:r>
      <w:r>
        <w:rPr>
          <w:bCs/>
        </w:rPr>
        <w:t>CPUC</w:t>
      </w:r>
      <w:r w:rsidRPr="005D6CFD">
        <w:rPr>
          <w:bCs/>
        </w:rPr>
        <w:t xml:space="preserve"> conclude</w:t>
      </w:r>
      <w:r>
        <w:rPr>
          <w:bCs/>
        </w:rPr>
        <w:t>s</w:t>
      </w:r>
      <w:r w:rsidRPr="005D6CFD">
        <w:rPr>
          <w:bCs/>
        </w:rPr>
        <w:t xml:space="preserve"> that the long run benefits</w:t>
      </w:r>
      <w:r>
        <w:rPr>
          <w:bCs/>
        </w:rPr>
        <w:t xml:space="preserve"> of serving the increased demand of modern and all-electric mobilehomes</w:t>
      </w:r>
      <w:r w:rsidRPr="005D6CFD">
        <w:rPr>
          <w:bCs/>
        </w:rPr>
        <w:t xml:space="preserve"> outweigh</w:t>
      </w:r>
      <w:r>
        <w:rPr>
          <w:bCs/>
        </w:rPr>
        <w:t>s</w:t>
      </w:r>
      <w:r w:rsidRPr="005D6CFD">
        <w:rPr>
          <w:bCs/>
        </w:rPr>
        <w:t xml:space="preserve"> the incremental cost</w:t>
      </w:r>
      <w:r>
        <w:rPr>
          <w:bCs/>
        </w:rPr>
        <w:t xml:space="preserve">s of </w:t>
      </w:r>
      <w:r w:rsidR="00C14216">
        <w:rPr>
          <w:bCs/>
        </w:rPr>
        <w:t xml:space="preserve">service </w:t>
      </w:r>
      <w:r>
        <w:rPr>
          <w:bCs/>
        </w:rPr>
        <w:t>cable capable of 200 amp service.</w:t>
      </w:r>
      <w:r w:rsidR="00604F86">
        <w:rPr>
          <w:bCs/>
        </w:rPr>
        <w:t xml:space="preserve">  </w:t>
      </w:r>
      <w:r w:rsidRPr="00F722FB" w:rsidR="0054529E">
        <w:rPr>
          <w:bCs/>
        </w:rPr>
        <w:t>Be</w:t>
      </w:r>
      <w:r w:rsidRPr="00F722FB" w:rsidR="007B2548">
        <w:rPr>
          <w:bCs/>
        </w:rPr>
        <w:t>nefits include</w:t>
      </w:r>
      <w:r w:rsidR="00604F86">
        <w:rPr>
          <w:bCs/>
        </w:rPr>
        <w:t xml:space="preserve"> the </w:t>
      </w:r>
      <w:r w:rsidR="002267DB">
        <w:rPr>
          <w:bCs/>
        </w:rPr>
        <w:t xml:space="preserve">monetary </w:t>
      </w:r>
      <w:r w:rsidR="007B2548">
        <w:rPr>
          <w:bCs/>
        </w:rPr>
        <w:t>savings</w:t>
      </w:r>
      <w:r w:rsidR="0054529E">
        <w:rPr>
          <w:bCs/>
        </w:rPr>
        <w:t xml:space="preserve"> of the mobilehome owners</w:t>
      </w:r>
      <w:r w:rsidR="00EE346A">
        <w:rPr>
          <w:bCs/>
        </w:rPr>
        <w:t xml:space="preserve"> </w:t>
      </w:r>
      <w:r w:rsidR="002267DB">
        <w:rPr>
          <w:bCs/>
        </w:rPr>
        <w:t xml:space="preserve">realized by </w:t>
      </w:r>
      <w:r w:rsidR="008D1777">
        <w:rPr>
          <w:bCs/>
        </w:rPr>
        <w:t xml:space="preserve">not requiring a </w:t>
      </w:r>
      <w:r w:rsidR="00A94A65">
        <w:rPr>
          <w:bCs/>
        </w:rPr>
        <w:t>subsequent electrical</w:t>
      </w:r>
      <w:r w:rsidR="00EE346A">
        <w:rPr>
          <w:bCs/>
        </w:rPr>
        <w:t xml:space="preserve"> upgrade</w:t>
      </w:r>
      <w:r w:rsidR="00B65B7A">
        <w:rPr>
          <w:bCs/>
        </w:rPr>
        <w:t>,</w:t>
      </w:r>
      <w:r w:rsidR="004B0D4A">
        <w:rPr>
          <w:bCs/>
        </w:rPr>
        <w:t xml:space="preserve"> reduction of </w:t>
      </w:r>
      <w:r w:rsidR="004154B9">
        <w:rPr>
          <w:bCs/>
        </w:rPr>
        <w:t xml:space="preserve">greenhouse gas emission </w:t>
      </w:r>
      <w:r w:rsidR="004B0D4A">
        <w:rPr>
          <w:bCs/>
        </w:rPr>
        <w:t>and</w:t>
      </w:r>
      <w:r w:rsidR="00FB62B7">
        <w:rPr>
          <w:bCs/>
        </w:rPr>
        <w:t xml:space="preserve"> </w:t>
      </w:r>
      <w:r w:rsidR="004B0D4A">
        <w:rPr>
          <w:bCs/>
        </w:rPr>
        <w:t>air pollution</w:t>
      </w:r>
      <w:r w:rsidR="00B65B7A">
        <w:rPr>
          <w:bCs/>
        </w:rPr>
        <w:t xml:space="preserve">, and </w:t>
      </w:r>
      <w:r w:rsidR="00380CA6">
        <w:rPr>
          <w:bCs/>
        </w:rPr>
        <w:t>lowering</w:t>
      </w:r>
      <w:r w:rsidR="00CA3C3B">
        <w:rPr>
          <w:bCs/>
        </w:rPr>
        <w:t xml:space="preserve"> of </w:t>
      </w:r>
      <w:r w:rsidR="00B65B7A">
        <w:rPr>
          <w:bCs/>
        </w:rPr>
        <w:t>impacts on the electric grid</w:t>
      </w:r>
      <w:r w:rsidR="00F2765E">
        <w:rPr>
          <w:bCs/>
        </w:rPr>
        <w:t xml:space="preserve"> through </w:t>
      </w:r>
      <w:r w:rsidR="00F36EC5">
        <w:rPr>
          <w:bCs/>
        </w:rPr>
        <w:t xml:space="preserve">the ability to shift load to </w:t>
      </w:r>
      <w:r w:rsidR="006C3B90">
        <w:rPr>
          <w:bCs/>
        </w:rPr>
        <w:t>times of lower demand</w:t>
      </w:r>
      <w:r w:rsidR="00ED149A">
        <w:rPr>
          <w:bCs/>
        </w:rPr>
        <w:t>.</w:t>
      </w:r>
      <w:r>
        <w:rPr>
          <w:bCs/>
        </w:rPr>
        <w:t xml:space="preserve">  </w:t>
      </w:r>
    </w:p>
    <w:p w:rsidR="009A372A" w:rsidP="009A2015" w:rsidRDefault="009A372A" w14:paraId="46BC0B79" w14:textId="77777777">
      <w:pPr>
        <w:rPr>
          <w:bCs/>
        </w:rPr>
      </w:pPr>
    </w:p>
    <w:p w:rsidR="00E0471B" w:rsidRDefault="00785670" w14:paraId="36E50C4F" w14:textId="59647365">
      <w:pPr>
        <w:rPr>
          <w:bCs/>
        </w:rPr>
      </w:pPr>
      <w:r w:rsidRPr="00785670">
        <w:rPr>
          <w:bCs/>
        </w:rPr>
        <w:t xml:space="preserve">Upgrading the service cable during </w:t>
      </w:r>
      <w:r w:rsidRPr="00FB65F8" w:rsidR="00FB65F8">
        <w:rPr>
          <w:bCs/>
        </w:rPr>
        <w:t xml:space="preserve">the Rebuild Program </w:t>
      </w:r>
      <w:r w:rsidR="00F6709C">
        <w:rPr>
          <w:bCs/>
        </w:rPr>
        <w:t>(instead of after)</w:t>
      </w:r>
      <w:r w:rsidRPr="00FB65F8" w:rsidR="00FB65F8">
        <w:rPr>
          <w:bCs/>
        </w:rPr>
        <w:t xml:space="preserve"> </w:t>
      </w:r>
      <w:r w:rsidRPr="00785670">
        <w:rPr>
          <w:bCs/>
        </w:rPr>
        <w:t xml:space="preserve">would save the mobilehome owners who want to upgrade to 200 amp service </w:t>
      </w:r>
      <w:r w:rsidR="00A94A65">
        <w:rPr>
          <w:bCs/>
        </w:rPr>
        <w:t xml:space="preserve">a </w:t>
      </w:r>
      <w:r w:rsidRPr="00785670">
        <w:rPr>
          <w:bCs/>
        </w:rPr>
        <w:t>considerable amount of money for the service cable.</w:t>
      </w:r>
      <w:r w:rsidR="00E85C7F">
        <w:rPr>
          <w:bCs/>
        </w:rPr>
        <w:t xml:space="preserve"> </w:t>
      </w:r>
      <w:r w:rsidRPr="00785670">
        <w:rPr>
          <w:bCs/>
        </w:rPr>
        <w:t xml:space="preserve"> That is, </w:t>
      </w:r>
      <w:r w:rsidR="001917FF">
        <w:rPr>
          <w:bCs/>
        </w:rPr>
        <w:t>a</w:t>
      </w:r>
      <w:r w:rsidRPr="00785670">
        <w:rPr>
          <w:bCs/>
        </w:rPr>
        <w:t xml:space="preserve"> mobilehome owner do</w:t>
      </w:r>
      <w:r w:rsidR="001917FF">
        <w:rPr>
          <w:bCs/>
        </w:rPr>
        <w:t>es</w:t>
      </w:r>
      <w:r w:rsidRPr="00785670">
        <w:rPr>
          <w:bCs/>
        </w:rPr>
        <w:t xml:space="preserve"> not have to pay for the material and labor cost</w:t>
      </w:r>
      <w:r w:rsidR="009F37FC">
        <w:rPr>
          <w:bCs/>
        </w:rPr>
        <w:t>s</w:t>
      </w:r>
      <w:r w:rsidRPr="00785670">
        <w:rPr>
          <w:bCs/>
        </w:rPr>
        <w:t xml:space="preserve"> to remove an existing 100 amp service cable and reinstall a new 200 amp service cable</w:t>
      </w:r>
      <w:r w:rsidR="00A94A65">
        <w:rPr>
          <w:bCs/>
        </w:rPr>
        <w:t xml:space="preserve"> at a later date</w:t>
      </w:r>
      <w:r w:rsidRPr="00785670">
        <w:rPr>
          <w:bCs/>
        </w:rPr>
        <w:t>.</w:t>
      </w:r>
      <w:r w:rsidR="002A5EDF">
        <w:rPr>
          <w:bCs/>
        </w:rPr>
        <w:t xml:space="preserve">  Also, as discussed above, </w:t>
      </w:r>
      <w:r w:rsidR="0011130E">
        <w:rPr>
          <w:bCs/>
        </w:rPr>
        <w:t xml:space="preserve">electric appliances are more </w:t>
      </w:r>
      <w:r w:rsidR="00855209">
        <w:rPr>
          <w:bCs/>
        </w:rPr>
        <w:t>energy efficient and would save the mobilehome owne</w:t>
      </w:r>
      <w:r w:rsidR="00465D49">
        <w:rPr>
          <w:bCs/>
        </w:rPr>
        <w:t>r’s</w:t>
      </w:r>
      <w:r w:rsidR="00A94A65">
        <w:rPr>
          <w:bCs/>
        </w:rPr>
        <w:t xml:space="preserve"> money in</w:t>
      </w:r>
      <w:r w:rsidR="00465D49">
        <w:rPr>
          <w:bCs/>
        </w:rPr>
        <w:t xml:space="preserve"> cost</w:t>
      </w:r>
      <w:r w:rsidR="00A94A65">
        <w:rPr>
          <w:bCs/>
        </w:rPr>
        <w:t xml:space="preserve"> of operation</w:t>
      </w:r>
      <w:r w:rsidR="00465D49">
        <w:rPr>
          <w:bCs/>
        </w:rPr>
        <w:t xml:space="preserve">s </w:t>
      </w:r>
      <w:r w:rsidR="00236370">
        <w:rPr>
          <w:bCs/>
        </w:rPr>
        <w:t>over the lifetime of the appliances.</w:t>
      </w:r>
    </w:p>
    <w:p w:rsidR="00E0471B" w:rsidP="009A2015" w:rsidRDefault="00E0471B" w14:paraId="413D0639" w14:textId="77777777">
      <w:pPr>
        <w:rPr>
          <w:bCs/>
        </w:rPr>
      </w:pPr>
    </w:p>
    <w:p w:rsidR="00E64A34" w:rsidRDefault="00F50D84" w14:paraId="51DF9BED" w14:textId="68D4B740">
      <w:pPr>
        <w:rPr>
          <w:bCs/>
        </w:rPr>
      </w:pPr>
      <w:r>
        <w:rPr>
          <w:bCs/>
        </w:rPr>
        <w:t>Service cable upgrade</w:t>
      </w:r>
      <w:r w:rsidR="008C6688">
        <w:rPr>
          <w:bCs/>
        </w:rPr>
        <w:t>s</w:t>
      </w:r>
      <w:r>
        <w:rPr>
          <w:bCs/>
        </w:rPr>
        <w:t xml:space="preserve"> also </w:t>
      </w:r>
      <w:r w:rsidR="002A5A0B">
        <w:rPr>
          <w:bCs/>
        </w:rPr>
        <w:t xml:space="preserve">prepare </w:t>
      </w:r>
      <w:r w:rsidRPr="00D13ADF" w:rsidR="00D13ADF">
        <w:rPr>
          <w:bCs/>
        </w:rPr>
        <w:t>mobilehome owners to upgrade to 200 amp service and use all-electric mobilehomes</w:t>
      </w:r>
      <w:r w:rsidR="00E54D64">
        <w:rPr>
          <w:bCs/>
        </w:rPr>
        <w:t xml:space="preserve">. </w:t>
      </w:r>
      <w:r w:rsidR="000F7D18">
        <w:rPr>
          <w:bCs/>
        </w:rPr>
        <w:t xml:space="preserve">Energy efficient appliances would </w:t>
      </w:r>
      <w:r w:rsidR="00007CD5">
        <w:rPr>
          <w:bCs/>
        </w:rPr>
        <w:t>eliminate energy waste</w:t>
      </w:r>
      <w:r w:rsidR="00B520D0">
        <w:rPr>
          <w:bCs/>
        </w:rPr>
        <w:t xml:space="preserve"> and </w:t>
      </w:r>
      <w:r w:rsidR="00DA0005">
        <w:rPr>
          <w:bCs/>
        </w:rPr>
        <w:t>would lead to</w:t>
      </w:r>
      <w:r w:rsidR="00007CD5">
        <w:rPr>
          <w:bCs/>
        </w:rPr>
        <w:t xml:space="preserve"> reduce</w:t>
      </w:r>
      <w:r w:rsidR="001461CC">
        <w:rPr>
          <w:bCs/>
        </w:rPr>
        <w:t>d</w:t>
      </w:r>
      <w:r w:rsidR="00007CD5">
        <w:rPr>
          <w:bCs/>
        </w:rPr>
        <w:t xml:space="preserve"> greenhouse gas emissions</w:t>
      </w:r>
      <w:r w:rsidR="008B16C0">
        <w:rPr>
          <w:bCs/>
        </w:rPr>
        <w:t xml:space="preserve">.  </w:t>
      </w:r>
      <w:r w:rsidR="00D62430">
        <w:rPr>
          <w:bCs/>
        </w:rPr>
        <w:t xml:space="preserve">Electrifying residential space and water heating </w:t>
      </w:r>
      <w:r w:rsidR="000F5611">
        <w:rPr>
          <w:bCs/>
        </w:rPr>
        <w:t xml:space="preserve">also </w:t>
      </w:r>
      <w:r w:rsidR="00CB5BAF">
        <w:rPr>
          <w:bCs/>
        </w:rPr>
        <w:t>provides the ability of the mobilehome owners to shi</w:t>
      </w:r>
      <w:r w:rsidR="002072D1">
        <w:rPr>
          <w:bCs/>
        </w:rPr>
        <w:t xml:space="preserve">ft energy </w:t>
      </w:r>
      <w:r w:rsidR="00942383">
        <w:rPr>
          <w:bCs/>
        </w:rPr>
        <w:t>con</w:t>
      </w:r>
      <w:r w:rsidR="002072D1">
        <w:rPr>
          <w:bCs/>
        </w:rPr>
        <w:t>sumption in time to support grid needs.</w:t>
      </w:r>
    </w:p>
    <w:p w:rsidR="00E1324F" w:rsidRDefault="00E1324F" w14:paraId="50D61E16" w14:textId="414D1041">
      <w:pPr>
        <w:rPr>
          <w:bCs/>
        </w:rPr>
      </w:pPr>
    </w:p>
    <w:p w:rsidR="00E1324F" w:rsidP="009A2015" w:rsidRDefault="00E1324F" w14:paraId="4475546C" w14:textId="43EF2390">
      <w:pPr>
        <w:rPr>
          <w:bCs/>
        </w:rPr>
      </w:pPr>
      <w:r w:rsidRPr="00E1324F">
        <w:rPr>
          <w:bCs/>
        </w:rPr>
        <w:lastRenderedPageBreak/>
        <w:t>Furthermore, as mentioned in R.19-01-011</w:t>
      </w:r>
      <w:r w:rsidRPr="00E1324F">
        <w:rPr>
          <w:bCs/>
          <w:vertAlign w:val="superscript"/>
        </w:rPr>
        <w:footnoteReference w:id="111"/>
      </w:r>
      <w:r w:rsidRPr="00E1324F">
        <w:rPr>
          <w:bCs/>
        </w:rPr>
        <w:t>, electric corporations have limited ability</w:t>
      </w:r>
      <w:r w:rsidRPr="00E1324F">
        <w:rPr>
          <w:bCs/>
          <w:vertAlign w:val="superscript"/>
        </w:rPr>
        <w:footnoteReference w:id="112"/>
      </w:r>
      <w:r w:rsidRPr="00E1324F">
        <w:rPr>
          <w:bCs/>
        </w:rPr>
        <w:t xml:space="preserve"> to offer increased incentives to customers who agree to make permanent decarbonization investments when rebuilding damaged homes.</w:t>
      </w:r>
      <w:r w:rsidRPr="00E1324F">
        <w:rPr>
          <w:bCs/>
          <w:vertAlign w:val="superscript"/>
        </w:rPr>
        <w:footnoteReference w:id="113"/>
      </w:r>
      <w:r w:rsidRPr="00E1324F">
        <w:rPr>
          <w:bCs/>
        </w:rPr>
        <w:t xml:space="preserve">  The Rebuild Program is an opportunity for PG&amp;E to incentivize mobilehome owners to acquire modern or all-electric mobilehomes through </w:t>
      </w:r>
      <w:r w:rsidR="00934FFB">
        <w:rPr>
          <w:bCs/>
        </w:rPr>
        <w:t xml:space="preserve">an </w:t>
      </w:r>
      <w:r w:rsidRPr="00E1324F">
        <w:rPr>
          <w:bCs/>
        </w:rPr>
        <w:t xml:space="preserve">extra </w:t>
      </w:r>
      <w:r w:rsidR="00934FFB">
        <w:rPr>
          <w:bCs/>
        </w:rPr>
        <w:t>0.14%</w:t>
      </w:r>
      <w:r w:rsidRPr="00E1324F">
        <w:rPr>
          <w:bCs/>
        </w:rPr>
        <w:t xml:space="preserve"> investment at the construction phase of the program</w:t>
      </w:r>
      <w:r w:rsidR="003B0187">
        <w:rPr>
          <w:bCs/>
        </w:rPr>
        <w:t>.</w:t>
      </w:r>
    </w:p>
    <w:p w:rsidR="001917FF" w:rsidP="009A2015" w:rsidRDefault="001917FF" w14:paraId="1C4941A4" w14:textId="17D4C939">
      <w:pPr>
        <w:rPr>
          <w:bCs/>
        </w:rPr>
      </w:pPr>
    </w:p>
    <w:p w:rsidR="00913EA3" w:rsidP="009A2015" w:rsidRDefault="00C30BC0" w14:paraId="012CB3DF" w14:textId="03D3DE78">
      <w:pPr>
        <w:rPr>
          <w:bCs/>
        </w:rPr>
      </w:pPr>
      <w:r>
        <w:rPr>
          <w:bCs/>
        </w:rPr>
        <w:t>T</w:t>
      </w:r>
      <w:r w:rsidR="00E915FD">
        <w:rPr>
          <w:bCs/>
        </w:rPr>
        <w:t xml:space="preserve">he above benefits </w:t>
      </w:r>
      <w:r w:rsidR="00B002C2">
        <w:rPr>
          <w:bCs/>
        </w:rPr>
        <w:t xml:space="preserve">also </w:t>
      </w:r>
      <w:r w:rsidRPr="00913EA3" w:rsidR="00913EA3">
        <w:rPr>
          <w:bCs/>
        </w:rPr>
        <w:t xml:space="preserve">would complement our long term decarbonization goals as specified in Senate Bill (SB) 1477 (Stern – 2018) and </w:t>
      </w:r>
      <w:r w:rsidR="00E43318">
        <w:rPr>
          <w:bCs/>
        </w:rPr>
        <w:t>Assembly Bill (</w:t>
      </w:r>
      <w:r w:rsidRPr="00913EA3" w:rsidR="00913EA3">
        <w:rPr>
          <w:bCs/>
        </w:rPr>
        <w:t>AB</w:t>
      </w:r>
      <w:r w:rsidR="00E43318">
        <w:rPr>
          <w:bCs/>
        </w:rPr>
        <w:t>)</w:t>
      </w:r>
      <w:r w:rsidRPr="00913EA3" w:rsidR="00913EA3">
        <w:rPr>
          <w:bCs/>
        </w:rPr>
        <w:t xml:space="preserve"> 3232 (Friedman - 2018).</w:t>
      </w:r>
      <w:r w:rsidRPr="00913EA3" w:rsidR="00913EA3">
        <w:rPr>
          <w:bCs/>
          <w:vertAlign w:val="superscript"/>
        </w:rPr>
        <w:footnoteReference w:id="114"/>
      </w:r>
      <w:r w:rsidRPr="00913EA3" w:rsidR="00913EA3">
        <w:rPr>
          <w:bCs/>
        </w:rPr>
        <w:t xml:space="preserve">  </w:t>
      </w:r>
      <w:r w:rsidR="00885D17">
        <w:rPr>
          <w:bCs/>
        </w:rPr>
        <w:t>Th</w:t>
      </w:r>
      <w:r w:rsidR="00D86A1D">
        <w:rPr>
          <w:bCs/>
        </w:rPr>
        <w:t>e</w:t>
      </w:r>
      <w:r w:rsidR="00885D17">
        <w:rPr>
          <w:bCs/>
        </w:rPr>
        <w:t xml:space="preserve"> </w:t>
      </w:r>
      <w:r w:rsidR="00BD24BF">
        <w:rPr>
          <w:bCs/>
        </w:rPr>
        <w:t xml:space="preserve">experience gained by the </w:t>
      </w:r>
      <w:r w:rsidR="00565CBD">
        <w:rPr>
          <w:bCs/>
        </w:rPr>
        <w:t xml:space="preserve">service cable upgrade also </w:t>
      </w:r>
      <w:r w:rsidR="004A15E6">
        <w:rPr>
          <w:bCs/>
        </w:rPr>
        <w:t xml:space="preserve">could </w:t>
      </w:r>
      <w:r w:rsidR="00221251">
        <w:rPr>
          <w:bCs/>
        </w:rPr>
        <w:t>contribute</w:t>
      </w:r>
      <w:r w:rsidR="00BD24BF">
        <w:rPr>
          <w:bCs/>
        </w:rPr>
        <w:t xml:space="preserve"> information</w:t>
      </w:r>
      <w:r w:rsidR="00221251">
        <w:rPr>
          <w:bCs/>
        </w:rPr>
        <w:t xml:space="preserve"> to </w:t>
      </w:r>
      <w:r w:rsidR="0077730B">
        <w:rPr>
          <w:bCs/>
        </w:rPr>
        <w:t xml:space="preserve">Phase II of </w:t>
      </w:r>
      <w:r w:rsidR="0011716B">
        <w:rPr>
          <w:bCs/>
        </w:rPr>
        <w:t xml:space="preserve">R.18-04-018 </w:t>
      </w:r>
      <w:r w:rsidRPr="00106D7E" w:rsidR="00106D7E">
        <w:rPr>
          <w:bCs/>
        </w:rPr>
        <w:t>for MHP utilities conversion</w:t>
      </w:r>
      <w:r w:rsidR="00C603D5">
        <w:rPr>
          <w:bCs/>
        </w:rPr>
        <w:t>s</w:t>
      </w:r>
      <w:r w:rsidRPr="00106D7E" w:rsidR="00106D7E">
        <w:rPr>
          <w:bCs/>
        </w:rPr>
        <w:t xml:space="preserve"> </w:t>
      </w:r>
      <w:r w:rsidR="0011716B">
        <w:rPr>
          <w:bCs/>
        </w:rPr>
        <w:t>and</w:t>
      </w:r>
      <w:r w:rsidR="0077730B">
        <w:rPr>
          <w:bCs/>
        </w:rPr>
        <w:t xml:space="preserve"> </w:t>
      </w:r>
      <w:r w:rsidR="002E4145">
        <w:rPr>
          <w:bCs/>
        </w:rPr>
        <w:t xml:space="preserve">the building </w:t>
      </w:r>
      <w:r w:rsidRPr="002E4145" w:rsidR="002E4145">
        <w:rPr>
          <w:bCs/>
        </w:rPr>
        <w:t xml:space="preserve">decarbonization </w:t>
      </w:r>
      <w:r w:rsidR="00BE4908">
        <w:rPr>
          <w:bCs/>
        </w:rPr>
        <w:t xml:space="preserve">rulemaking </w:t>
      </w:r>
      <w:r w:rsidRPr="002E4145" w:rsidR="002E4145">
        <w:rPr>
          <w:bCs/>
        </w:rPr>
        <w:t>(R.19-01-011)</w:t>
      </w:r>
      <w:r w:rsidR="00383C1D">
        <w:rPr>
          <w:bCs/>
        </w:rPr>
        <w:t xml:space="preserve"> as a measure</w:t>
      </w:r>
      <w:r w:rsidR="005568DD">
        <w:rPr>
          <w:bCs/>
        </w:rPr>
        <w:t xml:space="preserve"> </w:t>
      </w:r>
      <w:r w:rsidRPr="005568DD" w:rsidR="005568DD">
        <w:rPr>
          <w:bCs/>
        </w:rPr>
        <w:t xml:space="preserve">to </w:t>
      </w:r>
      <w:r w:rsidR="009262A1">
        <w:rPr>
          <w:bCs/>
        </w:rPr>
        <w:t xml:space="preserve">consider </w:t>
      </w:r>
      <w:r w:rsidR="00B974D8">
        <w:rPr>
          <w:bCs/>
        </w:rPr>
        <w:t xml:space="preserve">on </w:t>
      </w:r>
      <w:r w:rsidRPr="005568DD" w:rsidR="005568DD">
        <w:rPr>
          <w:bCs/>
        </w:rPr>
        <w:t>new construction in areas damaged by wildfires</w:t>
      </w:r>
      <w:r w:rsidR="005568DD">
        <w:rPr>
          <w:bCs/>
        </w:rPr>
        <w:t>.</w:t>
      </w:r>
    </w:p>
    <w:p w:rsidR="002923AB" w:rsidP="002238AE" w:rsidRDefault="002923AB" w14:paraId="43793621" w14:textId="3B73C7E6">
      <w:pPr>
        <w:rPr>
          <w:bCs/>
        </w:rPr>
      </w:pPr>
      <w:r w:rsidRPr="005D6CFD">
        <w:rPr>
          <w:bCs/>
        </w:rPr>
        <w:t xml:space="preserve">PG&amp;E </w:t>
      </w:r>
      <w:r>
        <w:rPr>
          <w:bCs/>
        </w:rPr>
        <w:t xml:space="preserve">is instructed </w:t>
      </w:r>
      <w:r w:rsidRPr="005D6CFD">
        <w:rPr>
          <w:bCs/>
        </w:rPr>
        <w:t xml:space="preserve">to provide underground </w:t>
      </w:r>
      <w:r>
        <w:rPr>
          <w:bCs/>
        </w:rPr>
        <w:t>service cable</w:t>
      </w:r>
      <w:r w:rsidRPr="005D6CFD">
        <w:rPr>
          <w:bCs/>
        </w:rPr>
        <w:t xml:space="preserve"> rated to serve a minimum of 200 amps from the splice boxes to </w:t>
      </w:r>
      <w:r>
        <w:rPr>
          <w:bCs/>
        </w:rPr>
        <w:t xml:space="preserve">the electric pedestal of </w:t>
      </w:r>
      <w:r w:rsidRPr="005D6CFD">
        <w:rPr>
          <w:bCs/>
        </w:rPr>
        <w:t>each mobilehome</w:t>
      </w:r>
      <w:r>
        <w:rPr>
          <w:rStyle w:val="FootnoteReference"/>
          <w:bCs/>
        </w:rPr>
        <w:footnoteReference w:id="115"/>
      </w:r>
      <w:r w:rsidR="00D30872">
        <w:rPr>
          <w:bCs/>
        </w:rPr>
        <w:t>.</w:t>
      </w:r>
    </w:p>
    <w:p w:rsidRPr="002025F9" w:rsidR="001E413A" w:rsidP="002923AB" w:rsidRDefault="009601A7" w14:paraId="7AB3C9F2" w14:textId="577698F9">
      <w:pPr>
        <w:pStyle w:val="Heading4"/>
        <w:ind w:firstLine="0"/>
        <w:rPr>
          <w:b w:val="0"/>
          <w:bCs/>
        </w:rPr>
      </w:pPr>
      <w:r w:rsidRPr="002025F9">
        <w:rPr>
          <w:b w:val="0"/>
          <w:bCs/>
        </w:rPr>
        <w:lastRenderedPageBreak/>
        <w:t xml:space="preserve">Marginal Cost of Providing 200 Amp Service to an </w:t>
      </w:r>
      <w:r w:rsidRPr="002025F9" w:rsidR="00F0681E">
        <w:rPr>
          <w:b w:val="0"/>
          <w:bCs/>
        </w:rPr>
        <w:t>E</w:t>
      </w:r>
      <w:r w:rsidRPr="002025F9">
        <w:rPr>
          <w:b w:val="0"/>
          <w:bCs/>
        </w:rPr>
        <w:t>ntir</w:t>
      </w:r>
      <w:r w:rsidRPr="002025F9" w:rsidR="00F0681E">
        <w:rPr>
          <w:b w:val="0"/>
          <w:bCs/>
        </w:rPr>
        <w:t>e</w:t>
      </w:r>
      <w:r w:rsidRPr="002025F9">
        <w:rPr>
          <w:b w:val="0"/>
          <w:bCs/>
        </w:rPr>
        <w:t xml:space="preserve"> MHP</w:t>
      </w:r>
    </w:p>
    <w:p w:rsidR="009B2B55" w:rsidP="009A2015" w:rsidRDefault="009C68A8" w14:paraId="2AF25972" w14:textId="5B64C3DF">
      <w:pPr>
        <w:rPr>
          <w:bCs/>
        </w:rPr>
      </w:pPr>
      <w:r>
        <w:rPr>
          <w:bCs/>
        </w:rPr>
        <w:t>While the cost of providing</w:t>
      </w:r>
      <w:r w:rsidR="001D0262">
        <w:rPr>
          <w:bCs/>
        </w:rPr>
        <w:t xml:space="preserve"> service</w:t>
      </w:r>
      <w:r>
        <w:rPr>
          <w:bCs/>
        </w:rPr>
        <w:t xml:space="preserve"> </w:t>
      </w:r>
      <w:r w:rsidR="00DC2420">
        <w:rPr>
          <w:bCs/>
        </w:rPr>
        <w:t>cable</w:t>
      </w:r>
      <w:r>
        <w:rPr>
          <w:bCs/>
        </w:rPr>
        <w:t xml:space="preserve">s capable of </w:t>
      </w:r>
      <w:r w:rsidR="00B04D31">
        <w:rPr>
          <w:bCs/>
        </w:rPr>
        <w:t>200 amp</w:t>
      </w:r>
      <w:r>
        <w:rPr>
          <w:bCs/>
        </w:rPr>
        <w:t xml:space="preserve"> service is a small percentage of </w:t>
      </w:r>
      <w:r w:rsidR="00F56FBE">
        <w:rPr>
          <w:bCs/>
        </w:rPr>
        <w:t xml:space="preserve">the total </w:t>
      </w:r>
      <w:r w:rsidRPr="008007D2" w:rsidR="008007D2">
        <w:rPr>
          <w:bCs/>
        </w:rPr>
        <w:t>Rebuild</w:t>
      </w:r>
      <w:r w:rsidR="008007D2">
        <w:rPr>
          <w:bCs/>
        </w:rPr>
        <w:t xml:space="preserve"> </w:t>
      </w:r>
      <w:r w:rsidR="00F56FBE">
        <w:rPr>
          <w:bCs/>
        </w:rPr>
        <w:t xml:space="preserve"> </w:t>
      </w:r>
      <w:r w:rsidR="008007D2">
        <w:rPr>
          <w:bCs/>
        </w:rPr>
        <w:t xml:space="preserve">Program </w:t>
      </w:r>
      <w:r>
        <w:rPr>
          <w:bCs/>
        </w:rPr>
        <w:t xml:space="preserve">costs, </w:t>
      </w:r>
      <w:r w:rsidR="00912CA5">
        <w:rPr>
          <w:bCs/>
        </w:rPr>
        <w:t>transformer and secondary infrastructure</w:t>
      </w:r>
      <w:r>
        <w:rPr>
          <w:bCs/>
        </w:rPr>
        <w:t xml:space="preserve"> costs to upgrade entire </w:t>
      </w:r>
      <w:r w:rsidR="00955F49">
        <w:rPr>
          <w:bCs/>
        </w:rPr>
        <w:t>MHP</w:t>
      </w:r>
      <w:r>
        <w:rPr>
          <w:bCs/>
        </w:rPr>
        <w:t xml:space="preserve">s to </w:t>
      </w:r>
      <w:r w:rsidR="00B04D31">
        <w:rPr>
          <w:bCs/>
        </w:rPr>
        <w:t>200 amp</w:t>
      </w:r>
      <w:r w:rsidRPr="005D6CFD">
        <w:rPr>
          <w:bCs/>
        </w:rPr>
        <w:t xml:space="preserve"> </w:t>
      </w:r>
      <w:r>
        <w:rPr>
          <w:bCs/>
        </w:rPr>
        <w:t xml:space="preserve">service </w:t>
      </w:r>
      <w:r w:rsidRPr="005D6CFD">
        <w:rPr>
          <w:bCs/>
        </w:rPr>
        <w:t>could be substantial</w:t>
      </w:r>
      <w:r w:rsidR="00545A32">
        <w:rPr>
          <w:rStyle w:val="FootnoteReference"/>
          <w:bCs/>
        </w:rPr>
        <w:footnoteReference w:id="116"/>
      </w:r>
      <w:r>
        <w:rPr>
          <w:bCs/>
        </w:rPr>
        <w:t xml:space="preserve">.  </w:t>
      </w:r>
      <w:r w:rsidR="00BB5F21">
        <w:rPr>
          <w:bCs/>
        </w:rPr>
        <w:t xml:space="preserve">Providing </w:t>
      </w:r>
      <w:r w:rsidR="000F250E">
        <w:rPr>
          <w:bCs/>
        </w:rPr>
        <w:t>an</w:t>
      </w:r>
      <w:r w:rsidR="00A71F06">
        <w:rPr>
          <w:bCs/>
        </w:rPr>
        <w:t xml:space="preserve"> entire MHP</w:t>
      </w:r>
      <w:r w:rsidR="00F0681E">
        <w:rPr>
          <w:bCs/>
        </w:rPr>
        <w:t xml:space="preserve"> </w:t>
      </w:r>
      <w:r w:rsidR="00BB5F21">
        <w:rPr>
          <w:bCs/>
        </w:rPr>
        <w:t>with</w:t>
      </w:r>
      <w:r w:rsidR="00F0681E">
        <w:rPr>
          <w:bCs/>
        </w:rPr>
        <w:t xml:space="preserve"> 200 amp service</w:t>
      </w:r>
      <w:r w:rsidR="00A71F06">
        <w:rPr>
          <w:bCs/>
        </w:rPr>
        <w:t xml:space="preserve"> could</w:t>
      </w:r>
      <w:r w:rsidR="00BB5F21">
        <w:rPr>
          <w:bCs/>
        </w:rPr>
        <w:t xml:space="preserve"> also</w:t>
      </w:r>
      <w:r w:rsidR="00A71F06">
        <w:rPr>
          <w:bCs/>
        </w:rPr>
        <w:t xml:space="preserve"> necessitate an </w:t>
      </w:r>
      <w:r w:rsidRPr="005D6CFD" w:rsidR="00A71F06">
        <w:rPr>
          <w:bCs/>
        </w:rPr>
        <w:t xml:space="preserve">upgrade of the secondary </w:t>
      </w:r>
      <w:r w:rsidR="008E785E">
        <w:rPr>
          <w:bCs/>
        </w:rPr>
        <w:t>cables and conduit</w:t>
      </w:r>
      <w:r w:rsidRPr="005D6CFD" w:rsidR="00A71F06">
        <w:rPr>
          <w:bCs/>
        </w:rPr>
        <w:t xml:space="preserve"> feeding </w:t>
      </w:r>
      <w:r w:rsidR="002923AB">
        <w:rPr>
          <w:bCs/>
        </w:rPr>
        <w:t xml:space="preserve">the splice boxes within </w:t>
      </w:r>
      <w:r w:rsidRPr="005D6CFD" w:rsidR="00A71F06">
        <w:rPr>
          <w:bCs/>
        </w:rPr>
        <w:t>a MHP</w:t>
      </w:r>
      <w:r w:rsidR="008E785E">
        <w:rPr>
          <w:bCs/>
        </w:rPr>
        <w:t>.  These upgrades also have the potential to require an upgrad</w:t>
      </w:r>
      <w:r w:rsidR="008D3DAC">
        <w:rPr>
          <w:bCs/>
        </w:rPr>
        <w:t>e to</w:t>
      </w:r>
      <w:r w:rsidR="00A71F06">
        <w:rPr>
          <w:bCs/>
        </w:rPr>
        <w:t xml:space="preserve"> the </w:t>
      </w:r>
      <w:r w:rsidRPr="0094056A" w:rsidR="00A71F06">
        <w:rPr>
          <w:bCs/>
        </w:rPr>
        <w:t>siz</w:t>
      </w:r>
      <w:r w:rsidR="00A71F06">
        <w:rPr>
          <w:bCs/>
        </w:rPr>
        <w:t>ing</w:t>
      </w:r>
      <w:r w:rsidRPr="0094056A" w:rsidR="00A71F06">
        <w:rPr>
          <w:bCs/>
        </w:rPr>
        <w:t xml:space="preserve"> and quantities of distribution transformers </w:t>
      </w:r>
      <w:r w:rsidRPr="005D6CFD" w:rsidR="00A71F06">
        <w:rPr>
          <w:bCs/>
        </w:rPr>
        <w:t>and the</w:t>
      </w:r>
      <w:r w:rsidR="00A71F06">
        <w:rPr>
          <w:bCs/>
        </w:rPr>
        <w:t>ir</w:t>
      </w:r>
      <w:r w:rsidRPr="005D6CFD" w:rsidR="00A71F06">
        <w:rPr>
          <w:bCs/>
        </w:rPr>
        <w:t xml:space="preserve"> corresponding protective devices</w:t>
      </w:r>
      <w:r w:rsidR="00A71F06">
        <w:rPr>
          <w:bCs/>
        </w:rPr>
        <w:t>.</w:t>
      </w:r>
      <w:r w:rsidR="00383025">
        <w:rPr>
          <w:bCs/>
        </w:rPr>
        <w:t xml:space="preserve">  </w:t>
      </w:r>
      <w:r w:rsidR="003C3DA2">
        <w:rPr>
          <w:bCs/>
        </w:rPr>
        <w:t>PG&amp;E stated that 100 KVA is the maximum transformer size for the MHP programs.  PG&amp;E normally uses a combination of 50 KVA and 100 KVA transformers in MHP layout and 25 KVA may be an option.</w:t>
      </w:r>
      <w:r w:rsidR="003C3DA2">
        <w:rPr>
          <w:rStyle w:val="FootnoteReference"/>
          <w:bCs/>
        </w:rPr>
        <w:footnoteReference w:id="117"/>
      </w:r>
    </w:p>
    <w:p w:rsidR="009B2B55" w:rsidP="009A2015" w:rsidRDefault="009B2B55" w14:paraId="6CE3F788" w14:textId="77777777">
      <w:pPr>
        <w:rPr>
          <w:bCs/>
        </w:rPr>
      </w:pPr>
    </w:p>
    <w:p w:rsidR="00383025" w:rsidP="009A2015" w:rsidRDefault="00153369" w14:paraId="0AB21AFE" w14:textId="7CCC247E">
      <w:pPr>
        <w:rPr>
          <w:bCs/>
        </w:rPr>
      </w:pPr>
      <w:r>
        <w:rPr>
          <w:bCs/>
        </w:rPr>
        <w:t xml:space="preserve">With the </w:t>
      </w:r>
      <w:r w:rsidR="008D3DAC">
        <w:rPr>
          <w:bCs/>
        </w:rPr>
        <w:t xml:space="preserve">previously noted </w:t>
      </w:r>
      <w:r>
        <w:rPr>
          <w:bCs/>
        </w:rPr>
        <w:t xml:space="preserve">exception of the </w:t>
      </w:r>
      <w:r w:rsidR="00963429">
        <w:rPr>
          <w:bCs/>
        </w:rPr>
        <w:t xml:space="preserve">service </w:t>
      </w:r>
      <w:r w:rsidR="00DC2420">
        <w:rPr>
          <w:bCs/>
        </w:rPr>
        <w:t>cable</w:t>
      </w:r>
      <w:r>
        <w:rPr>
          <w:bCs/>
        </w:rPr>
        <w:t>,</w:t>
      </w:r>
      <w:r w:rsidR="00624184">
        <w:rPr>
          <w:bCs/>
        </w:rPr>
        <w:t xml:space="preserve"> </w:t>
      </w:r>
      <w:r w:rsidRPr="005D6CFD" w:rsidR="00383025">
        <w:rPr>
          <w:bCs/>
        </w:rPr>
        <w:t xml:space="preserve">PG&amp;E should rebuild </w:t>
      </w:r>
      <w:r>
        <w:rPr>
          <w:bCs/>
        </w:rPr>
        <w:t xml:space="preserve">the </w:t>
      </w:r>
      <w:r w:rsidR="00AB76D8">
        <w:rPr>
          <w:bCs/>
        </w:rPr>
        <w:t>destroyed</w:t>
      </w:r>
      <w:r w:rsidR="00624184">
        <w:rPr>
          <w:bCs/>
        </w:rPr>
        <w:t xml:space="preserve"> </w:t>
      </w:r>
      <w:r w:rsidRPr="005D6CFD" w:rsidR="00383025">
        <w:rPr>
          <w:bCs/>
        </w:rPr>
        <w:t xml:space="preserve">utilities to </w:t>
      </w:r>
      <w:r w:rsidR="00AB76D8">
        <w:rPr>
          <w:bCs/>
        </w:rPr>
        <w:t xml:space="preserve">the </w:t>
      </w:r>
      <w:r w:rsidR="00383025">
        <w:rPr>
          <w:bCs/>
        </w:rPr>
        <w:t>current</w:t>
      </w:r>
      <w:r w:rsidR="00AB76D8">
        <w:rPr>
          <w:bCs/>
        </w:rPr>
        <w:t>ly applicable</w:t>
      </w:r>
      <w:r w:rsidRPr="005D6CFD" w:rsidR="00383025">
        <w:rPr>
          <w:bCs/>
        </w:rPr>
        <w:t xml:space="preserve"> service standard and </w:t>
      </w:r>
      <w:r w:rsidR="00AE1670">
        <w:rPr>
          <w:bCs/>
        </w:rPr>
        <w:t xml:space="preserve">the </w:t>
      </w:r>
      <w:r w:rsidRPr="008007D2" w:rsidR="008007D2">
        <w:rPr>
          <w:bCs/>
        </w:rPr>
        <w:t>Rebuild Program</w:t>
      </w:r>
      <w:r w:rsidRPr="005D6CFD" w:rsidR="00383025">
        <w:rPr>
          <w:bCs/>
        </w:rPr>
        <w:t xml:space="preserve"> </w:t>
      </w:r>
      <w:r w:rsidR="000F250E">
        <w:rPr>
          <w:bCs/>
        </w:rPr>
        <w:t>will</w:t>
      </w:r>
      <w:r w:rsidRPr="005D6CFD" w:rsidR="00383025">
        <w:rPr>
          <w:bCs/>
        </w:rPr>
        <w:t xml:space="preserve"> not serve as an upgrade program to</w:t>
      </w:r>
      <w:r w:rsidR="007905F6">
        <w:rPr>
          <w:bCs/>
        </w:rPr>
        <w:t xml:space="preserve"> provide</w:t>
      </w:r>
      <w:r w:rsidRPr="005D6CFD" w:rsidR="00383025">
        <w:rPr>
          <w:bCs/>
        </w:rPr>
        <w:t xml:space="preserve"> 200 amp</w:t>
      </w:r>
      <w:r w:rsidR="007905F6">
        <w:rPr>
          <w:bCs/>
        </w:rPr>
        <w:t xml:space="preserve"> </w:t>
      </w:r>
      <w:r w:rsidRPr="005D6CFD" w:rsidR="00383025">
        <w:rPr>
          <w:bCs/>
        </w:rPr>
        <w:t>s</w:t>
      </w:r>
      <w:r w:rsidR="007905F6">
        <w:rPr>
          <w:bCs/>
        </w:rPr>
        <w:t>ervice to</w:t>
      </w:r>
      <w:r w:rsidR="000F250E">
        <w:rPr>
          <w:bCs/>
        </w:rPr>
        <w:t xml:space="preserve"> </w:t>
      </w:r>
      <w:r w:rsidR="00E07900">
        <w:rPr>
          <w:bCs/>
        </w:rPr>
        <w:t xml:space="preserve">the </w:t>
      </w:r>
      <w:r w:rsidR="000F250E">
        <w:rPr>
          <w:bCs/>
        </w:rPr>
        <w:t>entire MHP</w:t>
      </w:r>
      <w:r w:rsidRPr="005D6CFD" w:rsidR="00383025">
        <w:rPr>
          <w:bCs/>
        </w:rPr>
        <w:t>.</w:t>
      </w:r>
      <w:r w:rsidR="00383025">
        <w:rPr>
          <w:rStyle w:val="FootnoteReference"/>
          <w:bCs/>
        </w:rPr>
        <w:footnoteReference w:id="118"/>
      </w:r>
      <w:r w:rsidR="00624184">
        <w:rPr>
          <w:bCs/>
        </w:rPr>
        <w:t xml:space="preserve"> </w:t>
      </w:r>
      <w:r w:rsidR="00F845D0">
        <w:rPr>
          <w:bCs/>
        </w:rPr>
        <w:t xml:space="preserve"> </w:t>
      </w:r>
      <w:r w:rsidR="00383025">
        <w:rPr>
          <w:bCs/>
        </w:rPr>
        <w:t>Hence, s</w:t>
      </w:r>
      <w:r w:rsidRPr="000A4CF5" w:rsidR="00383025">
        <w:rPr>
          <w:bCs/>
        </w:rPr>
        <w:t>ection</w:t>
      </w:r>
      <w:r w:rsidR="00383025">
        <w:rPr>
          <w:bCs/>
        </w:rPr>
        <w:t>s</w:t>
      </w:r>
      <w:r w:rsidR="00D03020">
        <w:rPr>
          <w:bCs/>
        </w:rPr>
        <w:t xml:space="preserve"> 6.1.5. and 6.1.6.</w:t>
      </w:r>
      <w:r w:rsidRPr="000A4CF5" w:rsidR="00383025">
        <w:rPr>
          <w:bCs/>
        </w:rPr>
        <w:t xml:space="preserve"> of the </w:t>
      </w:r>
      <w:bookmarkStart w:name="_Hlk56180637" w:id="39"/>
      <w:r w:rsidRPr="006C6A00" w:rsidR="00383025">
        <w:rPr>
          <w:bCs/>
        </w:rPr>
        <w:t xml:space="preserve">Butte County </w:t>
      </w:r>
      <w:r w:rsidRPr="000068A2" w:rsidR="000068A2">
        <w:rPr>
          <w:bCs/>
        </w:rPr>
        <w:t>Mobilehome</w:t>
      </w:r>
      <w:r w:rsidR="0061125A">
        <w:rPr>
          <w:bCs/>
        </w:rPr>
        <w:t xml:space="preserve"> Park</w:t>
      </w:r>
      <w:r w:rsidRPr="006C6A00" w:rsidR="00383025">
        <w:rPr>
          <w:bCs/>
        </w:rPr>
        <w:t xml:space="preserve"> Rebuild Program </w:t>
      </w:r>
      <w:r w:rsidR="00383025">
        <w:rPr>
          <w:bCs/>
        </w:rPr>
        <w:t xml:space="preserve">Agreement </w:t>
      </w:r>
      <w:bookmarkEnd w:id="39"/>
      <w:r w:rsidRPr="000A4CF5" w:rsidR="00383025">
        <w:rPr>
          <w:bCs/>
        </w:rPr>
        <w:t>remain unchange</w:t>
      </w:r>
      <w:r w:rsidR="00383025">
        <w:rPr>
          <w:bCs/>
        </w:rPr>
        <w:t>d.</w:t>
      </w:r>
      <w:r w:rsidR="00601914">
        <w:rPr>
          <w:rStyle w:val="FootnoteReference"/>
          <w:bCs/>
        </w:rPr>
        <w:footnoteReference w:id="119"/>
      </w:r>
      <w:r w:rsidR="00665EA1">
        <w:rPr>
          <w:bCs/>
        </w:rPr>
        <w:t xml:space="preserve">  However, </w:t>
      </w:r>
      <w:r w:rsidR="00665EA1">
        <w:rPr>
          <w:bCs/>
        </w:rPr>
        <w:lastRenderedPageBreak/>
        <w:t xml:space="preserve">PG&amp;E shall </w:t>
      </w:r>
      <w:r w:rsidR="00CD0A2C">
        <w:rPr>
          <w:bCs/>
        </w:rPr>
        <w:t>update</w:t>
      </w:r>
      <w:r w:rsidR="00665EA1">
        <w:rPr>
          <w:bCs/>
        </w:rPr>
        <w:t xml:space="preserve"> the </w:t>
      </w:r>
      <w:r w:rsidRPr="00551354" w:rsidR="00551354">
        <w:rPr>
          <w:bCs/>
        </w:rPr>
        <w:t>Butte County Mobilehome Park Rebuild Program Agreement</w:t>
      </w:r>
      <w:r w:rsidR="005477C8">
        <w:rPr>
          <w:bCs/>
        </w:rPr>
        <w:t xml:space="preserve"> </w:t>
      </w:r>
      <w:r w:rsidR="00C771CD">
        <w:rPr>
          <w:bCs/>
        </w:rPr>
        <w:t>to indicate</w:t>
      </w:r>
      <w:r w:rsidR="005477C8">
        <w:rPr>
          <w:bCs/>
        </w:rPr>
        <w:t xml:space="preserve"> that </w:t>
      </w:r>
      <w:r w:rsidR="00716A49">
        <w:rPr>
          <w:bCs/>
        </w:rPr>
        <w:t xml:space="preserve">the </w:t>
      </w:r>
      <w:r w:rsidRPr="004327D8" w:rsidR="004327D8">
        <w:rPr>
          <w:bCs/>
        </w:rPr>
        <w:t xml:space="preserve">service cables from the splice box to the mobilehome electric pedestal </w:t>
      </w:r>
      <w:r w:rsidR="00716A49">
        <w:rPr>
          <w:bCs/>
        </w:rPr>
        <w:t>shall be</w:t>
      </w:r>
      <w:r w:rsidRPr="004327D8" w:rsidR="004327D8">
        <w:rPr>
          <w:bCs/>
        </w:rPr>
        <w:t xml:space="preserve"> capable of safely providing 200 amps to the mobilehome</w:t>
      </w:r>
      <w:r w:rsidR="00B852DC">
        <w:rPr>
          <w:bCs/>
        </w:rPr>
        <w:t>s in the Rebuild Program.</w:t>
      </w:r>
    </w:p>
    <w:p w:rsidRPr="005D6CFD" w:rsidR="00CD539D" w:rsidP="009A2015" w:rsidRDefault="00CD539D" w14:paraId="72BEFA75" w14:textId="77777777">
      <w:pPr>
        <w:rPr>
          <w:bCs/>
        </w:rPr>
      </w:pPr>
    </w:p>
    <w:p w:rsidR="00180FDF" w:rsidP="00B6099B" w:rsidRDefault="00624184" w14:paraId="2A20EBA2" w14:textId="10BB9090">
      <w:pPr>
        <w:rPr>
          <w:bCs/>
        </w:rPr>
      </w:pPr>
      <w:r>
        <w:rPr>
          <w:bCs/>
        </w:rPr>
        <w:t xml:space="preserve">Given the existence of </w:t>
      </w:r>
      <w:r w:rsidR="00B04D31">
        <w:rPr>
          <w:bCs/>
        </w:rPr>
        <w:t>200 amp</w:t>
      </w:r>
      <w:r>
        <w:rPr>
          <w:bCs/>
        </w:rPr>
        <w:t xml:space="preserve"> capable </w:t>
      </w:r>
      <w:r w:rsidR="00DC2420">
        <w:rPr>
          <w:bCs/>
        </w:rPr>
        <w:t>cable</w:t>
      </w:r>
      <w:r>
        <w:rPr>
          <w:bCs/>
        </w:rPr>
        <w:t xml:space="preserve"> and conduit</w:t>
      </w:r>
      <w:r w:rsidRPr="005D6CFD" w:rsidR="009C68A8">
        <w:rPr>
          <w:bCs/>
        </w:rPr>
        <w:t xml:space="preserve">, PG&amp;E should consider no-cost and low-cost options to supply </w:t>
      </w:r>
      <w:r w:rsidR="00B04D31">
        <w:rPr>
          <w:bCs/>
        </w:rPr>
        <w:t>200 amp</w:t>
      </w:r>
      <w:r w:rsidRPr="005D6CFD" w:rsidR="009C68A8">
        <w:rPr>
          <w:bCs/>
        </w:rPr>
        <w:t xml:space="preserve"> service to </w:t>
      </w:r>
      <w:r w:rsidR="009C68A8">
        <w:rPr>
          <w:bCs/>
        </w:rPr>
        <w:t>m</w:t>
      </w:r>
      <w:r w:rsidRPr="005D6CFD" w:rsidR="009C68A8">
        <w:rPr>
          <w:bCs/>
        </w:rPr>
        <w:t>obilehomes</w:t>
      </w:r>
      <w:r>
        <w:rPr>
          <w:bCs/>
        </w:rPr>
        <w:t>.</w:t>
      </w:r>
      <w:r w:rsidR="009C68A8">
        <w:rPr>
          <w:bCs/>
        </w:rPr>
        <w:t xml:space="preserve"> PG&amp;E should calculate the amount of excess capacity available from the transformers</w:t>
      </w:r>
      <w:r w:rsidR="009271D7">
        <w:rPr>
          <w:bCs/>
        </w:rPr>
        <w:t xml:space="preserve"> and secondary distribution system</w:t>
      </w:r>
      <w:r w:rsidR="009C68A8">
        <w:rPr>
          <w:bCs/>
        </w:rPr>
        <w:t xml:space="preserve"> contemplated </w:t>
      </w:r>
      <w:r w:rsidR="009271D7">
        <w:rPr>
          <w:bCs/>
        </w:rPr>
        <w:t xml:space="preserve">to provide </w:t>
      </w:r>
      <w:r w:rsidR="00474A57">
        <w:rPr>
          <w:bCs/>
        </w:rPr>
        <w:t xml:space="preserve">a minimum of </w:t>
      </w:r>
      <w:r w:rsidR="009C68A8">
        <w:rPr>
          <w:bCs/>
        </w:rPr>
        <w:t xml:space="preserve">100 amp service </w:t>
      </w:r>
      <w:r w:rsidR="009271D7">
        <w:rPr>
          <w:bCs/>
        </w:rPr>
        <w:t xml:space="preserve">to each </w:t>
      </w:r>
      <w:r w:rsidR="00474A57">
        <w:rPr>
          <w:bCs/>
        </w:rPr>
        <w:t xml:space="preserve">mobilehome.  </w:t>
      </w:r>
    </w:p>
    <w:p w:rsidR="00510D6D" w:rsidP="009A2015" w:rsidRDefault="00510D6D" w14:paraId="06A59578" w14:textId="77777777">
      <w:pPr>
        <w:rPr>
          <w:bCs/>
        </w:rPr>
      </w:pPr>
    </w:p>
    <w:p w:rsidR="009C68A8" w:rsidP="009A2015" w:rsidRDefault="00474A57" w14:paraId="58EDE62F" w14:textId="7ACD1B83">
      <w:pPr>
        <w:rPr>
          <w:bCs/>
        </w:rPr>
      </w:pPr>
      <w:r>
        <w:rPr>
          <w:bCs/>
        </w:rPr>
        <w:t xml:space="preserve">This calculation of excess capacity should be used </w:t>
      </w:r>
      <w:r w:rsidR="009C68A8">
        <w:rPr>
          <w:bCs/>
        </w:rPr>
        <w:t xml:space="preserve">to determine the </w:t>
      </w:r>
      <w:r w:rsidR="00B801A2">
        <w:rPr>
          <w:bCs/>
        </w:rPr>
        <w:t xml:space="preserve">maximum </w:t>
      </w:r>
      <w:r w:rsidR="009C68A8">
        <w:rPr>
          <w:bCs/>
        </w:rPr>
        <w:t xml:space="preserve">number of mobilehomes in each MHPs that can be provided </w:t>
      </w:r>
      <w:r w:rsidR="00B04D31">
        <w:rPr>
          <w:bCs/>
        </w:rPr>
        <w:t>200 amp</w:t>
      </w:r>
      <w:r w:rsidR="009C68A8">
        <w:rPr>
          <w:bCs/>
        </w:rPr>
        <w:t xml:space="preserve"> service without triggering substantial system upgrades.</w:t>
      </w:r>
      <w:r w:rsidR="009C68A8">
        <w:rPr>
          <w:rStyle w:val="FootnoteReference"/>
          <w:bCs/>
        </w:rPr>
        <w:footnoteReference w:id="120"/>
      </w:r>
      <w:r w:rsidR="009C68A8">
        <w:rPr>
          <w:bCs/>
        </w:rPr>
        <w:t xml:space="preserve">  To the extent feasible, PG&amp;E should work with MHP owners and operators to determine which spaces would most benefit from a </w:t>
      </w:r>
      <w:r w:rsidR="00B04D31">
        <w:rPr>
          <w:bCs/>
        </w:rPr>
        <w:t>200 amp</w:t>
      </w:r>
      <w:r w:rsidR="009C68A8">
        <w:rPr>
          <w:bCs/>
        </w:rPr>
        <w:t xml:space="preserve"> service and allow those spaces to install </w:t>
      </w:r>
      <w:r w:rsidR="00B04D31">
        <w:rPr>
          <w:bCs/>
        </w:rPr>
        <w:t>200 amp</w:t>
      </w:r>
      <w:r w:rsidR="009C68A8">
        <w:rPr>
          <w:bCs/>
        </w:rPr>
        <w:t xml:space="preserve"> pedestal</w:t>
      </w:r>
      <w:r w:rsidR="00C523C3">
        <w:rPr>
          <w:bCs/>
        </w:rPr>
        <w:t>s</w:t>
      </w:r>
      <w:r w:rsidR="009C68A8">
        <w:rPr>
          <w:bCs/>
        </w:rPr>
        <w:t xml:space="preserve"> and panels.  </w:t>
      </w:r>
      <w:r>
        <w:rPr>
          <w:bCs/>
        </w:rPr>
        <w:t xml:space="preserve">If upgrades to the secondary distribution system </w:t>
      </w:r>
      <w:r w:rsidR="00864884">
        <w:rPr>
          <w:bCs/>
        </w:rPr>
        <w:t xml:space="preserve">would enable a greater number of 200 amp services without necessitating a transformer upgrade, </w:t>
      </w:r>
      <w:r w:rsidR="005D5E58">
        <w:rPr>
          <w:bCs/>
        </w:rPr>
        <w:t>that option should also be considered and presented to the MHP Owner</w:t>
      </w:r>
      <w:r w:rsidRPr="249DB94A" w:rsidR="73786B1C">
        <w:t xml:space="preserve"> and </w:t>
      </w:r>
      <w:r w:rsidR="614DC2C2">
        <w:t>discuss</w:t>
      </w:r>
      <w:r w:rsidRPr="249DB94A" w:rsidR="73786B1C">
        <w:t xml:space="preserve"> in the annual </w:t>
      </w:r>
      <w:r w:rsidR="614DC2C2">
        <w:t>report</w:t>
      </w:r>
      <w:r w:rsidR="7FB85BE3">
        <w:t>s</w:t>
      </w:r>
      <w:r w:rsidRPr="249DB94A" w:rsidR="589363A9">
        <w:t>.</w:t>
      </w:r>
    </w:p>
    <w:p w:rsidR="009C68A8" w:rsidP="009A2015" w:rsidRDefault="009C68A8" w14:paraId="2E65C348" w14:textId="39A47CBB">
      <w:pPr>
        <w:rPr>
          <w:bCs/>
        </w:rPr>
      </w:pPr>
    </w:p>
    <w:p w:rsidRPr="00FE1D8F" w:rsidR="00555142" w:rsidP="00FE1D8F" w:rsidRDefault="008E7C56" w14:paraId="45F80806" w14:textId="6E3349BE">
      <w:pPr>
        <w:pStyle w:val="Heading3"/>
        <w:rPr>
          <w:b w:val="0"/>
        </w:rPr>
      </w:pPr>
      <w:r w:rsidRPr="008E7C56">
        <w:rPr>
          <w:b w:val="0"/>
          <w:i/>
        </w:rPr>
        <w:lastRenderedPageBreak/>
        <w:t xml:space="preserve">MHP Owner/Operator </w:t>
      </w:r>
      <w:r w:rsidR="00703BEB">
        <w:rPr>
          <w:b w:val="0"/>
          <w:bCs/>
          <w:i/>
        </w:rPr>
        <w:t>B</w:t>
      </w:r>
      <w:r w:rsidRPr="00703BEB" w:rsidR="00703BEB">
        <w:rPr>
          <w:b w:val="0"/>
          <w:bCs/>
          <w:i/>
        </w:rPr>
        <w:t>eyond-</w:t>
      </w:r>
      <w:r w:rsidR="00703BEB">
        <w:rPr>
          <w:b w:val="0"/>
          <w:bCs/>
          <w:i/>
        </w:rPr>
        <w:t>T</w:t>
      </w:r>
      <w:r w:rsidRPr="00703BEB" w:rsidR="00703BEB">
        <w:rPr>
          <w:b w:val="0"/>
          <w:bCs/>
          <w:i/>
        </w:rPr>
        <w:t>he-</w:t>
      </w:r>
      <w:r w:rsidR="00703BEB">
        <w:rPr>
          <w:b w:val="0"/>
          <w:bCs/>
          <w:i/>
        </w:rPr>
        <w:t>M</w:t>
      </w:r>
      <w:r w:rsidRPr="00703BEB" w:rsidR="00703BEB">
        <w:rPr>
          <w:b w:val="0"/>
          <w:bCs/>
          <w:i/>
        </w:rPr>
        <w:t>eter</w:t>
      </w:r>
      <w:r w:rsidRPr="008E7C56">
        <w:rPr>
          <w:b w:val="0"/>
          <w:i/>
        </w:rPr>
        <w:t xml:space="preserve"> Work Completion Deadline</w:t>
      </w:r>
    </w:p>
    <w:p w:rsidR="009B554A" w:rsidP="009A2015" w:rsidRDefault="00212597" w14:paraId="465EAF24" w14:textId="248B2176">
      <w:pPr>
        <w:rPr>
          <w:bCs/>
        </w:rPr>
      </w:pPr>
      <w:r w:rsidRPr="0AEE5C04">
        <w:t>MHP owners and operators are not optimistic about quickly repopulating their MHPs with new residents and indicate that Section 9.1.1.3</w:t>
      </w:r>
      <w:r>
        <w:rPr>
          <w:rStyle w:val="FootnoteReference"/>
        </w:rPr>
        <w:footnoteReference w:id="121"/>
      </w:r>
      <w:r w:rsidRPr="0AEE5C04">
        <w:t xml:space="preserve"> of the </w:t>
      </w:r>
      <w:r w:rsidR="00320988">
        <w:t>Butte County Mobilehome Park</w:t>
      </w:r>
      <w:r w:rsidRPr="0AEE5C04">
        <w:t xml:space="preserve"> Rebuild Program Agreement</w:t>
      </w:r>
      <w:r>
        <w:rPr>
          <w:bCs/>
        </w:rPr>
        <w:t xml:space="preserve"> </w:t>
      </w:r>
      <w:r w:rsidRPr="0AEE5C04">
        <w:t>should be deleted</w:t>
      </w:r>
      <w:r>
        <w:rPr>
          <w:bCs/>
        </w:rPr>
        <w:t>.</w:t>
      </w:r>
      <w:r w:rsidR="008F66F1">
        <w:rPr>
          <w:bCs/>
        </w:rPr>
        <w:t xml:space="preserve">  This section references the only portion of the work </w:t>
      </w:r>
      <w:r w:rsidR="00321890">
        <w:rPr>
          <w:bCs/>
        </w:rPr>
        <w:t xml:space="preserve">contemplated under the </w:t>
      </w:r>
      <w:r w:rsidRPr="008007D2" w:rsidR="008007D2">
        <w:rPr>
          <w:bCs/>
        </w:rPr>
        <w:t>Rebuild Program</w:t>
      </w:r>
      <w:r w:rsidR="00321890">
        <w:rPr>
          <w:bCs/>
        </w:rPr>
        <w:t xml:space="preserve"> </w:t>
      </w:r>
      <w:r w:rsidR="008F66F1">
        <w:rPr>
          <w:bCs/>
        </w:rPr>
        <w:t xml:space="preserve">that the MHP owner </w:t>
      </w:r>
      <w:r w:rsidR="00D54820">
        <w:rPr>
          <w:bCs/>
        </w:rPr>
        <w:t>may be</w:t>
      </w:r>
      <w:r w:rsidR="008F66F1">
        <w:rPr>
          <w:bCs/>
        </w:rPr>
        <w:t xml:space="preserve"> responsible for, </w:t>
      </w:r>
      <w:r w:rsidR="008F66F1">
        <w:t>the</w:t>
      </w:r>
      <w:r w:rsidRPr="0AEE5C04" w:rsidR="008F66F1">
        <w:t xml:space="preserve"> </w:t>
      </w:r>
      <w:r w:rsidRPr="00703BEB" w:rsidR="00703BEB">
        <w:rPr>
          <w:bCs/>
        </w:rPr>
        <w:t>beyond-the-meter</w:t>
      </w:r>
      <w:r w:rsidRPr="0AEE5C04" w:rsidR="008F66F1">
        <w:t xml:space="preserve"> work</w:t>
      </w:r>
      <w:r w:rsidR="00D54820">
        <w:t xml:space="preserve"> of installing the meter pedestals</w:t>
      </w:r>
      <w:r w:rsidR="00321890">
        <w:t>.</w:t>
      </w:r>
      <w:r>
        <w:rPr>
          <w:bCs/>
        </w:rPr>
        <w:t xml:space="preserve">  </w:t>
      </w:r>
      <w:r w:rsidRPr="00247AFE">
        <w:rPr>
          <w:bCs/>
        </w:rPr>
        <w:t xml:space="preserve"> </w:t>
      </w:r>
      <w:r w:rsidRPr="0AEE5C04">
        <w:t>Forest Glenn MHP, Pheasant Ridge Mobile Estate, Pine Springs MHP, and Ridgewood MHP have indicated in their protests that “it will take many years to repopulate our parks with mobilehomes and residents living in them.”</w:t>
      </w:r>
      <w:r w:rsidRPr="0AEE5C04">
        <w:rPr>
          <w:vertAlign w:val="superscript"/>
        </w:rPr>
        <w:footnoteReference w:id="122"/>
      </w:r>
      <w:r w:rsidR="00315EB2">
        <w:rPr>
          <w:bCs/>
        </w:rPr>
        <w:t xml:space="preserve"> Because the MHP owners</w:t>
      </w:r>
      <w:r w:rsidR="0070614D">
        <w:rPr>
          <w:bCs/>
        </w:rPr>
        <w:t xml:space="preserve"> and </w:t>
      </w:r>
      <w:r w:rsidR="00315EB2">
        <w:rPr>
          <w:bCs/>
        </w:rPr>
        <w:t xml:space="preserve">operators still need to install other </w:t>
      </w:r>
      <w:r w:rsidRPr="00703BEB" w:rsidR="00703BEB">
        <w:rPr>
          <w:bCs/>
        </w:rPr>
        <w:t>beyond-the-meter</w:t>
      </w:r>
      <w:r w:rsidR="00315EB2">
        <w:rPr>
          <w:bCs/>
        </w:rPr>
        <w:t xml:space="preserve"> equipment</w:t>
      </w:r>
      <w:r w:rsidR="00EE26ED">
        <w:rPr>
          <w:bCs/>
        </w:rPr>
        <w:t>, and may do so gradually as the</w:t>
      </w:r>
      <w:r w:rsidR="00315EB2">
        <w:rPr>
          <w:bCs/>
        </w:rPr>
        <w:t xml:space="preserve"> MHP is repopulated, MHP owners</w:t>
      </w:r>
      <w:r w:rsidR="0070614D">
        <w:rPr>
          <w:bCs/>
        </w:rPr>
        <w:t xml:space="preserve"> and </w:t>
      </w:r>
      <w:r w:rsidR="00315EB2">
        <w:rPr>
          <w:bCs/>
        </w:rPr>
        <w:t>operators might not be “</w:t>
      </w:r>
      <w:r w:rsidRPr="007727B5" w:rsidR="00315EB2">
        <w:rPr>
          <w:bCs/>
        </w:rPr>
        <w:t>ready to receive service</w:t>
      </w:r>
      <w:r w:rsidR="00315EB2">
        <w:rPr>
          <w:bCs/>
        </w:rPr>
        <w:t xml:space="preserve">” </w:t>
      </w:r>
      <w:r w:rsidRPr="007727B5" w:rsidR="00315EB2">
        <w:rPr>
          <w:bCs/>
        </w:rPr>
        <w:t xml:space="preserve">from PG&amp;E within </w:t>
      </w:r>
      <w:r w:rsidR="00315EB2">
        <w:rPr>
          <w:bCs/>
        </w:rPr>
        <w:t>twelve</w:t>
      </w:r>
      <w:r w:rsidRPr="007727B5" w:rsidR="00315EB2">
        <w:rPr>
          <w:bCs/>
        </w:rPr>
        <w:t xml:space="preserve"> (</w:t>
      </w:r>
      <w:r w:rsidR="00315EB2">
        <w:rPr>
          <w:bCs/>
        </w:rPr>
        <w:t>12</w:t>
      </w:r>
      <w:r w:rsidRPr="007727B5" w:rsidR="00315EB2">
        <w:rPr>
          <w:bCs/>
        </w:rPr>
        <w:t>) months of the execution of th</w:t>
      </w:r>
      <w:r w:rsidR="00315EB2">
        <w:rPr>
          <w:bCs/>
        </w:rPr>
        <w:t>e</w:t>
      </w:r>
      <w:r w:rsidRPr="007727B5" w:rsidR="00315EB2">
        <w:rPr>
          <w:bCs/>
        </w:rPr>
        <w:t xml:space="preserve"> </w:t>
      </w:r>
      <w:r w:rsidR="00320988">
        <w:rPr>
          <w:bCs/>
        </w:rPr>
        <w:t>a</w:t>
      </w:r>
      <w:r w:rsidRPr="007727B5" w:rsidR="00320988">
        <w:rPr>
          <w:bCs/>
        </w:rPr>
        <w:t>greement</w:t>
      </w:r>
      <w:r w:rsidR="00315EB2">
        <w:rPr>
          <w:bCs/>
        </w:rPr>
        <w:t xml:space="preserve">.  </w:t>
      </w:r>
      <w:r w:rsidR="00165BA6">
        <w:rPr>
          <w:bCs/>
        </w:rPr>
        <w:t xml:space="preserve">Therefore, it is not reasonable for PG&amp;E to cancel or suspend the </w:t>
      </w:r>
      <w:r w:rsidR="00506DD4">
        <w:rPr>
          <w:bCs/>
        </w:rPr>
        <w:t>Butte County</w:t>
      </w:r>
      <w:r w:rsidR="00165BA6">
        <w:rPr>
          <w:bCs/>
        </w:rPr>
        <w:t xml:space="preserve"> </w:t>
      </w:r>
      <w:r w:rsidRPr="000068A2" w:rsidR="000068A2">
        <w:rPr>
          <w:bCs/>
        </w:rPr>
        <w:t>Mobilehome</w:t>
      </w:r>
      <w:r w:rsidR="00506DD4">
        <w:rPr>
          <w:bCs/>
        </w:rPr>
        <w:t xml:space="preserve"> Park</w:t>
      </w:r>
      <w:r w:rsidRPr="00165BA6" w:rsidR="00165BA6">
        <w:rPr>
          <w:bCs/>
        </w:rPr>
        <w:t xml:space="preserve"> Rebuild Program Agreement</w:t>
      </w:r>
      <w:r w:rsidR="00165BA6">
        <w:rPr>
          <w:bCs/>
        </w:rPr>
        <w:t xml:space="preserve"> based on this condition.</w:t>
      </w:r>
    </w:p>
    <w:p w:rsidR="009B554A" w:rsidP="009A2015" w:rsidRDefault="009B554A" w14:paraId="5EFF10FF" w14:textId="77777777">
      <w:pPr>
        <w:rPr>
          <w:bCs/>
        </w:rPr>
      </w:pPr>
    </w:p>
    <w:p w:rsidR="009B554A" w:rsidP="009A2015" w:rsidRDefault="009B554A" w14:paraId="39C3BDFB" w14:textId="1A740326">
      <w:pPr>
        <w:rPr>
          <w:bCs/>
        </w:rPr>
      </w:pPr>
      <w:r w:rsidRPr="000D47A7">
        <w:rPr>
          <w:bCs/>
        </w:rPr>
        <w:t xml:space="preserve">PG&amp;E </w:t>
      </w:r>
      <w:r w:rsidR="00165BA6">
        <w:t>also</w:t>
      </w:r>
      <w:r w:rsidR="00850DFE">
        <w:t xml:space="preserve"> </w:t>
      </w:r>
      <w:r w:rsidRPr="000D47A7">
        <w:rPr>
          <w:bCs/>
        </w:rPr>
        <w:t>anticipates that it will take about three years to engineer and rebuild the utility</w:t>
      </w:r>
      <w:r>
        <w:rPr>
          <w:bCs/>
        </w:rPr>
        <w:t xml:space="preserve"> </w:t>
      </w:r>
      <w:r w:rsidRPr="000D47A7">
        <w:rPr>
          <w:bCs/>
        </w:rPr>
        <w:t>infrastructure for the mobilehome parks affected by the Camp Fire, assuming all</w:t>
      </w:r>
      <w:r>
        <w:rPr>
          <w:bCs/>
        </w:rPr>
        <w:t xml:space="preserve"> </w:t>
      </w:r>
      <w:r w:rsidRPr="000D47A7">
        <w:rPr>
          <w:bCs/>
        </w:rPr>
        <w:t>requirements and permits are obtained within a reasonable time frame from the various</w:t>
      </w:r>
      <w:r>
        <w:rPr>
          <w:bCs/>
        </w:rPr>
        <w:t xml:space="preserve"> </w:t>
      </w:r>
      <w:r w:rsidRPr="000D47A7">
        <w:rPr>
          <w:bCs/>
        </w:rPr>
        <w:t>agencies.</w:t>
      </w:r>
      <w:r>
        <w:rPr>
          <w:rStyle w:val="FootnoteReference"/>
          <w:bCs/>
        </w:rPr>
        <w:footnoteReference w:id="123"/>
      </w:r>
      <w:r>
        <w:rPr>
          <w:bCs/>
        </w:rPr>
        <w:t xml:space="preserve"> </w:t>
      </w:r>
      <w:r w:rsidRPr="000D47A7">
        <w:rPr>
          <w:bCs/>
        </w:rPr>
        <w:t xml:space="preserve"> </w:t>
      </w:r>
      <w:r w:rsidR="00DA75C0">
        <w:rPr>
          <w:bCs/>
        </w:rPr>
        <w:t xml:space="preserve">The </w:t>
      </w:r>
      <w:r>
        <w:rPr>
          <w:bCs/>
        </w:rPr>
        <w:t xml:space="preserve">CPUC </w:t>
      </w:r>
      <w:r w:rsidR="00DA75C0">
        <w:rPr>
          <w:bCs/>
        </w:rPr>
        <w:t>finds</w:t>
      </w:r>
      <w:r>
        <w:rPr>
          <w:bCs/>
        </w:rPr>
        <w:t xml:space="preserve"> that thirty-six months after execution of the agreement should be adequate time </w:t>
      </w:r>
      <w:r w:rsidR="00EE26ED">
        <w:rPr>
          <w:bCs/>
        </w:rPr>
        <w:t xml:space="preserve">for the MHP owners and operators </w:t>
      </w:r>
      <w:r>
        <w:rPr>
          <w:bCs/>
        </w:rPr>
        <w:t xml:space="preserve">to install the electric pedestals.  </w:t>
      </w:r>
      <w:r w:rsidR="00204286">
        <w:rPr>
          <w:bCs/>
        </w:rPr>
        <w:t xml:space="preserve">This is the only portion of the </w:t>
      </w:r>
      <w:r w:rsidRPr="00703BEB" w:rsidR="00703BEB">
        <w:rPr>
          <w:bCs/>
        </w:rPr>
        <w:t>beyond-the-meter</w:t>
      </w:r>
      <w:r w:rsidR="00204286">
        <w:rPr>
          <w:bCs/>
        </w:rPr>
        <w:t xml:space="preserve"> work that is needed in order for the MHP Owner to be ready to receive service from PG&amp;E.  </w:t>
      </w:r>
      <w:r>
        <w:rPr>
          <w:bCs/>
          <w:iCs/>
        </w:rPr>
        <w:t>Therefore, t</w:t>
      </w:r>
      <w:r w:rsidRPr="00643269">
        <w:rPr>
          <w:bCs/>
          <w:iCs/>
        </w:rPr>
        <w:t xml:space="preserve">he </w:t>
      </w:r>
      <w:r w:rsidRPr="008007D2" w:rsidR="008007D2">
        <w:rPr>
          <w:bCs/>
          <w:iCs/>
        </w:rPr>
        <w:t>Rebuild Program</w:t>
      </w:r>
      <w:r w:rsidRPr="00643269">
        <w:rPr>
          <w:bCs/>
          <w:iCs/>
        </w:rPr>
        <w:t xml:space="preserve"> does not need to be extended </w:t>
      </w:r>
      <w:r>
        <w:rPr>
          <w:bCs/>
          <w:iCs/>
        </w:rPr>
        <w:t>for a decade or more</w:t>
      </w:r>
      <w:r w:rsidR="00F516AE">
        <w:rPr>
          <w:bCs/>
          <w:iCs/>
        </w:rPr>
        <w:t>, as requested by the protestants,</w:t>
      </w:r>
      <w:r>
        <w:rPr>
          <w:bCs/>
          <w:iCs/>
        </w:rPr>
        <w:t xml:space="preserve"> </w:t>
      </w:r>
      <w:r w:rsidRPr="00643269">
        <w:rPr>
          <w:bCs/>
          <w:iCs/>
        </w:rPr>
        <w:t xml:space="preserve">because the electric pedestals </w:t>
      </w:r>
      <w:r w:rsidR="00A26408">
        <w:rPr>
          <w:bCs/>
          <w:iCs/>
        </w:rPr>
        <w:t xml:space="preserve">and gas meters </w:t>
      </w:r>
      <w:r w:rsidRPr="00643269">
        <w:rPr>
          <w:bCs/>
          <w:iCs/>
        </w:rPr>
        <w:t>can be installed before the MHPs are fully repopulated.</w:t>
      </w:r>
      <w:r w:rsidR="007523EC">
        <w:rPr>
          <w:bCs/>
        </w:rPr>
        <w:t xml:space="preserve"> </w:t>
      </w:r>
    </w:p>
    <w:p w:rsidR="00894EB4" w:rsidP="009A2015" w:rsidRDefault="00894EB4" w14:paraId="7C1B53E0" w14:textId="77777777"/>
    <w:p w:rsidR="00894EB4" w:rsidP="009A2015" w:rsidRDefault="00894EB4" w14:paraId="5600AD94" w14:textId="5D4AB2FF">
      <w:r w:rsidRPr="0AEE5C04">
        <w:lastRenderedPageBreak/>
        <w:t xml:space="preserve">PG&amp;E agreed </w:t>
      </w:r>
      <w:r w:rsidRPr="00C177F5">
        <w:t xml:space="preserve">with the MHP owners that </w:t>
      </w:r>
      <w:r w:rsidRPr="00703BEB" w:rsidR="00703BEB">
        <w:rPr>
          <w:bCs/>
        </w:rPr>
        <w:t>beyond-the-meter</w:t>
      </w:r>
      <w:r w:rsidRPr="00C177F5">
        <w:t xml:space="preserve"> services may not be ready within 12 months of the execution of the Butte County </w:t>
      </w:r>
      <w:r w:rsidRPr="000068A2" w:rsidR="000068A2">
        <w:rPr>
          <w:bCs/>
        </w:rPr>
        <w:t>Mobilehome</w:t>
      </w:r>
      <w:r w:rsidR="00506DD4">
        <w:rPr>
          <w:bCs/>
        </w:rPr>
        <w:t xml:space="preserve"> Park</w:t>
      </w:r>
      <w:r w:rsidRPr="00C177F5">
        <w:t xml:space="preserve"> Rebuild Program </w:t>
      </w:r>
      <w:r w:rsidR="00320988">
        <w:t>Agreement</w:t>
      </w:r>
      <w:r w:rsidRPr="00C177F5">
        <w:t>.</w:t>
      </w:r>
      <w:r w:rsidR="00DB1CE4">
        <w:rPr>
          <w:rStyle w:val="FootnoteReference"/>
        </w:rPr>
        <w:footnoteReference w:id="124"/>
      </w:r>
      <w:r w:rsidRPr="00C177F5">
        <w:t xml:space="preserve"> PG&amp;E indicated that it </w:t>
      </w:r>
      <w:r w:rsidRPr="00C177F5" w:rsidR="00213254">
        <w:t>would</w:t>
      </w:r>
      <w:r w:rsidRPr="00C177F5">
        <w:t xml:space="preserve"> submit a supplemental Advice Letter to 4116-G/5581-E </w:t>
      </w:r>
      <w:r w:rsidRPr="0AEE5C04">
        <w:t xml:space="preserve">to remove Section 9.1.1.3.  </w:t>
      </w:r>
    </w:p>
    <w:p w:rsidR="00894EB4" w:rsidP="009A2015" w:rsidRDefault="00894EB4" w14:paraId="730FF150" w14:textId="77777777"/>
    <w:p w:rsidR="00EE26ED" w:rsidP="00B6099B" w:rsidRDefault="00894EB4" w14:paraId="0FCEAB5C" w14:textId="77777777">
      <w:r>
        <w:t xml:space="preserve">PG&amp;E has not filed a supplemental Advice Letter to </w:t>
      </w:r>
      <w:r w:rsidRPr="00D52080">
        <w:t>4116-G/5581-E</w:t>
      </w:r>
      <w:r>
        <w:t xml:space="preserve">.  </w:t>
      </w:r>
    </w:p>
    <w:p w:rsidR="00EE26ED" w:rsidP="00B6099B" w:rsidRDefault="00EE26ED" w14:paraId="75381289" w14:textId="77777777"/>
    <w:p w:rsidR="00894EB4" w:rsidP="00B6099B" w:rsidRDefault="00894EB4" w14:paraId="45A96F24" w14:textId="452F9F94">
      <w:r>
        <w:t xml:space="preserve">This Resolution requires </w:t>
      </w:r>
      <w:r w:rsidRPr="00753F8A">
        <w:rPr>
          <w:snapToGrid w:val="0"/>
        </w:rPr>
        <w:t xml:space="preserve">PG&amp;E </w:t>
      </w:r>
      <w:r>
        <w:rPr>
          <w:snapToGrid w:val="0"/>
        </w:rPr>
        <w:t>to</w:t>
      </w:r>
      <w:r w:rsidRPr="00753F8A">
        <w:rPr>
          <w:snapToGrid w:val="0"/>
        </w:rPr>
        <w:t xml:space="preserve"> submit a Tier 1 </w:t>
      </w:r>
      <w:r w:rsidR="00932639">
        <w:rPr>
          <w:snapToGrid w:val="0"/>
        </w:rPr>
        <w:t xml:space="preserve">supplemental compliance </w:t>
      </w:r>
      <w:r w:rsidRPr="00753F8A">
        <w:rPr>
          <w:snapToGrid w:val="0"/>
        </w:rPr>
        <w:t xml:space="preserve">Advice Letter within 30 days </w:t>
      </w:r>
      <w:r>
        <w:rPr>
          <w:snapToGrid w:val="0"/>
        </w:rPr>
        <w:t>of</w:t>
      </w:r>
      <w:r w:rsidRPr="00753F8A">
        <w:rPr>
          <w:snapToGrid w:val="0"/>
        </w:rPr>
        <w:t xml:space="preserve"> the effective date of this Resolution updat</w:t>
      </w:r>
      <w:r>
        <w:rPr>
          <w:snapToGrid w:val="0"/>
        </w:rPr>
        <w:t>ing the</w:t>
      </w:r>
      <w:r w:rsidRPr="00753F8A">
        <w:rPr>
          <w:snapToGrid w:val="0"/>
        </w:rPr>
        <w:t xml:space="preserve"> Butte County </w:t>
      </w:r>
      <w:r w:rsidRPr="000068A2" w:rsidR="000068A2">
        <w:rPr>
          <w:bCs/>
          <w:snapToGrid w:val="0"/>
        </w:rPr>
        <w:t>Mobilehome</w:t>
      </w:r>
      <w:r w:rsidR="00506DD4">
        <w:rPr>
          <w:bCs/>
          <w:snapToGrid w:val="0"/>
        </w:rPr>
        <w:t xml:space="preserve"> Park</w:t>
      </w:r>
      <w:r w:rsidRPr="00753F8A">
        <w:rPr>
          <w:snapToGrid w:val="0"/>
        </w:rPr>
        <w:t xml:space="preserve"> Rebuild Program Agreement.</w:t>
      </w:r>
      <w:r>
        <w:rPr>
          <w:snapToGrid w:val="0"/>
        </w:rPr>
        <w:t xml:space="preserve">  PG&amp;E shall </w:t>
      </w:r>
      <w:r w:rsidR="00FF10DB">
        <w:rPr>
          <w:snapToGrid w:val="0"/>
        </w:rPr>
        <w:t xml:space="preserve">honor its previous commitment and </w:t>
      </w:r>
      <w:r w:rsidR="00180FDF">
        <w:rPr>
          <w:snapToGrid w:val="0"/>
        </w:rPr>
        <w:t>strike section 9.1.1.3 from this updated</w:t>
      </w:r>
      <w:r w:rsidR="00BF143F">
        <w:rPr>
          <w:snapToGrid w:val="0"/>
        </w:rPr>
        <w:t xml:space="preserve"> </w:t>
      </w:r>
      <w:r w:rsidR="00AC1B25">
        <w:rPr>
          <w:snapToGrid w:val="0"/>
        </w:rPr>
        <w:t>Agreement</w:t>
      </w:r>
      <w:r w:rsidR="00FF10DB">
        <w:rPr>
          <w:snapToGrid w:val="0"/>
        </w:rPr>
        <w:t>.</w:t>
      </w:r>
    </w:p>
    <w:p w:rsidR="00EE26ED" w:rsidP="00AA600A" w:rsidRDefault="00EE26ED" w14:paraId="58477EF9" w14:textId="77777777"/>
    <w:p w:rsidRPr="00C80046" w:rsidR="00624184" w:rsidP="00624184" w:rsidRDefault="00624184" w14:paraId="3AA7C834" w14:textId="4E1565B9">
      <w:pPr>
        <w:pStyle w:val="Heading3"/>
        <w:rPr>
          <w:b w:val="0"/>
          <w:i/>
        </w:rPr>
      </w:pPr>
      <w:r w:rsidRPr="00C80046">
        <w:rPr>
          <w:b w:val="0"/>
          <w:i/>
        </w:rPr>
        <w:t>Section</w:t>
      </w:r>
      <w:r w:rsidRPr="00C80046" w:rsidR="00B56901">
        <w:rPr>
          <w:b w:val="0"/>
          <w:i/>
        </w:rPr>
        <w:t>s</w:t>
      </w:r>
      <w:r w:rsidRPr="00C80046">
        <w:rPr>
          <w:b w:val="0"/>
          <w:i/>
        </w:rPr>
        <w:t xml:space="preserve"> of the </w:t>
      </w:r>
      <w:r w:rsidR="000068A2">
        <w:rPr>
          <w:b w:val="0"/>
          <w:i/>
        </w:rPr>
        <w:t xml:space="preserve">Butte County </w:t>
      </w:r>
      <w:r w:rsidRPr="000068A2" w:rsidR="000068A2">
        <w:rPr>
          <w:b w:val="0"/>
          <w:bCs/>
          <w:i/>
        </w:rPr>
        <w:t>Mobilehome</w:t>
      </w:r>
      <w:r w:rsidR="00D50FC7">
        <w:rPr>
          <w:b w:val="0"/>
          <w:bCs/>
          <w:i/>
        </w:rPr>
        <w:t xml:space="preserve"> Park</w:t>
      </w:r>
      <w:r w:rsidRPr="0016668D">
        <w:rPr>
          <w:i/>
        </w:rPr>
        <w:t xml:space="preserve"> </w:t>
      </w:r>
      <w:r w:rsidRPr="00C80046">
        <w:rPr>
          <w:b w:val="0"/>
          <w:i/>
        </w:rPr>
        <w:t xml:space="preserve">Rebuild Program Agreement on </w:t>
      </w:r>
      <w:r w:rsidRPr="00FE1D8F" w:rsidR="00555142">
        <w:rPr>
          <w:b w:val="0"/>
          <w:i/>
        </w:rPr>
        <w:t xml:space="preserve">Duration of the </w:t>
      </w:r>
      <w:r w:rsidRPr="008007D2" w:rsidR="008007D2">
        <w:rPr>
          <w:b w:val="0"/>
          <w:bCs/>
          <w:i/>
        </w:rPr>
        <w:t>Rebuild Program</w:t>
      </w:r>
    </w:p>
    <w:p w:rsidR="00296FDE" w:rsidP="009A2015" w:rsidRDefault="00D93159" w14:paraId="089697D5" w14:textId="12E2E08B">
      <w:pPr>
        <w:rPr>
          <w:bCs/>
        </w:rPr>
      </w:pPr>
      <w:r w:rsidRPr="0AEE5C04">
        <w:t>These protestants also suggest</w:t>
      </w:r>
      <w:r w:rsidR="009A6CD4">
        <w:t>ed</w:t>
      </w:r>
      <w:r w:rsidRPr="0AEE5C04">
        <w:t xml:space="preserve"> that PG&amp;E should revise Section 10.6 of the agreement</w:t>
      </w:r>
      <w:r w:rsidR="00932639">
        <w:rPr>
          <w:bCs/>
        </w:rPr>
        <w:t xml:space="preserve"> to </w:t>
      </w:r>
      <w:r w:rsidRPr="00165BA6" w:rsidR="00165BA6">
        <w:rPr>
          <w:bCs/>
          <w:iCs/>
        </w:rPr>
        <w:t xml:space="preserve">formally acknowledge that </w:t>
      </w:r>
      <w:r w:rsidRPr="0058204C">
        <w:rPr>
          <w:bCs/>
        </w:rPr>
        <w:t xml:space="preserve">the </w:t>
      </w:r>
      <w:r w:rsidRPr="008007D2" w:rsidR="008007D2">
        <w:rPr>
          <w:bCs/>
          <w:iCs/>
        </w:rPr>
        <w:t>Rebuild Program</w:t>
      </w:r>
      <w:r w:rsidRPr="00165BA6" w:rsidR="00165BA6">
        <w:rPr>
          <w:bCs/>
          <w:iCs/>
        </w:rPr>
        <w:t xml:space="preserve"> </w:t>
      </w:r>
      <w:r w:rsidR="00FB683F">
        <w:rPr>
          <w:bCs/>
          <w:iCs/>
        </w:rPr>
        <w:t>will</w:t>
      </w:r>
      <w:r w:rsidRPr="00165BA6" w:rsidR="00165BA6">
        <w:rPr>
          <w:bCs/>
          <w:iCs/>
        </w:rPr>
        <w:t xml:space="preserve"> be an active program for a decade or more while the MHPs in </w:t>
      </w:r>
      <w:r w:rsidRPr="0058204C">
        <w:rPr>
          <w:bCs/>
        </w:rPr>
        <w:t xml:space="preserve">Butte County </w:t>
      </w:r>
      <w:r w:rsidRPr="00165BA6" w:rsidR="00165BA6">
        <w:rPr>
          <w:bCs/>
          <w:iCs/>
        </w:rPr>
        <w:t>are repopulated</w:t>
      </w:r>
      <w:r w:rsidRPr="0AEE5C04">
        <w:t>.</w:t>
      </w:r>
      <w:r>
        <w:rPr>
          <w:rStyle w:val="FootnoteReference"/>
        </w:rPr>
        <w:footnoteReference w:id="125"/>
      </w:r>
      <w:r>
        <w:rPr>
          <w:bCs/>
        </w:rPr>
        <w:t xml:space="preserve">  </w:t>
      </w:r>
    </w:p>
    <w:p w:rsidR="00D93159" w:rsidP="009A2015" w:rsidRDefault="00D93159" w14:paraId="05992A88" w14:textId="3E9AE6CE">
      <w:pPr>
        <w:rPr>
          <w:bCs/>
        </w:rPr>
      </w:pPr>
      <w:r>
        <w:rPr>
          <w:bCs/>
        </w:rPr>
        <w:t xml:space="preserve">  </w:t>
      </w:r>
    </w:p>
    <w:p w:rsidR="00BC2FBE" w:rsidP="009A2015" w:rsidRDefault="00165BA6" w14:paraId="4ABA3CDC" w14:textId="04C294CA">
      <w:pPr>
        <w:rPr>
          <w:bCs/>
        </w:rPr>
      </w:pPr>
      <w:r w:rsidRPr="00165BA6">
        <w:rPr>
          <w:bCs/>
        </w:rPr>
        <w:t>PG&amp;E anticipates that it will take about three years to engineer and rebuild the utility infrastructure for the mobilehome parks affected by the Camp Fire, assuming all requirements and permits are obtained within a reasonable time frame from the various agencies.</w:t>
      </w:r>
      <w:r w:rsidRPr="00165BA6">
        <w:rPr>
          <w:bCs/>
          <w:vertAlign w:val="superscript"/>
        </w:rPr>
        <w:footnoteReference w:id="126"/>
      </w:r>
      <w:r w:rsidRPr="00165BA6">
        <w:rPr>
          <w:bCs/>
        </w:rPr>
        <w:t xml:space="preserve">  CPUC also believes that thirty-six months after execution of the agreement should be adequate time for the MHP owners and operators to install the electric pedestals.  </w:t>
      </w:r>
      <w:r w:rsidRPr="00D51C00" w:rsidR="00D51C00">
        <w:rPr>
          <w:bCs/>
        </w:rPr>
        <w:t xml:space="preserve">Although the MHP owners still </w:t>
      </w:r>
      <w:r w:rsidRPr="00D51C00" w:rsidR="00D51C00">
        <w:rPr>
          <w:bCs/>
        </w:rPr>
        <w:lastRenderedPageBreak/>
        <w:t xml:space="preserve">need to install other </w:t>
      </w:r>
      <w:r w:rsidRPr="00703BEB" w:rsidR="00703BEB">
        <w:rPr>
          <w:bCs/>
        </w:rPr>
        <w:t>beyond-the-meter</w:t>
      </w:r>
      <w:r w:rsidRPr="00D51C00" w:rsidR="00D51C00">
        <w:rPr>
          <w:bCs/>
        </w:rPr>
        <w:t xml:space="preserve"> equipment beyond the electric pedestals </w:t>
      </w:r>
      <w:r w:rsidRPr="00D51C00" w:rsidR="00D66F61">
        <w:rPr>
          <w:bCs/>
        </w:rPr>
        <w:t>to</w:t>
      </w:r>
      <w:r w:rsidRPr="00D51C00" w:rsidR="00D51C00">
        <w:rPr>
          <w:bCs/>
        </w:rPr>
        <w:t xml:space="preserve"> be ready to receive service from PG&amp;E,</w:t>
      </w:r>
      <w:r w:rsidRPr="00165BA6">
        <w:rPr>
          <w:bCs/>
          <w:iCs/>
        </w:rPr>
        <w:t xml:space="preserve"> the </w:t>
      </w:r>
      <w:r w:rsidRPr="008007D2" w:rsidR="008007D2">
        <w:rPr>
          <w:bCs/>
          <w:iCs/>
        </w:rPr>
        <w:t>Rebuild Program</w:t>
      </w:r>
      <w:r w:rsidRPr="00165BA6">
        <w:rPr>
          <w:bCs/>
          <w:iCs/>
        </w:rPr>
        <w:t xml:space="preserve"> does not need to be extended for a decade or more, as requested by the protestants, because the electric pedestals and gas meters can be installed before the MHPs are fully repopulated.</w:t>
      </w:r>
      <w:r w:rsidRPr="00165BA6">
        <w:rPr>
          <w:bCs/>
        </w:rPr>
        <w:t xml:space="preserve"> </w:t>
      </w:r>
    </w:p>
    <w:p w:rsidR="00BC2FBE" w:rsidP="009A2015" w:rsidRDefault="00BC2FBE" w14:paraId="3423CCFD" w14:textId="77777777">
      <w:pPr>
        <w:rPr>
          <w:bCs/>
        </w:rPr>
      </w:pPr>
    </w:p>
    <w:p w:rsidRPr="00165BA6" w:rsidR="00165BA6" w:rsidP="009A2015" w:rsidRDefault="00BC2FBE" w14:paraId="3E06810C" w14:textId="088F7A9F">
      <w:pPr>
        <w:rPr>
          <w:bCs/>
        </w:rPr>
      </w:pPr>
      <w:r>
        <w:rPr>
          <w:bCs/>
        </w:rPr>
        <w:t xml:space="preserve">Furthermore, </w:t>
      </w:r>
      <w:r w:rsidR="00D66F61">
        <w:rPr>
          <w:bCs/>
        </w:rPr>
        <w:t>to</w:t>
      </w:r>
      <w:r>
        <w:rPr>
          <w:bCs/>
        </w:rPr>
        <w:t xml:space="preserve"> avoid any misunderstanding of the MHP owner</w:t>
      </w:r>
      <w:r w:rsidR="0070614D">
        <w:rPr>
          <w:bCs/>
        </w:rPr>
        <w:t xml:space="preserve"> and </w:t>
      </w:r>
      <w:r>
        <w:rPr>
          <w:bCs/>
        </w:rPr>
        <w:t xml:space="preserve">operator related to the </w:t>
      </w:r>
      <w:r w:rsidRPr="00703BEB" w:rsidR="00703BEB">
        <w:rPr>
          <w:bCs/>
        </w:rPr>
        <w:t>beyond-the-meter</w:t>
      </w:r>
      <w:r>
        <w:rPr>
          <w:bCs/>
        </w:rPr>
        <w:t xml:space="preserve"> scope of work, </w:t>
      </w:r>
      <w:r w:rsidRPr="00BC2FBE">
        <w:rPr>
          <w:bCs/>
        </w:rPr>
        <w:t xml:space="preserve">Section 10.6 of the Butte County </w:t>
      </w:r>
      <w:r w:rsidRPr="000068A2" w:rsidR="000068A2">
        <w:rPr>
          <w:bCs/>
        </w:rPr>
        <w:t>Mobilehome</w:t>
      </w:r>
      <w:r w:rsidR="00506DD4">
        <w:rPr>
          <w:bCs/>
        </w:rPr>
        <w:t xml:space="preserve"> Park</w:t>
      </w:r>
      <w:r w:rsidRPr="00BC2FBE">
        <w:rPr>
          <w:bCs/>
        </w:rPr>
        <w:t xml:space="preserve"> Rebuild Program Agreement also </w:t>
      </w:r>
      <w:r w:rsidR="005118FE">
        <w:rPr>
          <w:bCs/>
        </w:rPr>
        <w:t>shall</w:t>
      </w:r>
      <w:r w:rsidRPr="00BC2FBE">
        <w:rPr>
          <w:bCs/>
        </w:rPr>
        <w:t xml:space="preserve"> be revised to clearly show that </w:t>
      </w:r>
      <w:r w:rsidRPr="00703BEB" w:rsidR="00703BEB">
        <w:rPr>
          <w:bCs/>
        </w:rPr>
        <w:t>beyond-the-meter</w:t>
      </w:r>
      <w:r w:rsidRPr="00BC2FBE">
        <w:rPr>
          <w:bCs/>
        </w:rPr>
        <w:t xml:space="preserve"> work is not reimbursable except for the installation of the electric pedestal.  </w:t>
      </w:r>
    </w:p>
    <w:p w:rsidR="00DE20BC" w:rsidP="00DE20BC" w:rsidRDefault="00DE20BC" w14:paraId="277A9369" w14:textId="77777777">
      <w:pPr>
        <w:spacing w:line="276" w:lineRule="auto"/>
        <w:rPr>
          <w:bCs/>
        </w:rPr>
      </w:pPr>
    </w:p>
    <w:p w:rsidRPr="00FE1D8F" w:rsidR="00DE3F0F" w:rsidP="00FE1D8F" w:rsidRDefault="00DE3F0F" w14:paraId="602D6FA6" w14:textId="57954DB8">
      <w:pPr>
        <w:pStyle w:val="Heading3"/>
        <w:rPr>
          <w:i/>
          <w:iCs/>
        </w:rPr>
      </w:pPr>
      <w:r w:rsidRPr="00FE1D8F">
        <w:rPr>
          <w:b w:val="0"/>
          <w:i/>
        </w:rPr>
        <w:t xml:space="preserve">Sections of the </w:t>
      </w:r>
      <w:r w:rsidR="000068A2">
        <w:rPr>
          <w:b w:val="0"/>
          <w:i/>
        </w:rPr>
        <w:t xml:space="preserve">Butte County </w:t>
      </w:r>
      <w:r w:rsidRPr="000068A2" w:rsidR="000068A2">
        <w:rPr>
          <w:b w:val="0"/>
          <w:bCs/>
          <w:i/>
        </w:rPr>
        <w:t>Mobilehome</w:t>
      </w:r>
      <w:r w:rsidR="00506DD4">
        <w:rPr>
          <w:b w:val="0"/>
          <w:bCs/>
          <w:i/>
        </w:rPr>
        <w:t xml:space="preserve"> Park</w:t>
      </w:r>
      <w:r w:rsidRPr="00FE1D8F">
        <w:rPr>
          <w:b w:val="0"/>
          <w:i/>
        </w:rPr>
        <w:t xml:space="preserve"> Rebuild Program Agreement on Indemnification Clause</w:t>
      </w:r>
    </w:p>
    <w:p w:rsidR="00F16A3A" w:rsidP="009A2015" w:rsidRDefault="00013196" w14:paraId="1B5A08DC" w14:textId="4EDCA3D6">
      <w:pPr>
        <w:rPr>
          <w:bCs/>
        </w:rPr>
      </w:pPr>
      <w:r>
        <w:rPr>
          <w:bCs/>
        </w:rPr>
        <w:t>MHP owners and operators also request</w:t>
      </w:r>
      <w:r w:rsidR="009B1D13">
        <w:rPr>
          <w:bCs/>
        </w:rPr>
        <w:t>ed</w:t>
      </w:r>
      <w:r>
        <w:rPr>
          <w:bCs/>
        </w:rPr>
        <w:t xml:space="preserve"> PG&amp;E to revise Section 12 </w:t>
      </w:r>
      <w:r w:rsidRPr="00013196">
        <w:rPr>
          <w:bCs/>
        </w:rPr>
        <w:t xml:space="preserve">of the </w:t>
      </w:r>
      <w:bookmarkStart w:name="_Hlk49183800" w:id="40"/>
      <w:r w:rsidR="000068A2">
        <w:rPr>
          <w:bCs/>
        </w:rPr>
        <w:t xml:space="preserve">Butte </w:t>
      </w:r>
      <w:r w:rsidR="002120AD">
        <w:rPr>
          <w:bCs/>
        </w:rPr>
        <w:t>County</w:t>
      </w:r>
      <w:r w:rsidR="000068A2">
        <w:rPr>
          <w:bCs/>
        </w:rPr>
        <w:t xml:space="preserve"> </w:t>
      </w:r>
      <w:r w:rsidRPr="000068A2" w:rsidR="000068A2">
        <w:rPr>
          <w:bCs/>
        </w:rPr>
        <w:t>Mobilehome</w:t>
      </w:r>
      <w:r w:rsidRPr="00013196" w:rsidR="000068A2">
        <w:rPr>
          <w:bCs/>
        </w:rPr>
        <w:t xml:space="preserve"> </w:t>
      </w:r>
      <w:r w:rsidR="00506DD4">
        <w:rPr>
          <w:bCs/>
        </w:rPr>
        <w:t>Park</w:t>
      </w:r>
      <w:r w:rsidRPr="00013196">
        <w:rPr>
          <w:bCs/>
        </w:rPr>
        <w:t xml:space="preserve"> Rebuild Program Agreement </w:t>
      </w:r>
      <w:bookmarkEnd w:id="40"/>
      <w:r w:rsidRPr="00013196">
        <w:rPr>
          <w:bCs/>
        </w:rPr>
        <w:t xml:space="preserve">to </w:t>
      </w:r>
      <w:r w:rsidR="009B1D13">
        <w:rPr>
          <w:bCs/>
        </w:rPr>
        <w:t>achieve</w:t>
      </w:r>
      <w:r w:rsidRPr="00013196" w:rsidR="009B1D13">
        <w:rPr>
          <w:bCs/>
        </w:rPr>
        <w:t xml:space="preserve"> </w:t>
      </w:r>
      <w:r w:rsidRPr="00013196">
        <w:rPr>
          <w:bCs/>
        </w:rPr>
        <w:t>a more balanced indemnification clau</w:t>
      </w:r>
      <w:r w:rsidR="00F40F88">
        <w:rPr>
          <w:bCs/>
        </w:rPr>
        <w:t xml:space="preserve">se.  </w:t>
      </w:r>
      <w:r w:rsidR="00992748">
        <w:rPr>
          <w:bCs/>
        </w:rPr>
        <w:t>Since t</w:t>
      </w:r>
      <w:r w:rsidRPr="00992748" w:rsidR="00992748">
        <w:rPr>
          <w:bCs/>
        </w:rPr>
        <w:t>h</w:t>
      </w:r>
      <w:r w:rsidR="00992748">
        <w:rPr>
          <w:bCs/>
        </w:rPr>
        <w:t>is</w:t>
      </w:r>
      <w:r w:rsidRPr="00992748" w:rsidR="00992748">
        <w:rPr>
          <w:bCs/>
        </w:rPr>
        <w:t xml:space="preserve"> indemnification clause is also included in the </w:t>
      </w:r>
      <w:r w:rsidR="00BC44D2">
        <w:rPr>
          <w:bCs/>
        </w:rPr>
        <w:t xml:space="preserve">CPUC-approved </w:t>
      </w:r>
      <w:r w:rsidR="00320988">
        <w:rPr>
          <w:bCs/>
        </w:rPr>
        <w:t xml:space="preserve">Butte County </w:t>
      </w:r>
      <w:r w:rsidRPr="000068A2" w:rsidR="000068A2">
        <w:rPr>
          <w:bCs/>
        </w:rPr>
        <w:t>Mobilehome</w:t>
      </w:r>
      <w:r w:rsidR="00506DD4">
        <w:rPr>
          <w:bCs/>
        </w:rPr>
        <w:t xml:space="preserve"> Park</w:t>
      </w:r>
      <w:r w:rsidRPr="00992748" w:rsidR="00992748">
        <w:rPr>
          <w:bCs/>
        </w:rPr>
        <w:t xml:space="preserve"> Utility Upgrade Program Agreement (Form 79-1165)</w:t>
      </w:r>
      <w:r w:rsidR="00BD4AF1">
        <w:rPr>
          <w:bCs/>
        </w:rPr>
        <w:t xml:space="preserve"> </w:t>
      </w:r>
      <w:r w:rsidR="00DB3C44">
        <w:rPr>
          <w:bCs/>
        </w:rPr>
        <w:t xml:space="preserve">and </w:t>
      </w:r>
      <w:r w:rsidR="00504C29">
        <w:rPr>
          <w:bCs/>
        </w:rPr>
        <w:t xml:space="preserve">has </w:t>
      </w:r>
      <w:r w:rsidR="00BC44D2">
        <w:rPr>
          <w:bCs/>
        </w:rPr>
        <w:t xml:space="preserve">been </w:t>
      </w:r>
      <w:r w:rsidR="00FA25AA">
        <w:rPr>
          <w:bCs/>
        </w:rPr>
        <w:t>i</w:t>
      </w:r>
      <w:r w:rsidR="005F1A44">
        <w:rPr>
          <w:bCs/>
        </w:rPr>
        <w:t>ncluded in</w:t>
      </w:r>
      <w:r w:rsidR="00504C29">
        <w:rPr>
          <w:bCs/>
        </w:rPr>
        <w:t xml:space="preserve"> </w:t>
      </w:r>
      <w:r w:rsidR="00DB3C44">
        <w:rPr>
          <w:bCs/>
        </w:rPr>
        <w:t xml:space="preserve">executed </w:t>
      </w:r>
      <w:r w:rsidR="005F1A44">
        <w:rPr>
          <w:bCs/>
        </w:rPr>
        <w:t xml:space="preserve">contracts </w:t>
      </w:r>
      <w:r w:rsidR="00DB3C44">
        <w:rPr>
          <w:bCs/>
        </w:rPr>
        <w:t xml:space="preserve">in </w:t>
      </w:r>
      <w:r w:rsidR="00E30171">
        <w:rPr>
          <w:bCs/>
        </w:rPr>
        <w:t xml:space="preserve">the </w:t>
      </w:r>
      <w:r w:rsidR="00DB3C44">
        <w:rPr>
          <w:bCs/>
        </w:rPr>
        <w:t xml:space="preserve">MHP </w:t>
      </w:r>
      <w:r w:rsidR="00E30171">
        <w:rPr>
          <w:bCs/>
        </w:rPr>
        <w:t>Pilot for many years</w:t>
      </w:r>
      <w:r w:rsidR="00BD4AF1">
        <w:rPr>
          <w:bCs/>
        </w:rPr>
        <w:t xml:space="preserve">, </w:t>
      </w:r>
      <w:r w:rsidR="00C224EC">
        <w:rPr>
          <w:bCs/>
        </w:rPr>
        <w:t xml:space="preserve">Section 12 of the </w:t>
      </w:r>
      <w:r w:rsidRPr="006C6A00" w:rsidR="008B5EF6">
        <w:rPr>
          <w:bCs/>
        </w:rPr>
        <w:t xml:space="preserve">Butte County </w:t>
      </w:r>
      <w:r w:rsidRPr="000068A2" w:rsidR="000068A2">
        <w:rPr>
          <w:bCs/>
        </w:rPr>
        <w:t>Mobilehome</w:t>
      </w:r>
      <w:r w:rsidR="00506DD4">
        <w:rPr>
          <w:bCs/>
        </w:rPr>
        <w:t xml:space="preserve"> Park</w:t>
      </w:r>
      <w:r w:rsidRPr="006C6A00" w:rsidR="008B5EF6">
        <w:rPr>
          <w:bCs/>
        </w:rPr>
        <w:t xml:space="preserve"> Rebuild Program Agreement</w:t>
      </w:r>
      <w:r w:rsidR="008B5EF6">
        <w:rPr>
          <w:bCs/>
        </w:rPr>
        <w:t xml:space="preserve"> </w:t>
      </w:r>
      <w:r w:rsidRPr="00F863AF" w:rsidR="00F863AF">
        <w:rPr>
          <w:bCs/>
        </w:rPr>
        <w:t>should remain unchanged</w:t>
      </w:r>
      <w:r w:rsidR="008D3629">
        <w:rPr>
          <w:bCs/>
        </w:rPr>
        <w:t>.</w:t>
      </w:r>
      <w:r w:rsidR="00846DB6">
        <w:rPr>
          <w:bCs/>
        </w:rPr>
        <w:t xml:space="preserve">  </w:t>
      </w:r>
      <w:r w:rsidR="00932639">
        <w:rPr>
          <w:bCs/>
        </w:rPr>
        <w:t>We note</w:t>
      </w:r>
      <w:r w:rsidRPr="00846DB6" w:rsidR="00846DB6">
        <w:rPr>
          <w:bCs/>
        </w:rPr>
        <w:t xml:space="preserve"> that PG&amp;E is </w:t>
      </w:r>
      <w:r w:rsidR="00932639">
        <w:rPr>
          <w:bCs/>
        </w:rPr>
        <w:t xml:space="preserve">already </w:t>
      </w:r>
      <w:r w:rsidRPr="00846DB6" w:rsidR="00846DB6">
        <w:rPr>
          <w:bCs/>
        </w:rPr>
        <w:t>responsible for the “active gross negligence or willful misconduct of PG&amp;E”, as stated in the indemnification clause.</w:t>
      </w:r>
    </w:p>
    <w:p w:rsidRPr="006C6A00" w:rsidR="00E43F80" w:rsidP="006C6A00" w:rsidRDefault="00E43F80" w14:paraId="25040210" w14:textId="77777777">
      <w:pPr>
        <w:spacing w:line="276" w:lineRule="auto"/>
        <w:rPr>
          <w:bCs/>
        </w:rPr>
      </w:pPr>
    </w:p>
    <w:p w:rsidRPr="005F2A8B" w:rsidR="009F1F06" w:rsidP="00DB1CE4" w:rsidRDefault="009F1F06" w14:paraId="6F0D4C30" w14:textId="68E64522">
      <w:pPr>
        <w:pStyle w:val="Heading2"/>
        <w:numPr>
          <w:ilvl w:val="0"/>
          <w:numId w:val="0"/>
        </w:numPr>
      </w:pPr>
      <w:r w:rsidRPr="005F2A8B">
        <w:t xml:space="preserve">Policy Precedent </w:t>
      </w:r>
      <w:r w:rsidR="005C4F9B">
        <w:t>for</w:t>
      </w:r>
      <w:r w:rsidRPr="005F2A8B" w:rsidR="005C4F9B">
        <w:t xml:space="preserve"> </w:t>
      </w:r>
      <w:r w:rsidRPr="005F2A8B">
        <w:t>Similar Disasters</w:t>
      </w:r>
    </w:p>
    <w:p w:rsidR="0074487E" w:rsidP="009A2015" w:rsidRDefault="009F1F06" w14:paraId="5B09C3AC" w14:textId="2C0ADFB2">
      <w:pPr>
        <w:spacing w:after="200"/>
        <w:rPr>
          <w:bCs/>
        </w:rPr>
      </w:pPr>
      <w:r w:rsidRPr="00E14B8C">
        <w:rPr>
          <w:bCs/>
        </w:rPr>
        <w:t xml:space="preserve">Of the </w:t>
      </w:r>
      <w:r w:rsidRPr="00DC4D3C">
        <w:rPr>
          <w:bCs/>
        </w:rPr>
        <w:t xml:space="preserve">36 MHPs </w:t>
      </w:r>
      <w:r w:rsidRPr="00E14B8C">
        <w:rPr>
          <w:bCs/>
        </w:rPr>
        <w:t xml:space="preserve">in </w:t>
      </w:r>
      <w:r w:rsidR="00202CBD">
        <w:rPr>
          <w:bCs/>
        </w:rPr>
        <w:t>the</w:t>
      </w:r>
      <w:r w:rsidRPr="00E14B8C">
        <w:rPr>
          <w:bCs/>
        </w:rPr>
        <w:t xml:space="preserve"> </w:t>
      </w:r>
      <w:r w:rsidRPr="008007D2" w:rsidR="008007D2">
        <w:rPr>
          <w:bCs/>
        </w:rPr>
        <w:t>Rebuild Program</w:t>
      </w:r>
      <w:r w:rsidRPr="00E14B8C">
        <w:rPr>
          <w:bCs/>
        </w:rPr>
        <w:t xml:space="preserve">, only one had fully converted to direct utility service under the MHP Pilot.  </w:t>
      </w:r>
      <w:r w:rsidR="00793769">
        <w:rPr>
          <w:bCs/>
        </w:rPr>
        <w:t>T</w:t>
      </w:r>
      <w:r w:rsidRPr="00DC4D3C">
        <w:rPr>
          <w:bCs/>
        </w:rPr>
        <w:t xml:space="preserve">his MHP’s </w:t>
      </w:r>
      <w:r w:rsidR="00C84710">
        <w:rPr>
          <w:bCs/>
        </w:rPr>
        <w:t>to-the-meter</w:t>
      </w:r>
      <w:r w:rsidRPr="00DC4D3C">
        <w:rPr>
          <w:bCs/>
        </w:rPr>
        <w:t xml:space="preserve"> electric and gas distribution systems belongs to PG&amp;E</w:t>
      </w:r>
      <w:r w:rsidR="002B7D18">
        <w:rPr>
          <w:bCs/>
        </w:rPr>
        <w:t>.</w:t>
      </w:r>
      <w:r w:rsidRPr="00DC4D3C">
        <w:rPr>
          <w:bCs/>
        </w:rPr>
        <w:t xml:space="preserve"> </w:t>
      </w:r>
      <w:r w:rsidR="00FE7AA6">
        <w:rPr>
          <w:bCs/>
        </w:rPr>
        <w:t xml:space="preserve"> However, t</w:t>
      </w:r>
      <w:r w:rsidRPr="00793769" w:rsidR="00793769">
        <w:rPr>
          <w:bCs/>
        </w:rPr>
        <w:t xml:space="preserve">here are also other direct-metered </w:t>
      </w:r>
      <w:r w:rsidR="002245E6">
        <w:rPr>
          <w:bCs/>
        </w:rPr>
        <w:t xml:space="preserve">and master-metered </w:t>
      </w:r>
      <w:r w:rsidRPr="00793769" w:rsidR="00793769">
        <w:rPr>
          <w:bCs/>
        </w:rPr>
        <w:t>MHPs in the Rebuild Program.</w:t>
      </w:r>
      <w:r w:rsidR="00A15C41">
        <w:rPr>
          <w:rStyle w:val="FootnoteReference"/>
          <w:bCs/>
        </w:rPr>
        <w:footnoteReference w:id="127"/>
      </w:r>
      <w:r w:rsidRPr="00793769" w:rsidR="00793769">
        <w:rPr>
          <w:bCs/>
        </w:rPr>
        <w:t xml:space="preserve">  </w:t>
      </w:r>
      <w:r w:rsidR="002245E6">
        <w:rPr>
          <w:bCs/>
        </w:rPr>
        <w:t>T</w:t>
      </w:r>
      <w:r w:rsidRPr="00DC4D3C" w:rsidR="002245E6">
        <w:rPr>
          <w:bCs/>
        </w:rPr>
        <w:t xml:space="preserve">he </w:t>
      </w:r>
      <w:r w:rsidR="0091790A">
        <w:rPr>
          <w:bCs/>
        </w:rPr>
        <w:t>beyond-</w:t>
      </w:r>
      <w:r w:rsidR="00157F45">
        <w:rPr>
          <w:bCs/>
        </w:rPr>
        <w:t>the</w:t>
      </w:r>
      <w:r w:rsidR="005440DB">
        <w:rPr>
          <w:bCs/>
        </w:rPr>
        <w:t>-</w:t>
      </w:r>
      <w:r w:rsidR="00157F45">
        <w:rPr>
          <w:bCs/>
        </w:rPr>
        <w:t xml:space="preserve">meter </w:t>
      </w:r>
      <w:r w:rsidRPr="00DC4D3C">
        <w:rPr>
          <w:bCs/>
        </w:rPr>
        <w:t xml:space="preserve">distribution systems of the </w:t>
      </w:r>
      <w:r w:rsidR="00157F45">
        <w:rPr>
          <w:bCs/>
        </w:rPr>
        <w:t>master-metered</w:t>
      </w:r>
      <w:r w:rsidRPr="00DC4D3C" w:rsidR="00157F45">
        <w:rPr>
          <w:bCs/>
        </w:rPr>
        <w:t xml:space="preserve"> </w:t>
      </w:r>
      <w:r w:rsidRPr="00DC4D3C">
        <w:rPr>
          <w:bCs/>
        </w:rPr>
        <w:t xml:space="preserve">MHPs are private property.  </w:t>
      </w:r>
      <w:r>
        <w:rPr>
          <w:bCs/>
        </w:rPr>
        <w:lastRenderedPageBreak/>
        <w:t xml:space="preserve">PG&amp;E initiated the </w:t>
      </w:r>
      <w:r w:rsidR="00B70E48">
        <w:rPr>
          <w:bCs/>
        </w:rPr>
        <w:t xml:space="preserve">Butte County </w:t>
      </w:r>
      <w:r>
        <w:rPr>
          <w:bCs/>
        </w:rPr>
        <w:t>mobilehome park rebuild effort in 2019 and has</w:t>
      </w:r>
      <w:r w:rsidRPr="00351DFC">
        <w:rPr>
          <w:bCs/>
        </w:rPr>
        <w:t xml:space="preserve"> not indicated whether it will seek recovery for the</w:t>
      </w:r>
      <w:r>
        <w:rPr>
          <w:bCs/>
        </w:rPr>
        <w:t xml:space="preserve">se </w:t>
      </w:r>
      <w:r w:rsidRPr="00351DFC">
        <w:rPr>
          <w:bCs/>
        </w:rPr>
        <w:t>costs.</w:t>
      </w:r>
      <w:r>
        <w:rPr>
          <w:bCs/>
        </w:rPr>
        <w:t xml:space="preserve">  </w:t>
      </w:r>
    </w:p>
    <w:p w:rsidR="009F1F06" w:rsidP="009A2015" w:rsidRDefault="009F1F06" w14:paraId="6C30B9B5" w14:textId="4D74451E">
      <w:pPr>
        <w:spacing w:after="200"/>
        <w:rPr>
          <w:bCs/>
        </w:rPr>
      </w:pPr>
      <w:r>
        <w:rPr>
          <w:bCs/>
        </w:rPr>
        <w:t xml:space="preserve">PG&amp;E also indicated that it wants to </w:t>
      </w:r>
      <w:r w:rsidRPr="000F09F5">
        <w:rPr>
          <w:bCs/>
        </w:rPr>
        <w:t>implement</w:t>
      </w:r>
      <w:r>
        <w:rPr>
          <w:bCs/>
        </w:rPr>
        <w:t xml:space="preserve"> </w:t>
      </w:r>
      <w:r w:rsidRPr="000F09F5">
        <w:rPr>
          <w:bCs/>
        </w:rPr>
        <w:t>the use of the agreement as soon as practicable despite PG&amp;E’s current uncertainty over</w:t>
      </w:r>
      <w:r>
        <w:rPr>
          <w:bCs/>
        </w:rPr>
        <w:t xml:space="preserve"> </w:t>
      </w:r>
      <w:r w:rsidRPr="000F09F5">
        <w:rPr>
          <w:bCs/>
        </w:rPr>
        <w:t>whether its costs will be recovered.</w:t>
      </w:r>
      <w:r>
        <w:rPr>
          <w:bCs/>
        </w:rPr>
        <w:t xml:space="preserve">  </w:t>
      </w:r>
      <w:r w:rsidRPr="00E14B8C">
        <w:rPr>
          <w:bCs/>
        </w:rPr>
        <w:t xml:space="preserve">The </w:t>
      </w:r>
      <w:r w:rsidRPr="008007D2" w:rsidR="008007D2">
        <w:rPr>
          <w:bCs/>
        </w:rPr>
        <w:t>Rebuild Program</w:t>
      </w:r>
      <w:r w:rsidRPr="00DC4D3C">
        <w:rPr>
          <w:bCs/>
        </w:rPr>
        <w:t>, as proposed,</w:t>
      </w:r>
      <w:r>
        <w:rPr>
          <w:bCs/>
        </w:rPr>
        <w:t xml:space="preserve"> allows PG&amp;E to continue the work with defined project scopes </w:t>
      </w:r>
      <w:r w:rsidRPr="00DC4D3C">
        <w:rPr>
          <w:bCs/>
        </w:rPr>
        <w:t>for the loss of th</w:t>
      </w:r>
      <w:r>
        <w:rPr>
          <w:bCs/>
        </w:rPr>
        <w:t>ese</w:t>
      </w:r>
      <w:r w:rsidRPr="00DC4D3C">
        <w:rPr>
          <w:bCs/>
        </w:rPr>
        <w:t xml:space="preserve"> private propert</w:t>
      </w:r>
      <w:r>
        <w:rPr>
          <w:bCs/>
        </w:rPr>
        <w:t>ies</w:t>
      </w:r>
      <w:r w:rsidRPr="00DC4D3C">
        <w:rPr>
          <w:bCs/>
        </w:rPr>
        <w:t xml:space="preserve">.  </w:t>
      </w:r>
      <w:r w:rsidRPr="00532D3B" w:rsidR="00532D3B">
        <w:rPr>
          <w:bCs/>
        </w:rPr>
        <w:t xml:space="preserve">PG&amp;E is not required to retrofit construction in progress </w:t>
      </w:r>
      <w:r w:rsidR="00F16D0D">
        <w:rPr>
          <w:bCs/>
        </w:rPr>
        <w:t>a</w:t>
      </w:r>
      <w:r w:rsidR="002F5889">
        <w:rPr>
          <w:bCs/>
        </w:rPr>
        <w:t>s of</w:t>
      </w:r>
      <w:r w:rsidR="00F16D0D">
        <w:rPr>
          <w:bCs/>
        </w:rPr>
        <w:t xml:space="preserve"> the effective date of this resolution </w:t>
      </w:r>
      <w:r w:rsidR="00FC557E">
        <w:rPr>
          <w:bCs/>
        </w:rPr>
        <w:t xml:space="preserve">or </w:t>
      </w:r>
      <w:r w:rsidRPr="00532D3B" w:rsidR="00532D3B">
        <w:rPr>
          <w:bCs/>
        </w:rPr>
        <w:t xml:space="preserve">mobilehome parks </w:t>
      </w:r>
      <w:r w:rsidR="00660996">
        <w:rPr>
          <w:bCs/>
        </w:rPr>
        <w:t xml:space="preserve">completed </w:t>
      </w:r>
      <w:r w:rsidR="002E7890">
        <w:rPr>
          <w:bCs/>
        </w:rPr>
        <w:t xml:space="preserve">through </w:t>
      </w:r>
      <w:r w:rsidRPr="00532D3B" w:rsidR="00532D3B">
        <w:rPr>
          <w:bCs/>
        </w:rPr>
        <w:t>the Butte County Mobilehome Park Rebuild Program to satisfy the requirements set forth in this Resolution.</w:t>
      </w:r>
      <w:r w:rsidR="00B811A4">
        <w:rPr>
          <w:bCs/>
        </w:rPr>
        <w:t xml:space="preserve">  </w:t>
      </w:r>
      <w:r>
        <w:rPr>
          <w:bCs/>
        </w:rPr>
        <w:t>However</w:t>
      </w:r>
      <w:r w:rsidRPr="00DC4D3C">
        <w:rPr>
          <w:bCs/>
        </w:rPr>
        <w:t xml:space="preserve">, approval of this Advice Letter </w:t>
      </w:r>
      <w:r w:rsidR="003058BF">
        <w:rPr>
          <w:bCs/>
        </w:rPr>
        <w:t xml:space="preserve">does </w:t>
      </w:r>
      <w:r>
        <w:rPr>
          <w:bCs/>
        </w:rPr>
        <w:t>not</w:t>
      </w:r>
      <w:r w:rsidRPr="00DC4D3C">
        <w:rPr>
          <w:bCs/>
        </w:rPr>
        <w:t xml:space="preserve"> set a precedent </w:t>
      </w:r>
      <w:r>
        <w:rPr>
          <w:bCs/>
        </w:rPr>
        <w:t xml:space="preserve">on how the CPUC would authorize project scopes and track expenses in </w:t>
      </w:r>
      <w:r w:rsidRPr="00DC4D3C">
        <w:rPr>
          <w:bCs/>
        </w:rPr>
        <w:t xml:space="preserve">similar </w:t>
      </w:r>
      <w:r>
        <w:rPr>
          <w:bCs/>
        </w:rPr>
        <w:t>disasters</w:t>
      </w:r>
      <w:r w:rsidRPr="00DC4D3C">
        <w:rPr>
          <w:bCs/>
        </w:rPr>
        <w:t xml:space="preserve"> in the future</w:t>
      </w:r>
      <w:r>
        <w:rPr>
          <w:bCs/>
        </w:rPr>
        <w:t xml:space="preserve"> since the scope of the rebuild effort is unique</w:t>
      </w:r>
      <w:r w:rsidRPr="00DC4D3C">
        <w:rPr>
          <w:bCs/>
        </w:rPr>
        <w:t>.</w:t>
      </w:r>
      <w:r w:rsidR="00A41BB3">
        <w:rPr>
          <w:bCs/>
        </w:rPr>
        <w:t xml:space="preserve"> </w:t>
      </w:r>
    </w:p>
    <w:p w:rsidRPr="00E14B8C" w:rsidR="00E43F80" w:rsidP="009F1F06" w:rsidRDefault="00E43F80" w14:paraId="550FAB9B" w14:textId="77777777">
      <w:pPr>
        <w:spacing w:after="200" w:line="276" w:lineRule="auto"/>
        <w:rPr>
          <w:bCs/>
        </w:rPr>
      </w:pPr>
    </w:p>
    <w:p w:rsidRPr="005F2A8B" w:rsidR="005F2A8B" w:rsidP="00C4475D" w:rsidRDefault="003850AD" w14:paraId="4A6C66E7" w14:textId="1660C814">
      <w:pPr>
        <w:pStyle w:val="Heading1"/>
      </w:pPr>
      <w:r>
        <w:t>Conclusion</w:t>
      </w:r>
    </w:p>
    <w:p w:rsidRPr="00382604" w:rsidR="005F2A8B" w:rsidP="009A2015" w:rsidRDefault="00E81576" w14:paraId="16E3DC01" w14:textId="008C7937">
      <w:pPr>
        <w:rPr>
          <w:bCs/>
        </w:rPr>
      </w:pPr>
      <w:r w:rsidRPr="00766F18">
        <w:rPr>
          <w:bCs/>
        </w:rPr>
        <w:t>Based on the factors weighed above</w:t>
      </w:r>
      <w:r w:rsidRPr="00766F18" w:rsidR="005F2A8B">
        <w:rPr>
          <w:bCs/>
        </w:rPr>
        <w:t xml:space="preserve">, </w:t>
      </w:r>
      <w:r w:rsidRPr="00B706B4" w:rsidR="00647808">
        <w:rPr>
          <w:bCs/>
        </w:rPr>
        <w:t xml:space="preserve">the </w:t>
      </w:r>
      <w:r w:rsidR="00F86910">
        <w:rPr>
          <w:bCs/>
        </w:rPr>
        <w:t>CPUC</w:t>
      </w:r>
      <w:r w:rsidRPr="00B706B4" w:rsidR="00647808">
        <w:rPr>
          <w:bCs/>
        </w:rPr>
        <w:t xml:space="preserve"> </w:t>
      </w:r>
      <w:r w:rsidRPr="00B706B4" w:rsidR="005F2A8B">
        <w:rPr>
          <w:bCs/>
        </w:rPr>
        <w:t>approve</w:t>
      </w:r>
      <w:r w:rsidRPr="00B706B4" w:rsidR="00647808">
        <w:rPr>
          <w:bCs/>
        </w:rPr>
        <w:t>s</w:t>
      </w:r>
      <w:r w:rsidRPr="00B706B4" w:rsidR="005F2A8B">
        <w:rPr>
          <w:bCs/>
        </w:rPr>
        <w:t xml:space="preserve"> </w:t>
      </w:r>
      <w:r w:rsidR="008E3610">
        <w:rPr>
          <w:bCs/>
        </w:rPr>
        <w:t xml:space="preserve">with modifications </w:t>
      </w:r>
      <w:r w:rsidRPr="00B706B4" w:rsidR="005F2A8B">
        <w:rPr>
          <w:bCs/>
        </w:rPr>
        <w:t xml:space="preserve">the request </w:t>
      </w:r>
      <w:r w:rsidRPr="008B6448" w:rsidR="008B6448">
        <w:rPr>
          <w:bCs/>
        </w:rPr>
        <w:t xml:space="preserve">to establish a Butte County Mobilehome Park Rebuild Program Agreement (Form 79-1201) </w:t>
      </w:r>
      <w:r w:rsidRPr="00B706B4" w:rsidR="005F2A8B">
        <w:rPr>
          <w:bCs/>
        </w:rPr>
        <w:t xml:space="preserve">with </w:t>
      </w:r>
      <w:r w:rsidR="008B6448">
        <w:rPr>
          <w:bCs/>
        </w:rPr>
        <w:t>this</w:t>
      </w:r>
      <w:r w:rsidRPr="00B706B4" w:rsidR="008B6448">
        <w:rPr>
          <w:bCs/>
        </w:rPr>
        <w:t xml:space="preserve"> </w:t>
      </w:r>
      <w:r w:rsidRPr="00B706B4" w:rsidR="005F2A8B">
        <w:rPr>
          <w:bCs/>
        </w:rPr>
        <w:t>Resolution</w:t>
      </w:r>
      <w:r w:rsidR="00422090">
        <w:rPr>
          <w:bCs/>
        </w:rPr>
        <w:t>.</w:t>
      </w:r>
      <w:r w:rsidRPr="00B706B4" w:rsidR="005F2A8B">
        <w:rPr>
          <w:bCs/>
        </w:rPr>
        <w:t xml:space="preserve"> </w:t>
      </w:r>
    </w:p>
    <w:p w:rsidRPr="00382604" w:rsidR="00647808" w:rsidP="009A2015" w:rsidRDefault="00647808" w14:paraId="36B19125" w14:textId="77777777">
      <w:pPr>
        <w:spacing w:after="200"/>
        <w:contextualSpacing/>
        <w:rPr>
          <w:bCs/>
        </w:rPr>
      </w:pPr>
    </w:p>
    <w:p w:rsidRPr="00382604" w:rsidR="00711778" w:rsidP="009A2015" w:rsidRDefault="005F2A8B" w14:paraId="338861F2" w14:textId="40397CB8">
      <w:pPr>
        <w:spacing w:after="200"/>
        <w:contextualSpacing/>
        <w:rPr>
          <w:bCs/>
        </w:rPr>
      </w:pPr>
      <w:bookmarkStart w:name="_Hlk32934489" w:id="41"/>
      <w:r w:rsidRPr="00382604">
        <w:rPr>
          <w:bCs/>
        </w:rPr>
        <w:t>Th</w:t>
      </w:r>
      <w:r w:rsidRPr="00382604" w:rsidR="00CA0899">
        <w:rPr>
          <w:bCs/>
        </w:rPr>
        <w:t>is</w:t>
      </w:r>
      <w:r w:rsidRPr="00382604">
        <w:rPr>
          <w:bCs/>
        </w:rPr>
        <w:t xml:space="preserve"> Resolution </w:t>
      </w:r>
      <w:r w:rsidR="00932639">
        <w:rPr>
          <w:bCs/>
        </w:rPr>
        <w:t>finds reasonable</w:t>
      </w:r>
      <w:r w:rsidRPr="00382604">
        <w:rPr>
          <w:bCs/>
        </w:rPr>
        <w:t xml:space="preserve"> the following </w:t>
      </w:r>
      <w:r w:rsidR="0088508B">
        <w:rPr>
          <w:bCs/>
        </w:rPr>
        <w:t xml:space="preserve">protest </w:t>
      </w:r>
      <w:r w:rsidRPr="00382604">
        <w:rPr>
          <w:bCs/>
        </w:rPr>
        <w:t>proposals:</w:t>
      </w:r>
    </w:p>
    <w:p w:rsidRPr="00382604" w:rsidR="005F2A8B" w:rsidP="009A2015" w:rsidRDefault="00455335" w14:paraId="314CCDA5" w14:textId="38347C2B">
      <w:pPr>
        <w:numPr>
          <w:ilvl w:val="1"/>
          <w:numId w:val="23"/>
        </w:numPr>
        <w:spacing w:after="200"/>
        <w:contextualSpacing/>
        <w:rPr>
          <w:bCs/>
        </w:rPr>
      </w:pPr>
      <w:r w:rsidRPr="00455335">
        <w:rPr>
          <w:bCs/>
        </w:rPr>
        <w:t xml:space="preserve">PG&amp;E shall have discretion to place </w:t>
      </w:r>
      <w:r>
        <w:rPr>
          <w:bCs/>
        </w:rPr>
        <w:t>e</w:t>
      </w:r>
      <w:r w:rsidRPr="00382604" w:rsidR="00291171">
        <w:rPr>
          <w:bCs/>
        </w:rPr>
        <w:t>lectric and gas u</w:t>
      </w:r>
      <w:r w:rsidRPr="00382604" w:rsidR="005F2A8B">
        <w:rPr>
          <w:bCs/>
        </w:rPr>
        <w:t>tilit</w:t>
      </w:r>
      <w:r>
        <w:rPr>
          <w:bCs/>
        </w:rPr>
        <w:t>y</w:t>
      </w:r>
      <w:r w:rsidRPr="00382604" w:rsidR="005F2A8B">
        <w:rPr>
          <w:bCs/>
        </w:rPr>
        <w:t xml:space="preserve"> </w:t>
      </w:r>
      <w:r w:rsidRPr="00455335">
        <w:rPr>
          <w:bCs/>
        </w:rPr>
        <w:t xml:space="preserve">routes according to the needs of this </w:t>
      </w:r>
      <w:r w:rsidRPr="00455335" w:rsidR="00C5606C">
        <w:rPr>
          <w:bCs/>
        </w:rPr>
        <w:t>program and</w:t>
      </w:r>
      <w:r w:rsidRPr="00455335">
        <w:rPr>
          <w:bCs/>
        </w:rPr>
        <w:t xml:space="preserve"> are</w:t>
      </w:r>
      <w:r w:rsidRPr="00382604" w:rsidR="00273DBD">
        <w:rPr>
          <w:bCs/>
        </w:rPr>
        <w:t xml:space="preserve"> not</w:t>
      </w:r>
      <w:r w:rsidRPr="00382604" w:rsidR="005F2A8B">
        <w:rPr>
          <w:bCs/>
        </w:rPr>
        <w:t xml:space="preserve"> </w:t>
      </w:r>
      <w:r w:rsidRPr="00455335">
        <w:rPr>
          <w:bCs/>
        </w:rPr>
        <w:t xml:space="preserve">required </w:t>
      </w:r>
      <w:r w:rsidRPr="00382604" w:rsidR="005F2A8B">
        <w:rPr>
          <w:bCs/>
        </w:rPr>
        <w:t xml:space="preserve">to place </w:t>
      </w:r>
      <w:r>
        <w:rPr>
          <w:bCs/>
        </w:rPr>
        <w:t xml:space="preserve">them </w:t>
      </w:r>
      <w:r w:rsidRPr="00382604" w:rsidR="005F2A8B">
        <w:rPr>
          <w:bCs/>
        </w:rPr>
        <w:t>in the streets</w:t>
      </w:r>
      <w:r w:rsidR="0088508B">
        <w:rPr>
          <w:bCs/>
        </w:rPr>
        <w:t xml:space="preserve">.  </w:t>
      </w:r>
      <w:r w:rsidRPr="00382604" w:rsidR="005F2A8B">
        <w:rPr>
          <w:bCs/>
        </w:rPr>
        <w:t>PG&amp;E sh</w:t>
      </w:r>
      <w:r w:rsidR="000B20BC">
        <w:rPr>
          <w:bCs/>
        </w:rPr>
        <w:t>all</w:t>
      </w:r>
      <w:r w:rsidRPr="00382604" w:rsidR="005F2A8B">
        <w:rPr>
          <w:bCs/>
        </w:rPr>
        <w:t xml:space="preserve"> take into consideration the most economic, convenient, and efficient service route</w:t>
      </w:r>
      <w:r w:rsidR="00375841">
        <w:rPr>
          <w:bCs/>
        </w:rPr>
        <w:t xml:space="preserve"> </w:t>
      </w:r>
      <w:r w:rsidRPr="00375841" w:rsidR="00375841">
        <w:rPr>
          <w:bCs/>
        </w:rPr>
        <w:t xml:space="preserve">in which utilities could be </w:t>
      </w:r>
      <w:r w:rsidRPr="005440DB" w:rsidR="005440DB">
        <w:rPr>
          <w:bCs/>
        </w:rPr>
        <w:t>better positioned with respect to the mobile homes, considering the park’s other constraints,</w:t>
      </w:r>
      <w:r w:rsidR="005440DB">
        <w:rPr>
          <w:bCs/>
        </w:rPr>
        <w:t xml:space="preserve"> </w:t>
      </w:r>
      <w:r w:rsidRPr="00375841" w:rsidR="00375841">
        <w:rPr>
          <w:bCs/>
        </w:rPr>
        <w:t>and away from the street</w:t>
      </w:r>
      <w:r w:rsidRPr="00382604" w:rsidR="005F2A8B">
        <w:rPr>
          <w:bCs/>
        </w:rPr>
        <w:t>.</w:t>
      </w:r>
    </w:p>
    <w:p w:rsidRPr="00477079" w:rsidR="00A2374F" w:rsidP="00CF37EA" w:rsidRDefault="005F2A8B" w14:paraId="30BDA782" w14:textId="61219687">
      <w:pPr>
        <w:numPr>
          <w:ilvl w:val="1"/>
          <w:numId w:val="23"/>
        </w:numPr>
        <w:spacing w:after="200"/>
        <w:contextualSpacing/>
      </w:pPr>
      <w:r w:rsidRPr="00872A33">
        <w:t xml:space="preserve">PG&amp;E </w:t>
      </w:r>
      <w:r w:rsidRPr="00CF37EA" w:rsidR="00AB2C64">
        <w:t xml:space="preserve">shall </w:t>
      </w:r>
      <w:r w:rsidRPr="0080125E">
        <w:t xml:space="preserve">develop a strategy to avoid service routes that might damage salvageable </w:t>
      </w:r>
      <w:r w:rsidRPr="00825578" w:rsidR="00455335">
        <w:t xml:space="preserve">non-energy </w:t>
      </w:r>
      <w:r w:rsidRPr="003E5D23">
        <w:t>utilities</w:t>
      </w:r>
      <w:r w:rsidRPr="003E5D23" w:rsidR="006D44DA">
        <w:t>, such as by crossing septic system leach fields</w:t>
      </w:r>
      <w:r w:rsidRPr="00015FF8">
        <w:t>.</w:t>
      </w:r>
      <w:r w:rsidRPr="00015FF8" w:rsidR="006E3678">
        <w:t xml:space="preserve">  PG&amp;E shall implement the minimum measures as discussed under the </w:t>
      </w:r>
      <w:r w:rsidRPr="00DD720C" w:rsidR="00E67963">
        <w:t xml:space="preserve">heading </w:t>
      </w:r>
      <w:r w:rsidRPr="00CC13EA" w:rsidR="00986371">
        <w:t>“</w:t>
      </w:r>
      <w:r w:rsidRPr="00CC13EA" w:rsidR="00BD7116">
        <w:rPr>
          <w:i/>
        </w:rPr>
        <w:t>Damage</w:t>
      </w:r>
      <w:r w:rsidRPr="00CC13EA" w:rsidR="006E3678">
        <w:rPr>
          <w:i/>
        </w:rPr>
        <w:t xml:space="preserve"> to Existing Salvag</w:t>
      </w:r>
      <w:r w:rsidRPr="00976D6B" w:rsidR="006E3678">
        <w:rPr>
          <w:i/>
        </w:rPr>
        <w:t xml:space="preserve">eable Utilities and Underground Facilities </w:t>
      </w:r>
      <w:r w:rsidRPr="00976D6B" w:rsidR="00986371">
        <w:t>“</w:t>
      </w:r>
      <w:r w:rsidRPr="00E3020F" w:rsidR="006E3678">
        <w:t>in the “Discussion” section of this resolution.</w:t>
      </w:r>
      <w:r w:rsidRPr="00477079" w:rsidR="00842E49">
        <w:t xml:space="preserve"> </w:t>
      </w:r>
      <w:bookmarkStart w:name="_Hlk56612015" w:id="42"/>
    </w:p>
    <w:p w:rsidR="005F2A8B" w:rsidP="009A2015" w:rsidRDefault="00842E49" w14:paraId="64666790" w14:textId="6FDBA0D4">
      <w:pPr>
        <w:numPr>
          <w:ilvl w:val="1"/>
          <w:numId w:val="23"/>
        </w:numPr>
        <w:spacing w:after="200"/>
        <w:contextualSpacing/>
        <w:rPr>
          <w:bCs/>
        </w:rPr>
      </w:pPr>
      <w:r w:rsidRPr="00842E49">
        <w:rPr>
          <w:bCs/>
        </w:rPr>
        <w:t xml:space="preserve">Section 6.5.4 of the Butte County </w:t>
      </w:r>
      <w:r w:rsidRPr="000068A2" w:rsidR="000068A2">
        <w:rPr>
          <w:bCs/>
        </w:rPr>
        <w:t>Mobilehome</w:t>
      </w:r>
      <w:r w:rsidR="00506DD4">
        <w:rPr>
          <w:bCs/>
        </w:rPr>
        <w:t xml:space="preserve"> Park</w:t>
      </w:r>
      <w:r w:rsidRPr="00842E49">
        <w:rPr>
          <w:bCs/>
        </w:rPr>
        <w:t xml:space="preserve"> Rebuild Program Agreement </w:t>
      </w:r>
      <w:r w:rsidR="00D43BF9">
        <w:rPr>
          <w:bCs/>
        </w:rPr>
        <w:t>shall</w:t>
      </w:r>
      <w:r w:rsidRPr="00842E49">
        <w:rPr>
          <w:bCs/>
        </w:rPr>
        <w:t xml:space="preserve"> be revised to read: “PG&amp;E shall not remove the existing legacy system owned by the MHPs, unless </w:t>
      </w:r>
      <w:r w:rsidRPr="0064655B" w:rsidR="0064655B">
        <w:rPr>
          <w:bCs/>
        </w:rPr>
        <w:t xml:space="preserve">removal is </w:t>
      </w:r>
      <w:r w:rsidRPr="00842E49">
        <w:rPr>
          <w:bCs/>
        </w:rPr>
        <w:t xml:space="preserve">necessary and </w:t>
      </w:r>
      <w:r w:rsidRPr="0064655B" w:rsidR="0064655B">
        <w:rPr>
          <w:bCs/>
        </w:rPr>
        <w:t>the</w:t>
      </w:r>
      <w:r w:rsidRPr="00842E49">
        <w:rPr>
          <w:bCs/>
        </w:rPr>
        <w:t xml:space="preserve"> MHP owner’s permission </w:t>
      </w:r>
      <w:r w:rsidRPr="0064655B" w:rsidR="0064655B">
        <w:rPr>
          <w:bCs/>
        </w:rPr>
        <w:t>has been obtained</w:t>
      </w:r>
      <w:r w:rsidRPr="00842E49">
        <w:rPr>
          <w:bCs/>
        </w:rPr>
        <w:t xml:space="preserve">. PG&amp;E shall ensure that the new and the existing legacy systems are </w:t>
      </w:r>
      <w:r w:rsidR="00C25B20">
        <w:rPr>
          <w:bCs/>
        </w:rPr>
        <w:t xml:space="preserve">both </w:t>
      </w:r>
      <w:r w:rsidRPr="00842E49">
        <w:rPr>
          <w:bCs/>
        </w:rPr>
        <w:t xml:space="preserve">electrically and physically isolated from each other.  PG&amp;E shall not </w:t>
      </w:r>
      <w:r w:rsidRPr="00842E49">
        <w:rPr>
          <w:bCs/>
        </w:rPr>
        <w:lastRenderedPageBreak/>
        <w:t>incur any expenses associated with the removal or retirement of the existing system</w:t>
      </w:r>
      <w:r w:rsidRPr="00CE3516" w:rsidR="00CE3516">
        <w:rPr>
          <w:bCs/>
        </w:rPr>
        <w:t xml:space="preserve"> owned by the MHP owners</w:t>
      </w:r>
      <w:r w:rsidRPr="00842E49">
        <w:rPr>
          <w:bCs/>
        </w:rPr>
        <w:t xml:space="preserve"> under the MHP Rebuild program. </w:t>
      </w:r>
      <w:r w:rsidR="00C21E03">
        <w:rPr>
          <w:bCs/>
        </w:rPr>
        <w:t xml:space="preserve"> </w:t>
      </w:r>
      <w:r w:rsidRPr="00842E49">
        <w:rPr>
          <w:bCs/>
        </w:rPr>
        <w:t xml:space="preserve">Should removal of the legacy distribution system </w:t>
      </w:r>
      <w:r w:rsidRPr="00CE3516" w:rsidR="00CE3516">
        <w:rPr>
          <w:bCs/>
        </w:rPr>
        <w:t xml:space="preserve">owned by the MHP owners </w:t>
      </w:r>
      <w:r w:rsidRPr="00842E49">
        <w:rPr>
          <w:bCs/>
        </w:rPr>
        <w:t xml:space="preserve">be necessary to complete the MHP </w:t>
      </w:r>
      <w:r w:rsidR="008D78FB">
        <w:rPr>
          <w:bCs/>
        </w:rPr>
        <w:t>R</w:t>
      </w:r>
      <w:r w:rsidRPr="00842E49">
        <w:rPr>
          <w:bCs/>
        </w:rPr>
        <w:t>ebuild program, such costs may at PG&amp;E’s discretion be included in the MHP Rebuild Program if it is necessary and can be done so efficiently</w:t>
      </w:r>
      <w:r w:rsidR="00450C70">
        <w:rPr>
          <w:bCs/>
        </w:rPr>
        <w:t>.”</w:t>
      </w:r>
      <w:bookmarkEnd w:id="42"/>
    </w:p>
    <w:p w:rsidRPr="002F1011" w:rsidR="00971DF3" w:rsidP="009A2015" w:rsidRDefault="00DA04D7" w14:paraId="274A0E8A" w14:textId="780D8854">
      <w:pPr>
        <w:numPr>
          <w:ilvl w:val="1"/>
          <w:numId w:val="23"/>
        </w:numPr>
        <w:spacing w:after="200"/>
        <w:contextualSpacing/>
        <w:rPr>
          <w:rFonts w:ascii="Palatino Linotype" w:hAnsi="Palatino Linotype" w:eastAsia="Calibri"/>
          <w:szCs w:val="26"/>
        </w:rPr>
      </w:pPr>
      <w:bookmarkStart w:name="_Hlk53651995" w:id="43"/>
      <w:r w:rsidRPr="00DA04D7">
        <w:rPr>
          <w:bCs/>
          <w:iCs/>
        </w:rPr>
        <w:t xml:space="preserve">PG&amp;E </w:t>
      </w:r>
      <w:r w:rsidRPr="00A77142">
        <w:rPr>
          <w:bCs/>
          <w:iCs/>
        </w:rPr>
        <w:t xml:space="preserve">should remove section 9.1.1.3 of the </w:t>
      </w:r>
      <w:r w:rsidR="000068A2">
        <w:rPr>
          <w:bCs/>
          <w:iCs/>
        </w:rPr>
        <w:t xml:space="preserve">Butte County </w:t>
      </w:r>
      <w:r w:rsidRPr="000068A2" w:rsidR="000068A2">
        <w:rPr>
          <w:bCs/>
          <w:iCs/>
        </w:rPr>
        <w:t>Mobilehome</w:t>
      </w:r>
      <w:r w:rsidR="00506DD4">
        <w:rPr>
          <w:bCs/>
          <w:iCs/>
        </w:rPr>
        <w:t xml:space="preserve"> Park</w:t>
      </w:r>
      <w:r w:rsidRPr="00AE689A" w:rsidR="00AE689A">
        <w:rPr>
          <w:bCs/>
          <w:iCs/>
        </w:rPr>
        <w:t xml:space="preserve"> Rebuild Program Agreement </w:t>
      </w:r>
      <w:r w:rsidRPr="00A77142">
        <w:rPr>
          <w:bCs/>
          <w:iCs/>
        </w:rPr>
        <w:t xml:space="preserve">which currently </w:t>
      </w:r>
      <w:r w:rsidR="006D44DA">
        <w:rPr>
          <w:bCs/>
          <w:iCs/>
        </w:rPr>
        <w:t>reads</w:t>
      </w:r>
      <w:r w:rsidRPr="00A77142">
        <w:rPr>
          <w:bCs/>
          <w:iCs/>
        </w:rPr>
        <w:t>: “The failure or inability of the</w:t>
      </w:r>
      <w:r w:rsidRPr="00DA04D7">
        <w:rPr>
          <w:bCs/>
          <w:iCs/>
        </w:rPr>
        <w:t xml:space="preserve"> MHP Owner/Operator to complete the work and be ready to receive service from PG&amp;E within twelve (12) months of the execution of this Agreement; or”. </w:t>
      </w:r>
      <w:bookmarkEnd w:id="43"/>
      <w:r w:rsidRPr="00DA04D7">
        <w:rPr>
          <w:bCs/>
          <w:iCs/>
        </w:rPr>
        <w:t xml:space="preserve"> </w:t>
      </w:r>
    </w:p>
    <w:p w:rsidRPr="009A4E27" w:rsidR="00711778" w:rsidP="009A2015" w:rsidRDefault="00711778" w14:paraId="23694556" w14:textId="77777777">
      <w:pPr>
        <w:spacing w:after="200"/>
        <w:ind w:left="1080"/>
        <w:contextualSpacing/>
        <w:rPr>
          <w:rFonts w:ascii="Palatino Linotype" w:hAnsi="Palatino Linotype" w:eastAsia="Calibri"/>
          <w:szCs w:val="26"/>
        </w:rPr>
      </w:pPr>
    </w:p>
    <w:p w:rsidRPr="00382604" w:rsidR="005F2A8B" w:rsidP="009A2015" w:rsidRDefault="005F2A8B" w14:paraId="5DC73765" w14:textId="7E033184">
      <w:pPr>
        <w:spacing w:after="200"/>
        <w:contextualSpacing/>
        <w:rPr>
          <w:bCs/>
        </w:rPr>
      </w:pPr>
      <w:r w:rsidRPr="00382604">
        <w:rPr>
          <w:bCs/>
        </w:rPr>
        <w:t>Th</w:t>
      </w:r>
      <w:r w:rsidRPr="00382604" w:rsidR="00CA0899">
        <w:rPr>
          <w:bCs/>
        </w:rPr>
        <w:t>is</w:t>
      </w:r>
      <w:r w:rsidRPr="00382604">
        <w:rPr>
          <w:bCs/>
        </w:rPr>
        <w:t xml:space="preserve"> Resolution reject</w:t>
      </w:r>
      <w:r w:rsidR="00CE5642">
        <w:rPr>
          <w:bCs/>
        </w:rPr>
        <w:t>s</w:t>
      </w:r>
      <w:r w:rsidRPr="00382604">
        <w:rPr>
          <w:bCs/>
        </w:rPr>
        <w:t xml:space="preserve"> </w:t>
      </w:r>
      <w:r w:rsidR="00932639">
        <w:rPr>
          <w:bCs/>
        </w:rPr>
        <w:t>the following</w:t>
      </w:r>
      <w:r w:rsidRPr="00382604" w:rsidR="00932639">
        <w:rPr>
          <w:bCs/>
        </w:rPr>
        <w:t xml:space="preserve"> </w:t>
      </w:r>
      <w:r w:rsidRPr="00382604">
        <w:rPr>
          <w:bCs/>
        </w:rPr>
        <w:t xml:space="preserve">proposals </w:t>
      </w:r>
      <w:r w:rsidR="00932639">
        <w:rPr>
          <w:bCs/>
        </w:rPr>
        <w:t xml:space="preserve">submitted </w:t>
      </w:r>
      <w:r w:rsidRPr="00382604">
        <w:rPr>
          <w:bCs/>
        </w:rPr>
        <w:t>in protest</w:t>
      </w:r>
      <w:r w:rsidR="00932639">
        <w:rPr>
          <w:bCs/>
        </w:rPr>
        <w:t>s</w:t>
      </w:r>
      <w:r w:rsidR="00806C9F">
        <w:rPr>
          <w:bCs/>
        </w:rPr>
        <w:t>:</w:t>
      </w:r>
      <w:r w:rsidRPr="00382604">
        <w:rPr>
          <w:bCs/>
        </w:rPr>
        <w:t xml:space="preserve"> </w:t>
      </w:r>
    </w:p>
    <w:p w:rsidRPr="001315FC" w:rsidR="005F2A8B" w:rsidP="009A2015" w:rsidRDefault="000779CF" w14:paraId="3EA50026" w14:textId="2EDB56EC">
      <w:pPr>
        <w:numPr>
          <w:ilvl w:val="1"/>
          <w:numId w:val="23"/>
        </w:numPr>
        <w:spacing w:after="200"/>
        <w:contextualSpacing/>
        <w:rPr>
          <w:bCs/>
        </w:rPr>
      </w:pPr>
      <w:r w:rsidRPr="001315FC">
        <w:rPr>
          <w:bCs/>
        </w:rPr>
        <w:t>E</w:t>
      </w:r>
      <w:r w:rsidRPr="001315FC" w:rsidR="005F2A8B">
        <w:rPr>
          <w:bCs/>
        </w:rPr>
        <w:t xml:space="preserve">lectric service </w:t>
      </w:r>
      <w:r w:rsidR="008A29B0">
        <w:t>should</w:t>
      </w:r>
      <w:r w:rsidRPr="00382604" w:rsidR="00AB2C64">
        <w:t xml:space="preserve"> </w:t>
      </w:r>
      <w:r w:rsidRPr="00382604" w:rsidR="005F2A8B">
        <w:t>be at least 150 amps or 200 amps</w:t>
      </w:r>
      <w:r w:rsidR="00912D6F">
        <w:t>.</w:t>
      </w:r>
      <w:r w:rsidRPr="00382604" w:rsidR="005F2A8B">
        <w:t xml:space="preserve">  </w:t>
      </w:r>
      <w:r w:rsidRPr="008007D2" w:rsidR="008007D2">
        <w:rPr>
          <w:bCs/>
        </w:rPr>
        <w:t>Rebuild Program</w:t>
      </w:r>
      <w:r w:rsidRPr="00382604" w:rsidR="005F2A8B">
        <w:t xml:space="preserve"> is</w:t>
      </w:r>
      <w:r w:rsidR="00A526F4">
        <w:t xml:space="preserve"> not intended to provide utility service upgrades, but </w:t>
      </w:r>
      <w:r w:rsidRPr="00382604" w:rsidR="005F2A8B">
        <w:t xml:space="preserve">to install infrastructure that provides </w:t>
      </w:r>
      <w:r w:rsidR="005B215B">
        <w:t>either</w:t>
      </w:r>
      <w:r w:rsidR="002B1B94">
        <w:t xml:space="preserve"> </w:t>
      </w:r>
      <w:r w:rsidRPr="00382604" w:rsidR="005F2A8B">
        <w:t xml:space="preserve">the same level </w:t>
      </w:r>
      <w:r w:rsidRPr="001315FC" w:rsidR="005F2A8B">
        <w:rPr>
          <w:bCs/>
        </w:rPr>
        <w:t>of utility service</w:t>
      </w:r>
      <w:r w:rsidR="002B1B94">
        <w:rPr>
          <w:bCs/>
        </w:rPr>
        <w:t xml:space="preserve"> found</w:t>
      </w:r>
      <w:r w:rsidRPr="001315FC" w:rsidR="005F2A8B">
        <w:rPr>
          <w:bCs/>
        </w:rPr>
        <w:t xml:space="preserve"> at the MHP prior to the impact of the Camp Fire or</w:t>
      </w:r>
      <w:r w:rsidRPr="001315FC" w:rsidR="00A526F4">
        <w:rPr>
          <w:bCs/>
        </w:rPr>
        <w:t xml:space="preserve"> </w:t>
      </w:r>
      <w:r w:rsidR="002B1B94">
        <w:rPr>
          <w:bCs/>
        </w:rPr>
        <w:t xml:space="preserve">service meeting </w:t>
      </w:r>
      <w:r w:rsidRPr="00382604" w:rsidR="005F2A8B">
        <w:t>current utility standards</w:t>
      </w:r>
      <w:r w:rsidR="00CF70EB">
        <w:t xml:space="preserve"> (a minimum of 100 amps)</w:t>
      </w:r>
      <w:r w:rsidRPr="00382604" w:rsidR="005F2A8B">
        <w:t xml:space="preserve"> and applicable code</w:t>
      </w:r>
      <w:r w:rsidR="00C50846">
        <w:t>.</w:t>
      </w:r>
      <w:r w:rsidR="00284DB5">
        <w:t xml:space="preserve">  </w:t>
      </w:r>
      <w:r w:rsidRPr="00743E32" w:rsidR="00743E32">
        <w:t xml:space="preserve"> </w:t>
      </w:r>
      <w:r w:rsidR="00FC0DD2">
        <w:t>However, t</w:t>
      </w:r>
      <w:r w:rsidRPr="00743E32" w:rsidR="00743E32">
        <w:t xml:space="preserve">he </w:t>
      </w:r>
      <w:r w:rsidR="00F86910">
        <w:t>CPUC</w:t>
      </w:r>
      <w:r w:rsidRPr="00743E32" w:rsidR="00743E32">
        <w:t xml:space="preserve"> conclude</w:t>
      </w:r>
      <w:r w:rsidR="00AE79AC">
        <w:t>s</w:t>
      </w:r>
      <w:r w:rsidRPr="00743E32" w:rsidR="00743E32">
        <w:t xml:space="preserve"> that the</w:t>
      </w:r>
      <w:r w:rsidR="00431F02">
        <w:t xml:space="preserve"> </w:t>
      </w:r>
      <w:r w:rsidR="00DD3893">
        <w:t>long-term</w:t>
      </w:r>
      <w:r w:rsidRPr="00743E32" w:rsidR="00743E32">
        <w:t xml:space="preserve"> benefits outweigh the incremental cost for PG&amp;E to provide underground </w:t>
      </w:r>
      <w:r w:rsidR="004011F2">
        <w:t xml:space="preserve">service </w:t>
      </w:r>
      <w:r w:rsidR="00DC2420">
        <w:t>cable</w:t>
      </w:r>
      <w:r w:rsidRPr="00743E32" w:rsidR="00743E32">
        <w:t xml:space="preserve"> rated to serve a minimum of 200 amps from the </w:t>
      </w:r>
      <w:r w:rsidR="00CD20C8">
        <w:t>splice</w:t>
      </w:r>
      <w:r w:rsidRPr="00743E32" w:rsidR="00743E32">
        <w:t xml:space="preserve"> boxes to </w:t>
      </w:r>
      <w:r w:rsidR="00DA04D7">
        <w:t xml:space="preserve">the electric pedestal of </w:t>
      </w:r>
      <w:r w:rsidRPr="00743E32" w:rsidR="00743E32">
        <w:t>each mobilehome</w:t>
      </w:r>
      <w:r w:rsidRPr="001315FC" w:rsidR="005F2A8B">
        <w:rPr>
          <w:bCs/>
        </w:rPr>
        <w:t>.</w:t>
      </w:r>
      <w:r w:rsidR="0094389E">
        <w:rPr>
          <w:rStyle w:val="FootnoteReference"/>
          <w:bCs/>
        </w:rPr>
        <w:footnoteReference w:id="128"/>
      </w:r>
    </w:p>
    <w:p w:rsidRPr="00525E02" w:rsidR="00C928AD" w:rsidP="009A2015" w:rsidRDefault="000516F2" w14:paraId="1AC5E5BA" w14:textId="2FA27A72">
      <w:pPr>
        <w:numPr>
          <w:ilvl w:val="1"/>
          <w:numId w:val="23"/>
        </w:numPr>
        <w:spacing w:after="200"/>
        <w:contextualSpacing/>
        <w:rPr>
          <w:bCs/>
        </w:rPr>
      </w:pPr>
      <w:r>
        <w:rPr>
          <w:bCs/>
        </w:rPr>
        <w:t>G</w:t>
      </w:r>
      <w:r w:rsidRPr="00817AD4" w:rsidR="00A526F4">
        <w:rPr>
          <w:bCs/>
        </w:rPr>
        <w:t>as and electric</w:t>
      </w:r>
      <w:r w:rsidRPr="00817AD4" w:rsidR="005F2A8B">
        <w:rPr>
          <w:bCs/>
        </w:rPr>
        <w:t xml:space="preserve"> meters </w:t>
      </w:r>
      <w:r>
        <w:rPr>
          <w:bCs/>
        </w:rPr>
        <w:t xml:space="preserve">should be placed </w:t>
      </w:r>
      <w:r w:rsidRPr="00817AD4" w:rsidR="005F2A8B">
        <w:rPr>
          <w:bCs/>
        </w:rPr>
        <w:t xml:space="preserve">toward the rear of the carport instead of the front of the </w:t>
      </w:r>
      <w:r w:rsidRPr="00817AD4" w:rsidR="00070C89">
        <w:rPr>
          <w:bCs/>
        </w:rPr>
        <w:t>mobilehome</w:t>
      </w:r>
      <w:r w:rsidRPr="00817AD4" w:rsidR="00093342">
        <w:rPr>
          <w:bCs/>
        </w:rPr>
        <w:t>s</w:t>
      </w:r>
      <w:r w:rsidR="00912D6F">
        <w:rPr>
          <w:bCs/>
        </w:rPr>
        <w:t>.</w:t>
      </w:r>
      <w:r w:rsidRPr="00817AD4" w:rsidR="00FF16B6">
        <w:rPr>
          <w:bCs/>
        </w:rPr>
        <w:t xml:space="preserve"> </w:t>
      </w:r>
      <w:r w:rsidRPr="00817AD4" w:rsidR="00817AD4">
        <w:rPr>
          <w:bCs/>
        </w:rPr>
        <w:t xml:space="preserve">The </w:t>
      </w:r>
      <w:r w:rsidR="00F86910">
        <w:rPr>
          <w:bCs/>
        </w:rPr>
        <w:t>CPUC</w:t>
      </w:r>
      <w:r w:rsidRPr="00817AD4" w:rsidR="00817AD4">
        <w:rPr>
          <w:bCs/>
        </w:rPr>
        <w:t xml:space="preserve"> </w:t>
      </w:r>
      <w:r w:rsidR="00882337">
        <w:rPr>
          <w:bCs/>
        </w:rPr>
        <w:t>concludes</w:t>
      </w:r>
      <w:r w:rsidRPr="00817AD4" w:rsidR="00882337">
        <w:rPr>
          <w:bCs/>
        </w:rPr>
        <w:t xml:space="preserve"> </w:t>
      </w:r>
      <w:r w:rsidRPr="00817AD4" w:rsidR="00817AD4">
        <w:rPr>
          <w:bCs/>
        </w:rPr>
        <w:t xml:space="preserve">that gas meters and electric utility pedestals should be placed according to PG&amp;E’s Electric </w:t>
      </w:r>
      <w:r w:rsidR="00B25A43">
        <w:rPr>
          <w:bCs/>
        </w:rPr>
        <w:t xml:space="preserve">and </w:t>
      </w:r>
      <w:r w:rsidRPr="00817AD4" w:rsidR="00817AD4">
        <w:rPr>
          <w:bCs/>
        </w:rPr>
        <w:t>Gas Service Requirements (Greenbook)</w:t>
      </w:r>
      <w:r w:rsidR="00EE0D60">
        <w:rPr>
          <w:bCs/>
        </w:rPr>
        <w:t xml:space="preserve"> unless PG&amp;E exercises </w:t>
      </w:r>
      <w:r w:rsidR="001D63EF">
        <w:rPr>
          <w:bCs/>
        </w:rPr>
        <w:t>its</w:t>
      </w:r>
      <w:r w:rsidR="00EE0D60">
        <w:rPr>
          <w:bCs/>
        </w:rPr>
        <w:t xml:space="preserve"> discretion to deviate from those requirements</w:t>
      </w:r>
      <w:r w:rsidR="00957900">
        <w:rPr>
          <w:bCs/>
        </w:rPr>
        <w:t>.</w:t>
      </w:r>
      <w:r w:rsidR="006A617A">
        <w:rPr>
          <w:bCs/>
        </w:rPr>
        <w:t xml:space="preserve"> </w:t>
      </w:r>
    </w:p>
    <w:p w:rsidR="00A213F1" w:rsidP="009A2015" w:rsidRDefault="00A213F1" w14:paraId="7135A186" w14:textId="29068D2B">
      <w:pPr>
        <w:numPr>
          <w:ilvl w:val="1"/>
          <w:numId w:val="23"/>
        </w:numPr>
        <w:spacing w:after="200"/>
        <w:contextualSpacing/>
        <w:rPr>
          <w:bCs/>
        </w:rPr>
      </w:pPr>
      <w:r w:rsidRPr="00817AD4">
        <w:rPr>
          <w:bCs/>
          <w:iCs/>
        </w:rPr>
        <w:t xml:space="preserve">PG&amp;E </w:t>
      </w:r>
      <w:r w:rsidR="000516F2">
        <w:rPr>
          <w:bCs/>
          <w:iCs/>
        </w:rPr>
        <w:t>should</w:t>
      </w:r>
      <w:r w:rsidRPr="00817AD4" w:rsidR="000516F2">
        <w:rPr>
          <w:bCs/>
          <w:iCs/>
        </w:rPr>
        <w:t xml:space="preserve"> </w:t>
      </w:r>
      <w:r w:rsidRPr="00817AD4">
        <w:rPr>
          <w:bCs/>
          <w:iCs/>
        </w:rPr>
        <w:t xml:space="preserve">formally acknowledge that </w:t>
      </w:r>
      <w:r w:rsidR="00693B21">
        <w:rPr>
          <w:bCs/>
          <w:iCs/>
        </w:rPr>
        <w:t>the Rebuild Program</w:t>
      </w:r>
      <w:r w:rsidRPr="00817AD4" w:rsidR="00693B21">
        <w:rPr>
          <w:bCs/>
          <w:iCs/>
        </w:rPr>
        <w:t xml:space="preserve"> </w:t>
      </w:r>
      <w:r w:rsidR="00314397">
        <w:rPr>
          <w:bCs/>
          <w:iCs/>
        </w:rPr>
        <w:t>will</w:t>
      </w:r>
      <w:r w:rsidRPr="00817AD4" w:rsidR="00314397">
        <w:rPr>
          <w:bCs/>
          <w:iCs/>
        </w:rPr>
        <w:t xml:space="preserve"> </w:t>
      </w:r>
      <w:r w:rsidRPr="00817AD4">
        <w:rPr>
          <w:bCs/>
          <w:iCs/>
        </w:rPr>
        <w:t>be an active program for a decade or more while the MHPs in Butte County are repopulated</w:t>
      </w:r>
      <w:r w:rsidR="00E50979">
        <w:rPr>
          <w:bCs/>
          <w:iCs/>
        </w:rPr>
        <w:t>.</w:t>
      </w:r>
      <w:r w:rsidRPr="00817AD4">
        <w:rPr>
          <w:bCs/>
          <w:iCs/>
        </w:rPr>
        <w:t xml:space="preserve"> </w:t>
      </w:r>
      <w:r w:rsidR="00E50979">
        <w:rPr>
          <w:bCs/>
          <w:iCs/>
        </w:rPr>
        <w:t xml:space="preserve"> B</w:t>
      </w:r>
      <w:r w:rsidRPr="00703BEB" w:rsidR="00703BEB">
        <w:rPr>
          <w:bCs/>
          <w:iCs/>
        </w:rPr>
        <w:t>eyond-the-meter</w:t>
      </w:r>
      <w:r w:rsidRPr="00817AD4" w:rsidR="005B4298">
        <w:rPr>
          <w:bCs/>
          <w:iCs/>
        </w:rPr>
        <w:t xml:space="preserve"> work is not reimbursable except for the electric pedestal and </w:t>
      </w:r>
      <w:r w:rsidRPr="00817AD4">
        <w:rPr>
          <w:bCs/>
        </w:rPr>
        <w:t xml:space="preserve">PG&amp;E shall revise section 10.6 of the </w:t>
      </w:r>
      <w:r w:rsidRPr="00EC0574" w:rsidR="00EC0574">
        <w:rPr>
          <w:bCs/>
        </w:rPr>
        <w:lastRenderedPageBreak/>
        <w:t xml:space="preserve">Butte County </w:t>
      </w:r>
      <w:r w:rsidRPr="000068A2" w:rsidR="000068A2">
        <w:rPr>
          <w:bCs/>
        </w:rPr>
        <w:t>Mobilehome</w:t>
      </w:r>
      <w:r w:rsidR="00506DD4">
        <w:rPr>
          <w:bCs/>
        </w:rPr>
        <w:t xml:space="preserve"> Park</w:t>
      </w:r>
      <w:r w:rsidRPr="00EC0574" w:rsidR="00EC0574">
        <w:rPr>
          <w:bCs/>
        </w:rPr>
        <w:t xml:space="preserve"> Rebuild Program A</w:t>
      </w:r>
      <w:r w:rsidRPr="00817AD4">
        <w:rPr>
          <w:bCs/>
        </w:rPr>
        <w:t xml:space="preserve">greement to clearly </w:t>
      </w:r>
      <w:r w:rsidRPr="00EC0574" w:rsidR="00EC0574">
        <w:rPr>
          <w:bCs/>
        </w:rPr>
        <w:t xml:space="preserve">show that </w:t>
      </w:r>
      <w:r w:rsidRPr="00703BEB" w:rsidR="00703BEB">
        <w:rPr>
          <w:bCs/>
        </w:rPr>
        <w:t>beyond-the-meter</w:t>
      </w:r>
      <w:r w:rsidRPr="00EC0574" w:rsidR="00EC0574">
        <w:rPr>
          <w:bCs/>
        </w:rPr>
        <w:t xml:space="preserve"> work is not reimbursable except for </w:t>
      </w:r>
      <w:r w:rsidRPr="00357FCD" w:rsidR="00357FCD">
        <w:rPr>
          <w:bCs/>
          <w:iCs/>
        </w:rPr>
        <w:t xml:space="preserve">installation </w:t>
      </w:r>
      <w:r w:rsidR="00357FCD">
        <w:rPr>
          <w:bCs/>
          <w:iCs/>
        </w:rPr>
        <w:t xml:space="preserve">of </w:t>
      </w:r>
      <w:r w:rsidRPr="00EC0574" w:rsidR="00EC0574">
        <w:rPr>
          <w:bCs/>
        </w:rPr>
        <w:t>the electric pedestal.</w:t>
      </w:r>
      <w:r w:rsidR="00F537AE">
        <w:rPr>
          <w:bCs/>
        </w:rPr>
        <w:t xml:space="preserve">  Given the ability to complete th</w:t>
      </w:r>
      <w:r w:rsidR="00252C0F">
        <w:rPr>
          <w:bCs/>
        </w:rPr>
        <w:t xml:space="preserve">e </w:t>
      </w:r>
      <w:r w:rsidR="001D63EF">
        <w:rPr>
          <w:bCs/>
        </w:rPr>
        <w:t xml:space="preserve">gas meter and </w:t>
      </w:r>
      <w:r w:rsidR="00252C0F">
        <w:rPr>
          <w:bCs/>
        </w:rPr>
        <w:t>electrical pedestal</w:t>
      </w:r>
      <w:r w:rsidR="00F537AE">
        <w:rPr>
          <w:bCs/>
        </w:rPr>
        <w:t xml:space="preserve"> work ahead of mobilehome </w:t>
      </w:r>
      <w:r w:rsidR="00733FDA">
        <w:rPr>
          <w:bCs/>
        </w:rPr>
        <w:t xml:space="preserve">repopulation, </w:t>
      </w:r>
      <w:r w:rsidR="00EB6DEE">
        <w:rPr>
          <w:bCs/>
        </w:rPr>
        <w:t xml:space="preserve">the </w:t>
      </w:r>
      <w:r w:rsidRPr="00693B21" w:rsidR="00693B21">
        <w:rPr>
          <w:bCs/>
          <w:iCs/>
        </w:rPr>
        <w:t>Rebuild Program</w:t>
      </w:r>
      <w:r w:rsidR="00EB6DEE">
        <w:rPr>
          <w:bCs/>
        </w:rPr>
        <w:t xml:space="preserve"> does not need to be extended</w:t>
      </w:r>
      <w:r w:rsidR="00733FDA">
        <w:rPr>
          <w:bCs/>
        </w:rPr>
        <w:t xml:space="preserve"> for a decade or more</w:t>
      </w:r>
      <w:r w:rsidR="00EB6DEE">
        <w:rPr>
          <w:bCs/>
        </w:rPr>
        <w:t>.</w:t>
      </w:r>
    </w:p>
    <w:p w:rsidRPr="00817AD4" w:rsidR="005440DB" w:rsidP="009A2015" w:rsidRDefault="005440DB" w14:paraId="7B628282" w14:textId="66DDA27D">
      <w:pPr>
        <w:numPr>
          <w:ilvl w:val="1"/>
          <w:numId w:val="23"/>
        </w:numPr>
        <w:spacing w:after="200"/>
        <w:contextualSpacing/>
        <w:rPr>
          <w:bCs/>
        </w:rPr>
      </w:pPr>
      <w:r w:rsidRPr="005440DB">
        <w:rPr>
          <w:bCs/>
        </w:rPr>
        <w:t xml:space="preserve">Upon completion of the rebuild effort, PG&amp;E </w:t>
      </w:r>
      <w:r>
        <w:rPr>
          <w:bCs/>
        </w:rPr>
        <w:t>should</w:t>
      </w:r>
      <w:r w:rsidRPr="005440DB">
        <w:rPr>
          <w:bCs/>
        </w:rPr>
        <w:t xml:space="preserve"> remove </w:t>
      </w:r>
      <w:r>
        <w:rPr>
          <w:bCs/>
        </w:rPr>
        <w:t xml:space="preserve">legacy </w:t>
      </w:r>
      <w:r w:rsidRPr="005440DB">
        <w:rPr>
          <w:bCs/>
        </w:rPr>
        <w:t xml:space="preserve">utility owned </w:t>
      </w:r>
      <w:r>
        <w:rPr>
          <w:bCs/>
        </w:rPr>
        <w:t>infrastructure</w:t>
      </w:r>
      <w:r w:rsidRPr="005440DB">
        <w:rPr>
          <w:bCs/>
        </w:rPr>
        <w:t xml:space="preserve">. </w:t>
      </w:r>
    </w:p>
    <w:p w:rsidR="00A77142" w:rsidP="009A2015" w:rsidRDefault="00A77142" w14:paraId="357AAFE1" w14:textId="77777777">
      <w:pPr>
        <w:spacing w:after="200"/>
        <w:contextualSpacing/>
        <w:rPr>
          <w:bCs/>
        </w:rPr>
      </w:pPr>
    </w:p>
    <w:bookmarkEnd w:id="41"/>
    <w:p w:rsidR="00CF17DE" w:rsidRDefault="00CF17DE" w14:paraId="16A82360" w14:textId="77777777">
      <w:pPr>
        <w:pStyle w:val="Heading1"/>
      </w:pPr>
      <w:r>
        <w:t>Comments</w:t>
      </w:r>
    </w:p>
    <w:p w:rsidRPr="00672336" w:rsidR="00672336" w:rsidP="00B6099B" w:rsidRDefault="00672336" w14:paraId="7C885907" w14:textId="77777777">
      <w:r w:rsidRPr="00672336">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672336" w:rsidR="00672336" w:rsidP="00AA600A" w:rsidRDefault="00672336" w14:paraId="15CC650C" w14:textId="77777777"/>
    <w:p w:rsidR="0024459D" w:rsidRDefault="00672336" w14:paraId="40C33EDB" w14:textId="3C49885A">
      <w:r w:rsidRPr="00672336">
        <w:t>The 30-day review and 20-day comment period for the draft of this resolution was neither waived nor reduced.  Accordingly, this draft resolution was mailed to parties for comments, and will be placed on the Commission's agenda no earlier than 30 days from today.</w:t>
      </w:r>
    </w:p>
    <w:p w:rsidR="00DF6E43" w:rsidRDefault="00DF6E43" w14:paraId="6C00AF19" w14:textId="714A3A14"/>
    <w:p w:rsidR="00DF6E43" w:rsidRDefault="0048347D" w14:paraId="47A315F7" w14:textId="2468AD1D">
      <w:r>
        <w:t xml:space="preserve">PG&amp;E, </w:t>
      </w:r>
      <w:r w:rsidRPr="0004619C" w:rsidR="0004619C">
        <w:t xml:space="preserve">Ridgewood </w:t>
      </w:r>
      <w:r w:rsidR="0004619C">
        <w:t xml:space="preserve">MHP, </w:t>
      </w:r>
      <w:r w:rsidR="00AC3A72">
        <w:t>and Fore</w:t>
      </w:r>
      <w:r w:rsidR="00E93D8B">
        <w:t xml:space="preserve">st Glen MHP </w:t>
      </w:r>
      <w:r w:rsidRPr="00CF4BF7" w:rsidR="00CF4BF7">
        <w:t>filed comments on the Resolution.</w:t>
      </w:r>
      <w:r w:rsidR="00D114A8">
        <w:t xml:space="preserve"> </w:t>
      </w:r>
      <w:r w:rsidRPr="00CF4BF7" w:rsidR="00CF4BF7">
        <w:t xml:space="preserve"> </w:t>
      </w:r>
      <w:r w:rsidR="004B6B3E">
        <w:t>Ridgewood MHP filed comment on May 2, 2021.</w:t>
      </w:r>
      <w:r w:rsidR="00472AA4">
        <w:t xml:space="preserve">  </w:t>
      </w:r>
      <w:r w:rsidRPr="00472AA4" w:rsidR="00472AA4">
        <w:t xml:space="preserve">PG&amp;E and Forest Glen filed </w:t>
      </w:r>
      <w:r w:rsidR="00A11C60">
        <w:t xml:space="preserve">their </w:t>
      </w:r>
      <w:r w:rsidRPr="00472AA4" w:rsidR="00472AA4">
        <w:t xml:space="preserve">comments on May 3, 2021.  </w:t>
      </w:r>
    </w:p>
    <w:p w:rsidR="00A11C60" w:rsidRDefault="00A11C60" w14:paraId="2CD8382B" w14:textId="7DEF9FB6"/>
    <w:p w:rsidR="00A11C60" w:rsidRDefault="00EB257B" w14:paraId="6CCEFE01" w14:textId="7079DE8B">
      <w:r>
        <w:t>C</w:t>
      </w:r>
      <w:r w:rsidR="00683F30">
        <w:t xml:space="preserve">omments </w:t>
      </w:r>
      <w:r w:rsidR="00B81404">
        <w:t xml:space="preserve">were </w:t>
      </w:r>
      <w:r w:rsidR="002E44FD">
        <w:t>primar</w:t>
      </w:r>
      <w:r w:rsidR="00DE7225">
        <w:t>il</w:t>
      </w:r>
      <w:r w:rsidR="002E44FD">
        <w:t>y related</w:t>
      </w:r>
      <w:r w:rsidR="00B81404">
        <w:t xml:space="preserve"> to </w:t>
      </w:r>
      <w:r w:rsidR="00B23BAE">
        <w:t xml:space="preserve">1) </w:t>
      </w:r>
      <w:r w:rsidR="00B81404">
        <w:t xml:space="preserve">the relevancy </w:t>
      </w:r>
      <w:r w:rsidR="00622B07">
        <w:t>between</w:t>
      </w:r>
      <w:r w:rsidR="00B81404">
        <w:t xml:space="preserve"> the </w:t>
      </w:r>
      <w:r w:rsidR="00F91F21">
        <w:t>Rebuild Program and the MHP Pilot</w:t>
      </w:r>
      <w:r w:rsidR="003753FC">
        <w:t>;</w:t>
      </w:r>
      <w:r w:rsidR="00622B07">
        <w:t xml:space="preserve"> </w:t>
      </w:r>
      <w:r w:rsidR="00B23BAE">
        <w:t xml:space="preserve">2) </w:t>
      </w:r>
      <w:r w:rsidRPr="00870428" w:rsidR="00870428">
        <w:t>extending to-the-meter eligibility to permanent fixed foundation residential structures</w:t>
      </w:r>
      <w:r w:rsidR="003753FC">
        <w:t>;</w:t>
      </w:r>
      <w:r w:rsidRPr="00870428" w:rsidR="00870428">
        <w:t xml:space="preserve"> </w:t>
      </w:r>
      <w:r w:rsidR="00B23BAE">
        <w:t xml:space="preserve">3) </w:t>
      </w:r>
      <w:r w:rsidRPr="00FF1AC8" w:rsidR="00FF1AC8">
        <w:t>pedestal installment</w:t>
      </w:r>
      <w:r w:rsidRPr="00E22826" w:rsidR="00E22826">
        <w:rPr>
          <w:b/>
          <w:bCs/>
        </w:rPr>
        <w:t xml:space="preserve"> </w:t>
      </w:r>
      <w:r w:rsidRPr="00D2684E" w:rsidR="00E22826">
        <w:t xml:space="preserve">ahead of Mobilehome </w:t>
      </w:r>
      <w:r w:rsidR="00CF7E6E">
        <w:t>r</w:t>
      </w:r>
      <w:r w:rsidRPr="00D2684E" w:rsidR="00E22826">
        <w:t>epopulation</w:t>
      </w:r>
      <w:r w:rsidR="003753FC">
        <w:t>;</w:t>
      </w:r>
      <w:r w:rsidRPr="00FF1AC8" w:rsidR="00FF1AC8">
        <w:t xml:space="preserve"> </w:t>
      </w:r>
      <w:r w:rsidR="00B23BAE">
        <w:t xml:space="preserve">4) </w:t>
      </w:r>
      <w:r w:rsidRPr="00AA13EE" w:rsidR="00AA13EE">
        <w:t>remit</w:t>
      </w:r>
      <w:r w:rsidR="004012A1">
        <w:t>m</w:t>
      </w:r>
      <w:r w:rsidRPr="00AA13EE" w:rsidR="00AA13EE">
        <w:t>ent of insurance claim payment to the Rebuild Program</w:t>
      </w:r>
      <w:r w:rsidR="003753FC">
        <w:t>;</w:t>
      </w:r>
      <w:r w:rsidRPr="00AA13EE" w:rsidR="00AA13EE">
        <w:t xml:space="preserve"> </w:t>
      </w:r>
      <w:r w:rsidR="00B23BAE">
        <w:t xml:space="preserve">5) </w:t>
      </w:r>
      <w:r w:rsidRPr="00AA13EE" w:rsidR="00AA13EE">
        <w:t>coordination with non-energy service providers on rebuild and upgrade participation</w:t>
      </w:r>
      <w:r w:rsidR="003753FC">
        <w:t>;</w:t>
      </w:r>
      <w:r w:rsidRPr="00AA13EE" w:rsidR="00AA13EE">
        <w:t xml:space="preserve"> </w:t>
      </w:r>
      <w:r w:rsidR="00A1447E">
        <w:t>6</w:t>
      </w:r>
      <w:r w:rsidR="00B23BAE">
        <w:t xml:space="preserve">) </w:t>
      </w:r>
      <w:r w:rsidR="00082B0A">
        <w:t xml:space="preserve">providing </w:t>
      </w:r>
      <w:r w:rsidRPr="00AA13EE" w:rsidR="00AA13EE">
        <w:t>200</w:t>
      </w:r>
      <w:r w:rsidR="002D669C">
        <w:t xml:space="preserve"> </w:t>
      </w:r>
      <w:r w:rsidRPr="00AA13EE" w:rsidR="00AA13EE">
        <w:t>amp service</w:t>
      </w:r>
      <w:r w:rsidR="003753FC">
        <w:t>;</w:t>
      </w:r>
      <w:r w:rsidRPr="00AA13EE" w:rsidR="00AA13EE">
        <w:t xml:space="preserve"> </w:t>
      </w:r>
      <w:r w:rsidR="00A1447E">
        <w:t>7</w:t>
      </w:r>
      <w:r w:rsidR="00B23BAE">
        <w:t xml:space="preserve">) </w:t>
      </w:r>
      <w:r w:rsidRPr="00AA13EE" w:rsidR="00AA13EE">
        <w:t>abandon</w:t>
      </w:r>
      <w:r w:rsidR="00D221F2">
        <w:t>ment of</w:t>
      </w:r>
      <w:r w:rsidRPr="00AA13EE" w:rsidR="00AA13EE">
        <w:t xml:space="preserve"> underground PG&amp;E assets</w:t>
      </w:r>
      <w:r w:rsidR="003753FC">
        <w:t>;</w:t>
      </w:r>
      <w:r w:rsidRPr="00AA13EE" w:rsidR="00AA13EE">
        <w:t xml:space="preserve"> </w:t>
      </w:r>
      <w:r w:rsidR="00A1447E">
        <w:t>8</w:t>
      </w:r>
      <w:r w:rsidR="00B23BAE">
        <w:t xml:space="preserve">) </w:t>
      </w:r>
      <w:r w:rsidR="00BB6EC9">
        <w:t>p</w:t>
      </w:r>
      <w:r w:rsidRPr="00D2684E" w:rsidR="00BB6EC9">
        <w:t>lacement of the electric and gas utility with consideration for alternate routes</w:t>
      </w:r>
      <w:r w:rsidR="0084002E">
        <w:t xml:space="preserve">, </w:t>
      </w:r>
      <w:r w:rsidRPr="00D2684E" w:rsidR="0084002E">
        <w:t>setback requirements,</w:t>
      </w:r>
      <w:r w:rsidRPr="0084002E" w:rsidR="0084002E">
        <w:rPr>
          <w:b/>
          <w:bCs/>
        </w:rPr>
        <w:t xml:space="preserve"> </w:t>
      </w:r>
      <w:r w:rsidRPr="00D2684E" w:rsidR="00BB6EC9">
        <w:t xml:space="preserve">and strategy to avoid damage </w:t>
      </w:r>
      <w:r w:rsidR="001A50FD">
        <w:t>to</w:t>
      </w:r>
      <w:r w:rsidRPr="00D2684E" w:rsidR="00BB6EC9">
        <w:t xml:space="preserve"> non-energy utilities</w:t>
      </w:r>
      <w:r w:rsidR="003753FC">
        <w:t>;</w:t>
      </w:r>
      <w:r w:rsidR="000221E1">
        <w:t xml:space="preserve"> </w:t>
      </w:r>
      <w:r w:rsidR="00A1447E">
        <w:t>9</w:t>
      </w:r>
      <w:r w:rsidR="00B23BAE">
        <w:t xml:space="preserve">) </w:t>
      </w:r>
      <w:r w:rsidRPr="00EB4DCF" w:rsidR="00EB4DCF">
        <w:t>approval of excavation plan</w:t>
      </w:r>
      <w:r w:rsidR="003753FC">
        <w:t>;</w:t>
      </w:r>
      <w:r w:rsidRPr="00EB4DCF" w:rsidR="00EB4DCF">
        <w:t xml:space="preserve"> </w:t>
      </w:r>
      <w:r w:rsidR="00A1447E">
        <w:t>10</w:t>
      </w:r>
      <w:r w:rsidR="00B23BAE">
        <w:t xml:space="preserve">) </w:t>
      </w:r>
      <w:r w:rsidR="00A35353">
        <w:t xml:space="preserve">indemnification of PG&amp;E on </w:t>
      </w:r>
      <w:r w:rsidR="0016690D">
        <w:t>negligence and misconduct</w:t>
      </w:r>
      <w:r w:rsidR="003753FC">
        <w:t>;</w:t>
      </w:r>
      <w:r w:rsidR="0079221E">
        <w:t xml:space="preserve"> </w:t>
      </w:r>
      <w:r w:rsidR="00B23BAE">
        <w:t>1</w:t>
      </w:r>
      <w:r w:rsidR="00A1447E">
        <w:t>1</w:t>
      </w:r>
      <w:r w:rsidR="00B23BAE">
        <w:t xml:space="preserve">) </w:t>
      </w:r>
      <w:r w:rsidRPr="00590DBC" w:rsidR="00590DBC">
        <w:t>direct-metered versus master-metered service</w:t>
      </w:r>
      <w:r w:rsidR="003753FC">
        <w:t>;</w:t>
      </w:r>
      <w:r w:rsidRPr="00590DBC" w:rsidR="00590DBC">
        <w:t xml:space="preserve"> </w:t>
      </w:r>
      <w:r w:rsidR="00B23BAE">
        <w:t>1</w:t>
      </w:r>
      <w:r w:rsidR="00A1447E">
        <w:t>2</w:t>
      </w:r>
      <w:r w:rsidR="00B23BAE">
        <w:t xml:space="preserve">) </w:t>
      </w:r>
      <w:r w:rsidRPr="00125EA0" w:rsidR="00125EA0">
        <w:t>reply to comment procedure</w:t>
      </w:r>
      <w:r w:rsidR="003753FC">
        <w:t>;</w:t>
      </w:r>
      <w:r w:rsidR="00125EA0">
        <w:t xml:space="preserve"> and </w:t>
      </w:r>
      <w:r w:rsidR="00B23BAE">
        <w:t>1</w:t>
      </w:r>
      <w:r w:rsidR="00A1447E">
        <w:t>3</w:t>
      </w:r>
      <w:r w:rsidR="00B23BAE">
        <w:t xml:space="preserve">) </w:t>
      </w:r>
      <w:r w:rsidR="001456CF">
        <w:t xml:space="preserve">implementation of </w:t>
      </w:r>
      <w:r w:rsidR="00DD0595">
        <w:t>Resolution requirement in the existing Rebuild Program.</w:t>
      </w:r>
    </w:p>
    <w:p w:rsidR="00DD0595" w:rsidRDefault="00DD0595" w14:paraId="29009B50" w14:textId="17530BC1"/>
    <w:p w:rsidRPr="00D2684E" w:rsidR="00DD0595" w:rsidP="00D2684E" w:rsidRDefault="000F2976" w14:paraId="67F6ADB9" w14:textId="75804C57">
      <w:pPr>
        <w:spacing w:after="120"/>
        <w:rPr>
          <w:b/>
          <w:bCs/>
        </w:rPr>
      </w:pPr>
      <w:r w:rsidRPr="00D2684E">
        <w:rPr>
          <w:b/>
          <w:bCs/>
        </w:rPr>
        <w:lastRenderedPageBreak/>
        <w:t>Relevancy between the Rebuild Program and the MHP Pilot</w:t>
      </w:r>
    </w:p>
    <w:p w:rsidR="0016690D" w:rsidRDefault="00AB2628" w14:paraId="2A6C78DE" w14:textId="26CBFFCD">
      <w:r w:rsidRPr="00AB2628">
        <w:t>Forest Glen MHP</w:t>
      </w:r>
      <w:r w:rsidR="00DC18B9">
        <w:t xml:space="preserve"> commented that </w:t>
      </w:r>
      <w:r w:rsidR="00096913">
        <w:t>th</w:t>
      </w:r>
      <w:r w:rsidR="001A08B7">
        <w:t>is</w:t>
      </w:r>
      <w:r w:rsidR="00096913">
        <w:t xml:space="preserve"> </w:t>
      </w:r>
      <w:r w:rsidR="001A08B7">
        <w:t xml:space="preserve">Resolution uses </w:t>
      </w:r>
      <w:r w:rsidR="00F843A2">
        <w:t xml:space="preserve">the </w:t>
      </w:r>
      <w:r w:rsidR="00096913">
        <w:t xml:space="preserve">MHP Pilot </w:t>
      </w:r>
      <w:r w:rsidR="00F843A2">
        <w:t>as</w:t>
      </w:r>
      <w:r w:rsidR="00096913">
        <w:t xml:space="preserve"> a template on the Rebuild Program</w:t>
      </w:r>
      <w:r w:rsidR="001D607E">
        <w:t xml:space="preserve">.  </w:t>
      </w:r>
      <w:r w:rsidR="00E3020F">
        <w:t>Forest Glen MHP also</w:t>
      </w:r>
      <w:r w:rsidR="00CC13EA">
        <w:t xml:space="preserve"> indicated that</w:t>
      </w:r>
      <w:r w:rsidR="00096913">
        <w:t xml:space="preserve"> </w:t>
      </w:r>
      <w:r w:rsidR="005E4AED">
        <w:t>t</w:t>
      </w:r>
      <w:r w:rsidRPr="005E4AED" w:rsidR="005E4AED">
        <w:t>he MHP Pilot is irrelevant to the Butte County</w:t>
      </w:r>
      <w:r w:rsidR="006434ED">
        <w:t>’s</w:t>
      </w:r>
      <w:r w:rsidRPr="005E4AED" w:rsidR="005E4AED">
        <w:t xml:space="preserve"> needs.  </w:t>
      </w:r>
      <w:r w:rsidR="00346F2E">
        <w:t xml:space="preserve">The </w:t>
      </w:r>
      <w:r w:rsidRPr="005E4AED" w:rsidR="005E4AED">
        <w:t xml:space="preserve">MHP Pilot </w:t>
      </w:r>
      <w:r w:rsidR="003768DE">
        <w:t>is</w:t>
      </w:r>
      <w:r w:rsidRPr="005E4AED" w:rsidR="005E4AED">
        <w:t xml:space="preserve"> applicable to populated parks</w:t>
      </w:r>
      <w:r w:rsidR="0011057B">
        <w:t xml:space="preserve"> </w:t>
      </w:r>
      <w:r w:rsidRPr="005E4AED" w:rsidR="005E4AED">
        <w:t>in Butte County</w:t>
      </w:r>
      <w:r w:rsidR="00A44ACE">
        <w:t xml:space="preserve"> whereas</w:t>
      </w:r>
      <w:r w:rsidRPr="005E4AED" w:rsidR="005E4AED">
        <w:t xml:space="preserve"> the Rebuild Program </w:t>
      </w:r>
      <w:r w:rsidR="00CE350F">
        <w:t>“</w:t>
      </w:r>
      <w:r w:rsidRPr="005E4AED" w:rsidR="005E4AED">
        <w:t>has a clean slate except for existing utilities and configuration</w:t>
      </w:r>
      <w:r w:rsidR="00CE350F">
        <w:t>”</w:t>
      </w:r>
      <w:r w:rsidRPr="005E4AED" w:rsidR="005E4AED">
        <w:t>.</w:t>
      </w:r>
      <w:r w:rsidR="00866605">
        <w:rPr>
          <w:rStyle w:val="FootnoteReference"/>
        </w:rPr>
        <w:footnoteReference w:id="129"/>
      </w:r>
    </w:p>
    <w:p w:rsidR="0016690D" w:rsidRDefault="0016690D" w14:paraId="3D30E0F0" w14:textId="77777777"/>
    <w:p w:rsidR="002B56DD" w:rsidP="0024459D" w:rsidRDefault="00EC0266" w14:paraId="18D661B6" w14:textId="31BB8DBF">
      <w:r>
        <w:t>The Commission agrees that the</w:t>
      </w:r>
      <w:r w:rsidR="002238EE">
        <w:t xml:space="preserve"> needs </w:t>
      </w:r>
      <w:r w:rsidR="00DE3867">
        <w:t>of the MHP owners in these</w:t>
      </w:r>
      <w:r w:rsidR="00F9066D">
        <w:t xml:space="preserve"> two programs </w:t>
      </w:r>
      <w:r w:rsidR="008207EC">
        <w:t>might be</w:t>
      </w:r>
      <w:r w:rsidR="00F9066D">
        <w:t xml:space="preserve"> different.  </w:t>
      </w:r>
      <w:r w:rsidR="00770534">
        <w:t xml:space="preserve">We will continue </w:t>
      </w:r>
      <w:r w:rsidR="00A3280F">
        <w:t xml:space="preserve">our effort </w:t>
      </w:r>
      <w:r w:rsidR="00A32E04">
        <w:t xml:space="preserve">to address the specific needs of the Butte County MHP owners </w:t>
      </w:r>
      <w:r w:rsidR="00A3280F">
        <w:t xml:space="preserve">in the following discussion of comments.  </w:t>
      </w:r>
    </w:p>
    <w:p w:rsidR="000F0FE7" w:rsidP="0024459D" w:rsidRDefault="000F0FE7" w14:paraId="78D620B9" w14:textId="77777777"/>
    <w:p w:rsidRPr="00D2684E" w:rsidR="002B56DD" w:rsidP="00D2684E" w:rsidRDefault="007374A1" w14:paraId="4387E74C" w14:textId="4695C6DB">
      <w:pPr>
        <w:spacing w:after="120"/>
        <w:rPr>
          <w:b/>
          <w:bCs/>
        </w:rPr>
      </w:pPr>
      <w:r w:rsidRPr="00D2684E">
        <w:rPr>
          <w:b/>
          <w:bCs/>
        </w:rPr>
        <w:t>Extending to-the-meter eligibility to permanent fixed foundation residential structures</w:t>
      </w:r>
    </w:p>
    <w:p w:rsidR="002B56DD" w:rsidP="0024459D" w:rsidRDefault="0049346E" w14:paraId="40565428" w14:textId="7992DE00">
      <w:r>
        <w:t xml:space="preserve">Forest Glen MHP </w:t>
      </w:r>
      <w:r w:rsidR="00A25D14">
        <w:t xml:space="preserve">commented that </w:t>
      </w:r>
      <w:r w:rsidR="00D000A7">
        <w:t>“</w:t>
      </w:r>
      <w:r w:rsidRPr="00D000A7" w:rsidR="00D000A7">
        <w:t>PG&amp;E should be required to replace ALL of the service lines and equipment that was destroyed in the fire, whether they were in mobile spaces or in common areas.</w:t>
      </w:r>
      <w:r w:rsidR="00462919">
        <w:t>”</w:t>
      </w:r>
      <w:r w:rsidR="00A6624A">
        <w:rPr>
          <w:rStyle w:val="FootnoteReference"/>
        </w:rPr>
        <w:footnoteReference w:id="130"/>
      </w:r>
      <w:r w:rsidR="00E379F1">
        <w:t xml:space="preserve">  </w:t>
      </w:r>
    </w:p>
    <w:p w:rsidR="001E336C" w:rsidP="0024459D" w:rsidRDefault="001E336C" w14:paraId="6E5D0F32" w14:textId="031CF26B"/>
    <w:p w:rsidR="001E336C" w:rsidP="0024459D" w:rsidRDefault="001E336C" w14:paraId="088CB317" w14:textId="11EEEDB7">
      <w:r>
        <w:t xml:space="preserve">Ridgewood MHP also commented that </w:t>
      </w:r>
      <w:r w:rsidR="00251503">
        <w:t>“</w:t>
      </w:r>
      <w:r w:rsidR="00FD3AE1">
        <w:t>T</w:t>
      </w:r>
      <w:r w:rsidRPr="00251503" w:rsidR="00251503">
        <w:t xml:space="preserve">here were other electrical services destroyed by the Camp Fire; i.e. street lighting and septic tank pumps in my MHP for example. </w:t>
      </w:r>
      <w:r w:rsidR="00251503">
        <w:t xml:space="preserve"> </w:t>
      </w:r>
      <w:r w:rsidRPr="00251503" w:rsidR="00251503">
        <w:t>These services should be replaced by the Rebuild Program.</w:t>
      </w:r>
      <w:r w:rsidR="00251503">
        <w:t>”</w:t>
      </w:r>
      <w:r w:rsidR="00816F3B">
        <w:rPr>
          <w:rStyle w:val="FootnoteReference"/>
        </w:rPr>
        <w:footnoteReference w:id="131"/>
      </w:r>
    </w:p>
    <w:p w:rsidR="000B2932" w:rsidP="0024459D" w:rsidRDefault="000B2932" w14:paraId="51ABB871" w14:textId="43CFA96F"/>
    <w:p w:rsidR="000B2932" w:rsidP="0024459D" w:rsidRDefault="00751E6F" w14:paraId="10A3CDC3" w14:textId="212A220D">
      <w:r>
        <w:t xml:space="preserve">PG&amp;E also </w:t>
      </w:r>
      <w:r w:rsidR="00F474AC">
        <w:t>requested</w:t>
      </w:r>
      <w:r w:rsidR="00E112A4">
        <w:t xml:space="preserve"> </w:t>
      </w:r>
      <w:r w:rsidR="00A0588B">
        <w:t xml:space="preserve">that </w:t>
      </w:r>
      <w:r w:rsidR="00E112A4">
        <w:t xml:space="preserve">the Commission allow them to continue extending to-the-meter services to permanent </w:t>
      </w:r>
      <w:r w:rsidR="004342A6">
        <w:t>fixed foundation residential structure</w:t>
      </w:r>
      <w:r w:rsidR="006043AB">
        <w:t>s as part of the Rebuild Program.</w:t>
      </w:r>
      <w:r w:rsidR="00976D6B">
        <w:rPr>
          <w:rStyle w:val="FootnoteReference"/>
        </w:rPr>
        <w:footnoteReference w:id="132"/>
      </w:r>
      <w:r w:rsidR="006043AB">
        <w:t xml:space="preserve">  </w:t>
      </w:r>
      <w:r>
        <w:t xml:space="preserve"> </w:t>
      </w:r>
      <w:r w:rsidR="00B74F47">
        <w:t xml:space="preserve">PG&amp;E indicated that this </w:t>
      </w:r>
      <w:r w:rsidR="006665A9">
        <w:t>would</w:t>
      </w:r>
      <w:r w:rsidR="00793282">
        <w:t xml:space="preserve"> meet </w:t>
      </w:r>
      <w:r w:rsidR="008D4B50">
        <w:t xml:space="preserve">PG&amp;E’s </w:t>
      </w:r>
      <w:r w:rsidRPr="008D4B50" w:rsidR="008D4B50">
        <w:t xml:space="preserve">commitment to rebuild utility infrastructure that was damaged due to the CAMP fire.  </w:t>
      </w:r>
      <w:r w:rsidR="00FD3AE1">
        <w:t xml:space="preserve">PG&amp;E </w:t>
      </w:r>
      <w:r w:rsidR="008D4B50">
        <w:t xml:space="preserve">also </w:t>
      </w:r>
      <w:r w:rsidR="00FD3AE1">
        <w:t>indicated that “</w:t>
      </w:r>
      <w:r w:rsidRPr="00FD3AE1" w:rsidR="00FD3AE1">
        <w:t xml:space="preserve">While other applications can complete these services independent to the Butte County Mobilehome Park Rebuild Program, it is more cost efficient and timely for PG&amp;E to complete these services under the same program as PG&amp;E can leverage minimal handoffs and resource synergies </w:t>
      </w:r>
      <w:r w:rsidRPr="00FD3AE1" w:rsidR="00FD3AE1">
        <w:lastRenderedPageBreak/>
        <w:t>available to complete the work when compared to completing these services under an alternative application.</w:t>
      </w:r>
      <w:r w:rsidR="00FD3AE1">
        <w:t>”</w:t>
      </w:r>
      <w:r w:rsidR="002A0C94">
        <w:rPr>
          <w:rStyle w:val="FootnoteReference"/>
        </w:rPr>
        <w:footnoteReference w:id="133"/>
      </w:r>
    </w:p>
    <w:p w:rsidR="00FD3AE1" w:rsidP="0024459D" w:rsidRDefault="00FD3AE1" w14:paraId="31E9BD0A" w14:textId="6F05E399"/>
    <w:p w:rsidR="00824FE4" w:rsidP="00575196" w:rsidRDefault="002C459C" w14:paraId="4626C023" w14:textId="68690870">
      <w:r>
        <w:t>The Commission</w:t>
      </w:r>
      <w:r w:rsidR="001E1822">
        <w:t xml:space="preserve"> </w:t>
      </w:r>
      <w:r w:rsidR="00CA6D12">
        <w:t xml:space="preserve">agrees </w:t>
      </w:r>
      <w:r w:rsidR="009031A2">
        <w:t xml:space="preserve">that </w:t>
      </w:r>
      <w:r w:rsidRPr="00D2684E" w:rsidR="00812587">
        <w:t xml:space="preserve">to-the-meter eligibility </w:t>
      </w:r>
      <w:r w:rsidR="009031A2">
        <w:t xml:space="preserve">should be extended </w:t>
      </w:r>
      <w:r w:rsidRPr="00D2684E" w:rsidR="00812587">
        <w:t>to permanent fixed foundation residential structures</w:t>
      </w:r>
      <w:r w:rsidR="00E0108F">
        <w:t xml:space="preserve"> in this </w:t>
      </w:r>
      <w:r w:rsidR="00367439">
        <w:t>program</w:t>
      </w:r>
      <w:r w:rsidR="009031A2">
        <w:t xml:space="preserve">.  </w:t>
      </w:r>
      <w:r w:rsidR="009A504C">
        <w:t xml:space="preserve">PG&amp;E </w:t>
      </w:r>
      <w:r w:rsidR="00575196">
        <w:t xml:space="preserve">also is not prohibited </w:t>
      </w:r>
      <w:r w:rsidR="00D74609">
        <w:t>from</w:t>
      </w:r>
      <w:r w:rsidR="00222B71">
        <w:t xml:space="preserve"> perform</w:t>
      </w:r>
      <w:r w:rsidR="00D74609">
        <w:t>ing</w:t>
      </w:r>
      <w:r w:rsidR="00222B71">
        <w:t xml:space="preserve"> rebuild work beyond </w:t>
      </w:r>
      <w:r w:rsidR="0099583D">
        <w:t xml:space="preserve">the </w:t>
      </w:r>
      <w:r w:rsidR="002279C7">
        <w:t>scope specified in D.20-04-004</w:t>
      </w:r>
      <w:r w:rsidR="00716DFE">
        <w:t xml:space="preserve">.  However, </w:t>
      </w:r>
      <w:r w:rsidR="00824FE4">
        <w:t>this work will not be recoverable through rates.</w:t>
      </w:r>
      <w:r w:rsidR="00126311">
        <w:rPr>
          <w:rStyle w:val="FootnoteReference"/>
        </w:rPr>
        <w:footnoteReference w:id="134"/>
      </w:r>
    </w:p>
    <w:p w:rsidR="00111C1B" w:rsidP="005E7082" w:rsidRDefault="00111C1B" w14:paraId="2A06B13F" w14:textId="77777777">
      <w:pPr>
        <w:spacing w:after="120"/>
        <w:rPr>
          <w:b/>
          <w:bCs/>
        </w:rPr>
      </w:pPr>
    </w:p>
    <w:p w:rsidR="00FD3AE1" w:rsidP="00D2684E" w:rsidRDefault="00655132" w14:paraId="4FF962E9" w14:textId="3782A528">
      <w:pPr>
        <w:spacing w:after="120"/>
        <w:rPr>
          <w:b/>
          <w:bCs/>
        </w:rPr>
      </w:pPr>
      <w:r w:rsidRPr="00D2684E">
        <w:rPr>
          <w:b/>
          <w:bCs/>
        </w:rPr>
        <w:t>Pedestal</w:t>
      </w:r>
      <w:r w:rsidR="009B3933">
        <w:rPr>
          <w:b/>
          <w:bCs/>
        </w:rPr>
        <w:t xml:space="preserve"> </w:t>
      </w:r>
      <w:r w:rsidRPr="00D2684E">
        <w:rPr>
          <w:b/>
          <w:bCs/>
        </w:rPr>
        <w:t>Installment</w:t>
      </w:r>
      <w:r w:rsidR="006820F8">
        <w:rPr>
          <w:b/>
          <w:bCs/>
        </w:rPr>
        <w:t xml:space="preserve"> ahead of Mobilehome Repopulation</w:t>
      </w:r>
    </w:p>
    <w:p w:rsidR="007F054B" w:rsidP="00575196" w:rsidRDefault="00BE380F" w14:paraId="1ADFEC24" w14:textId="11E79E05">
      <w:r w:rsidRPr="00BE380F">
        <w:t xml:space="preserve">Forest Glen MHP </w:t>
      </w:r>
      <w:r>
        <w:t>commented on S</w:t>
      </w:r>
      <w:r w:rsidRPr="00BA0AEA" w:rsidR="00BA0AEA">
        <w:t xml:space="preserve">ection 10.6 of the Butte County Mobilehome Park Rebuild Program Agreement </w:t>
      </w:r>
      <w:r>
        <w:t xml:space="preserve">regarding </w:t>
      </w:r>
      <w:r w:rsidRPr="00BA0AEA" w:rsidR="00BA0AEA">
        <w:t>installation of the electric pedestal.</w:t>
      </w:r>
      <w:r>
        <w:t xml:space="preserve">  </w:t>
      </w:r>
      <w:r w:rsidR="00F070F9">
        <w:t xml:space="preserve">They </w:t>
      </w:r>
      <w:r w:rsidR="002A7781">
        <w:t>considered</w:t>
      </w:r>
      <w:r w:rsidR="00D32CE3">
        <w:t xml:space="preserve"> th</w:t>
      </w:r>
      <w:r w:rsidR="007F054B">
        <w:t xml:space="preserve">is requirement </w:t>
      </w:r>
      <w:r w:rsidR="002A7781">
        <w:t xml:space="preserve">as </w:t>
      </w:r>
      <w:r w:rsidR="0070271D">
        <w:t>“</w:t>
      </w:r>
      <w:r w:rsidR="002A7781">
        <w:t>a welcome change</w:t>
      </w:r>
      <w:r w:rsidR="0070271D">
        <w:t>” in</w:t>
      </w:r>
      <w:r w:rsidR="00FB4145">
        <w:t xml:space="preserve"> </w:t>
      </w:r>
      <w:r w:rsidR="007F054B">
        <w:t>the Resolution.</w:t>
      </w:r>
      <w:r w:rsidR="00140BA1">
        <w:rPr>
          <w:rStyle w:val="FootnoteReference"/>
        </w:rPr>
        <w:footnoteReference w:id="135"/>
      </w:r>
    </w:p>
    <w:p w:rsidR="007F054B" w:rsidP="00575196" w:rsidRDefault="007F054B" w14:paraId="20E66B06" w14:textId="77777777"/>
    <w:p w:rsidRPr="00D2684E" w:rsidR="006820F8" w:rsidP="00D2684E" w:rsidRDefault="00CF7E6E" w14:paraId="260C4E47" w14:textId="56D93C21">
      <w:pPr>
        <w:spacing w:after="120"/>
        <w:rPr>
          <w:b/>
          <w:bCs/>
        </w:rPr>
      </w:pPr>
      <w:r w:rsidRPr="00D2684E">
        <w:rPr>
          <w:b/>
          <w:bCs/>
        </w:rPr>
        <w:t>Remit</w:t>
      </w:r>
      <w:r w:rsidR="00006A97">
        <w:rPr>
          <w:b/>
          <w:bCs/>
        </w:rPr>
        <w:t>m</w:t>
      </w:r>
      <w:r w:rsidRPr="00D2684E">
        <w:rPr>
          <w:b/>
          <w:bCs/>
        </w:rPr>
        <w:t>ent of insurance claim payment to the Rebuild Program</w:t>
      </w:r>
    </w:p>
    <w:p w:rsidR="002B56DD" w:rsidP="0024459D" w:rsidRDefault="00C4472C" w14:paraId="2850FFE0" w14:textId="1F781D2C">
      <w:r w:rsidRPr="00C4472C">
        <w:t>Forest Glen MHP</w:t>
      </w:r>
      <w:r w:rsidR="007F1468">
        <w:t xml:space="preserve"> commented that it is not a mastered-meter park</w:t>
      </w:r>
      <w:r w:rsidR="00FA3004">
        <w:t xml:space="preserve"> and </w:t>
      </w:r>
      <w:r w:rsidR="005514F7">
        <w:t xml:space="preserve">had </w:t>
      </w:r>
      <w:r w:rsidR="00FA3004">
        <w:t>no insurance coverage on PG&amp;E owned gas and electric lines.</w:t>
      </w:r>
      <w:r w:rsidR="00FA3004">
        <w:rPr>
          <w:rStyle w:val="FootnoteReference"/>
        </w:rPr>
        <w:footnoteReference w:id="136"/>
      </w:r>
      <w:r w:rsidR="00FA3004">
        <w:t xml:space="preserve">  </w:t>
      </w:r>
    </w:p>
    <w:p w:rsidR="00FA3004" w:rsidP="0024459D" w:rsidRDefault="00FA3004" w14:paraId="491A1984" w14:textId="0951A8C9"/>
    <w:p w:rsidR="00FA3004" w:rsidP="0024459D" w:rsidRDefault="00FA3004" w14:paraId="1CC4D39B" w14:textId="66E4AA42">
      <w:r>
        <w:t xml:space="preserve">Ridgewood MHP </w:t>
      </w:r>
      <w:r w:rsidR="00E170BF">
        <w:t xml:space="preserve">also </w:t>
      </w:r>
      <w:r>
        <w:t xml:space="preserve">commented that </w:t>
      </w:r>
      <w:r w:rsidR="0055603A">
        <w:t>insurance claim remit</w:t>
      </w:r>
      <w:r w:rsidR="005514F7">
        <w:t>m</w:t>
      </w:r>
      <w:r w:rsidR="0055603A">
        <w:t>ent is a pro</w:t>
      </w:r>
      <w:r w:rsidR="00CC0F19">
        <w:t xml:space="preserve">blematic requirement.  </w:t>
      </w:r>
      <w:r w:rsidR="0087382B">
        <w:t xml:space="preserve">It offers </w:t>
      </w:r>
      <w:r w:rsidR="009D7EB0">
        <w:t>the following point</w:t>
      </w:r>
      <w:r w:rsidR="009957E4">
        <w:t>s</w:t>
      </w:r>
      <w:r w:rsidR="009D7EB0">
        <w:t xml:space="preserve"> of consideration:</w:t>
      </w:r>
      <w:r w:rsidR="00BF13CD">
        <w:rPr>
          <w:rStyle w:val="FootnoteReference"/>
        </w:rPr>
        <w:footnoteReference w:id="137"/>
      </w:r>
    </w:p>
    <w:p w:rsidR="00BC0EFA" w:rsidP="00FD36A8" w:rsidRDefault="006D2DDA" w14:paraId="28D9FA9E" w14:textId="1679007D">
      <w:pPr>
        <w:pStyle w:val="ListParagraph"/>
        <w:numPr>
          <w:ilvl w:val="0"/>
          <w:numId w:val="66"/>
        </w:numPr>
      </w:pPr>
      <w:r>
        <w:t xml:space="preserve">Most insurance policies have general </w:t>
      </w:r>
      <w:r w:rsidR="00A547FD">
        <w:t>coverages</w:t>
      </w:r>
      <w:r>
        <w:t xml:space="preserve"> and </w:t>
      </w:r>
      <w:r w:rsidR="00791715">
        <w:t xml:space="preserve">it could be difficult to separate </w:t>
      </w:r>
      <w:r w:rsidR="007D7842">
        <w:t>electric and gas service</w:t>
      </w:r>
      <w:r w:rsidR="00B8562A">
        <w:t xml:space="preserve"> coverages</w:t>
      </w:r>
      <w:r w:rsidR="007D7842">
        <w:t xml:space="preserve"> from other non-energy utilities</w:t>
      </w:r>
      <w:r w:rsidR="00A547FD">
        <w:t xml:space="preserve"> coverages.</w:t>
      </w:r>
    </w:p>
    <w:p w:rsidR="00A547FD" w:rsidP="00FD36A8" w:rsidRDefault="00C621AA" w14:paraId="0A000F97" w14:textId="646BC9A7">
      <w:pPr>
        <w:pStyle w:val="ListParagraph"/>
        <w:numPr>
          <w:ilvl w:val="0"/>
          <w:numId w:val="66"/>
        </w:numPr>
      </w:pPr>
      <w:r>
        <w:t xml:space="preserve">It could be difficult to </w:t>
      </w:r>
      <w:r w:rsidR="00D57A9A">
        <w:t xml:space="preserve">implement this requirement when </w:t>
      </w:r>
      <w:r w:rsidR="000813DC">
        <w:t xml:space="preserve">electric and gas utilities were installed </w:t>
      </w:r>
      <w:r w:rsidR="007131D2">
        <w:t>by</w:t>
      </w:r>
      <w:r w:rsidRPr="00D302C2" w:rsidR="00D302C2">
        <w:t xml:space="preserve"> both</w:t>
      </w:r>
      <w:r w:rsidR="007131D2">
        <w:t xml:space="preserve"> </w:t>
      </w:r>
      <w:r w:rsidR="00820B17">
        <w:t xml:space="preserve">PG&amp;E and the </w:t>
      </w:r>
      <w:r w:rsidR="00D302C2">
        <w:t>MHP owner.</w:t>
      </w:r>
    </w:p>
    <w:p w:rsidR="00D302C2" w:rsidP="00FD36A8" w:rsidRDefault="004F048C" w14:paraId="529A7BD2" w14:textId="7320D68F">
      <w:pPr>
        <w:pStyle w:val="ListParagraph"/>
        <w:numPr>
          <w:ilvl w:val="0"/>
          <w:numId w:val="66"/>
        </w:numPr>
      </w:pPr>
      <w:r w:rsidRPr="004F048C">
        <w:t xml:space="preserve">If the insurance utility coverage for </w:t>
      </w:r>
      <w:r w:rsidR="007A2438">
        <w:t>electric and gas</w:t>
      </w:r>
      <w:r w:rsidRPr="004F048C">
        <w:t xml:space="preserve"> service</w:t>
      </w:r>
      <w:r w:rsidR="007A2438">
        <w:t>s</w:t>
      </w:r>
      <w:r w:rsidRPr="004F048C">
        <w:t xml:space="preserve"> can be separated and remitted to PG&amp;E, </w:t>
      </w:r>
      <w:r w:rsidR="00B46935">
        <w:t>w</w:t>
      </w:r>
      <w:r w:rsidR="00267532">
        <w:t xml:space="preserve">ould </w:t>
      </w:r>
      <w:r w:rsidR="00716234">
        <w:t xml:space="preserve">PG&amp;E </w:t>
      </w:r>
      <w:r w:rsidRPr="003879BE" w:rsidR="003879BE">
        <w:t>reimburse</w:t>
      </w:r>
      <w:r w:rsidR="00B52DD1">
        <w:t xml:space="preserve"> </w:t>
      </w:r>
      <w:r w:rsidRPr="003879BE" w:rsidR="003879BE">
        <w:t xml:space="preserve">the </w:t>
      </w:r>
      <w:r w:rsidR="00F97E6A">
        <w:t>MHP</w:t>
      </w:r>
      <w:r w:rsidRPr="003879BE" w:rsidR="003879BE">
        <w:t xml:space="preserve"> owner</w:t>
      </w:r>
      <w:r w:rsidR="00F97E6A">
        <w:t>s</w:t>
      </w:r>
      <w:r w:rsidRPr="003879BE" w:rsidR="003879BE">
        <w:t xml:space="preserve"> for the cost of insurance premiums that were paid </w:t>
      </w:r>
      <w:r w:rsidR="00B45A58">
        <w:t>over the</w:t>
      </w:r>
      <w:r w:rsidRPr="003879BE" w:rsidR="003879BE">
        <w:t xml:space="preserve"> years</w:t>
      </w:r>
      <w:r w:rsidR="006C7214">
        <w:t>?</w:t>
      </w:r>
    </w:p>
    <w:p w:rsidR="003879BE" w:rsidP="00FD36A8" w:rsidRDefault="00722911" w14:paraId="6224999D" w14:textId="60807C66">
      <w:pPr>
        <w:pStyle w:val="ListParagraph"/>
        <w:numPr>
          <w:ilvl w:val="0"/>
          <w:numId w:val="66"/>
        </w:numPr>
      </w:pPr>
      <w:r>
        <w:lastRenderedPageBreak/>
        <w:t>M</w:t>
      </w:r>
      <w:r w:rsidR="005466CB">
        <w:t xml:space="preserve">ortgagee of a MHP </w:t>
      </w:r>
      <w:r w:rsidR="00E451FE">
        <w:t xml:space="preserve">who has the first rights to the insurance proceeds </w:t>
      </w:r>
      <w:r w:rsidR="00942158">
        <w:t>would have</w:t>
      </w:r>
      <w:r w:rsidR="009C2ACF">
        <w:t xml:space="preserve"> to </w:t>
      </w:r>
      <w:r w:rsidR="00E451FE">
        <w:t>agree</w:t>
      </w:r>
      <w:r w:rsidR="0065619B">
        <w:t xml:space="preserve"> to this requirement</w:t>
      </w:r>
      <w:r w:rsidR="009C2ACF">
        <w:t>.</w:t>
      </w:r>
    </w:p>
    <w:p w:rsidR="0065619B" w:rsidP="00FD36A8" w:rsidRDefault="003D3E02" w14:paraId="43116088" w14:textId="31727113">
      <w:pPr>
        <w:pStyle w:val="ListParagraph"/>
        <w:numPr>
          <w:ilvl w:val="0"/>
          <w:numId w:val="66"/>
        </w:numPr>
      </w:pPr>
      <w:r>
        <w:t>A</w:t>
      </w:r>
      <w:r w:rsidR="00DD5C90">
        <w:t xml:space="preserve"> MHP owner</w:t>
      </w:r>
      <w:r>
        <w:t xml:space="preserve"> might have paid taxes or reinvested the fund</w:t>
      </w:r>
      <w:r w:rsidR="0010664F">
        <w:t>s</w:t>
      </w:r>
      <w:r>
        <w:t xml:space="preserve"> from the insurance proceeds.</w:t>
      </w:r>
    </w:p>
    <w:p w:rsidR="003D3E02" w:rsidP="00FD36A8" w:rsidRDefault="0068624B" w14:paraId="62BAD817" w14:textId="6C195A07">
      <w:pPr>
        <w:pStyle w:val="ListParagraph"/>
        <w:numPr>
          <w:ilvl w:val="0"/>
          <w:numId w:val="66"/>
        </w:numPr>
      </w:pPr>
      <w:r>
        <w:t>It is questionable whether PG&amp;E has the right to the insurance proceeds.</w:t>
      </w:r>
    </w:p>
    <w:p w:rsidR="00992BE9" w:rsidP="00992BE9" w:rsidRDefault="00992BE9" w14:paraId="5C251AC8" w14:textId="5AB135BE"/>
    <w:p w:rsidR="00CE161B" w:rsidP="0024459D" w:rsidRDefault="00E914D2" w14:paraId="537EE72B" w14:textId="3C313484">
      <w:r>
        <w:t xml:space="preserve">The Commission </w:t>
      </w:r>
      <w:r w:rsidR="00783A4C">
        <w:t xml:space="preserve">agrees </w:t>
      </w:r>
      <w:r w:rsidR="007155BE">
        <w:t>with the</w:t>
      </w:r>
      <w:r w:rsidR="00783A4C">
        <w:t xml:space="preserve"> </w:t>
      </w:r>
      <w:r w:rsidR="007155BE">
        <w:t xml:space="preserve">points brought up by </w:t>
      </w:r>
      <w:r w:rsidR="000877EB">
        <w:t xml:space="preserve">Ridgewood MHP and </w:t>
      </w:r>
      <w:r>
        <w:t xml:space="preserve">recognizes the </w:t>
      </w:r>
      <w:r w:rsidR="00783A4C">
        <w:t>challenges</w:t>
      </w:r>
      <w:r w:rsidR="00252B7B">
        <w:t xml:space="preserve"> to equitably administering this requirement</w:t>
      </w:r>
      <w:r w:rsidR="00D2384C">
        <w:t xml:space="preserve">.  Therefore, the Commission </w:t>
      </w:r>
      <w:r w:rsidR="007F716A">
        <w:t>will waive the insurance</w:t>
      </w:r>
      <w:r w:rsidR="00783A4C">
        <w:t xml:space="preserve"> </w:t>
      </w:r>
      <w:r w:rsidR="00D2384C">
        <w:t>remit</w:t>
      </w:r>
      <w:r w:rsidR="00495415">
        <w:t>m</w:t>
      </w:r>
      <w:r w:rsidR="007F716A">
        <w:t>ent requirement</w:t>
      </w:r>
      <w:r w:rsidR="007A74C1">
        <w:t xml:space="preserve"> as specified in the original </w:t>
      </w:r>
      <w:r w:rsidR="00B13179">
        <w:t>OP 8</w:t>
      </w:r>
      <w:r w:rsidR="00AA6D37">
        <w:t xml:space="preserve"> of this resolution</w:t>
      </w:r>
      <w:r w:rsidR="007F716A">
        <w:t>.</w:t>
      </w:r>
      <w:r w:rsidR="00B13179">
        <w:rPr>
          <w:rStyle w:val="FootnoteReference"/>
        </w:rPr>
        <w:footnoteReference w:id="138"/>
      </w:r>
    </w:p>
    <w:p w:rsidR="007F716A" w:rsidP="0024459D" w:rsidRDefault="007F716A" w14:paraId="5BBD9C45" w14:textId="29695788"/>
    <w:p w:rsidRPr="00D2684E" w:rsidR="007F716A" w:rsidP="00D2684E" w:rsidRDefault="00495903" w14:paraId="494FB607" w14:textId="46B86F2A">
      <w:pPr>
        <w:spacing w:after="120"/>
        <w:rPr>
          <w:b/>
          <w:bCs/>
        </w:rPr>
      </w:pPr>
      <w:r w:rsidRPr="00D2684E">
        <w:rPr>
          <w:b/>
          <w:bCs/>
        </w:rPr>
        <w:t>Coordination with non-energy service providers on rebuild and upgrade participation</w:t>
      </w:r>
    </w:p>
    <w:p w:rsidR="00495903" w:rsidP="0024459D" w:rsidRDefault="00492261" w14:paraId="476504DB" w14:textId="55F69EA9">
      <w:r w:rsidRPr="00492261">
        <w:t>Forest Glen MHP commented</w:t>
      </w:r>
      <w:r>
        <w:t xml:space="preserve"> on the </w:t>
      </w:r>
      <w:r w:rsidR="001942E9">
        <w:t>high cost</w:t>
      </w:r>
      <w:r w:rsidR="00405CAA">
        <w:t xml:space="preserve"> to allow Comcast lines to install in PG&amp;E trenches.</w:t>
      </w:r>
      <w:r w:rsidR="001C399F">
        <w:t xml:space="preserve">  </w:t>
      </w:r>
      <w:r w:rsidR="006518CE">
        <w:t>They stated that “</w:t>
      </w:r>
      <w:r w:rsidRPr="00D2684E" w:rsidR="006518CE">
        <w:t>I asked my PG&amp;E contractor about the feasibility of allowing Comcast lines in the PG&amp;E trenches.  I was quoted an approximate cost of $400,000 to allow that.”</w:t>
      </w:r>
      <w:r w:rsidR="009C19CE">
        <w:rPr>
          <w:rStyle w:val="FootnoteReference"/>
        </w:rPr>
        <w:footnoteReference w:id="139"/>
      </w:r>
    </w:p>
    <w:p w:rsidR="007F716A" w:rsidP="0024459D" w:rsidRDefault="007F716A" w14:paraId="46EBD077" w14:textId="5FA92F8F"/>
    <w:p w:rsidR="007F716A" w:rsidP="0024459D" w:rsidRDefault="008C4DD2" w14:paraId="789261FA" w14:textId="6656F520">
      <w:r w:rsidRPr="008C4DD2">
        <w:t>Glen Fuller</w:t>
      </w:r>
      <w:r>
        <w:t>, member of the</w:t>
      </w:r>
      <w:r w:rsidRPr="008C4DD2">
        <w:t xml:space="preserve"> </w:t>
      </w:r>
      <w:r w:rsidR="00BC48A2">
        <w:t xml:space="preserve">Ridgewood MHP also commented that </w:t>
      </w:r>
      <w:r w:rsidR="004007B4">
        <w:t xml:space="preserve">he </w:t>
      </w:r>
      <w:r w:rsidR="009D6078">
        <w:t xml:space="preserve">has </w:t>
      </w:r>
      <w:r w:rsidR="00915DFE">
        <w:t>“</w:t>
      </w:r>
      <w:r w:rsidRPr="00915DFE" w:rsidR="00915DFE">
        <w:t>heard from several park owners in the process of rebuilding that Comcast is quoting an extremely high price to provide cable service for which there was no cost in the past to the park owner.  I can only surmise that PG&amp;E’s quoted cost for trench sharing is discouraging this practice. In my opinion PG&amp;E should offer this service “at cost” and not for “cost recovery” to cable and internet suppliers and also to park owners for routing the power for street lighting.</w:t>
      </w:r>
      <w:r w:rsidR="00915DFE">
        <w:t>”</w:t>
      </w:r>
    </w:p>
    <w:p w:rsidR="0075657E" w:rsidP="0024459D" w:rsidRDefault="0075657E" w14:paraId="3106BC6B" w14:textId="6A772F02"/>
    <w:p w:rsidR="0075657E" w:rsidP="0024459D" w:rsidRDefault="00AB5507" w14:paraId="79534D45" w14:textId="6FF024FD">
      <w:r>
        <w:lastRenderedPageBreak/>
        <w:t xml:space="preserve">The Commission </w:t>
      </w:r>
      <w:r w:rsidR="00FF7580">
        <w:t xml:space="preserve">will </w:t>
      </w:r>
      <w:r w:rsidR="00A20600">
        <w:t xml:space="preserve">not respond to </w:t>
      </w:r>
      <w:r w:rsidR="00EF37B5">
        <w:t xml:space="preserve">allegations </w:t>
      </w:r>
      <w:r w:rsidR="00B937D7">
        <w:t>without</w:t>
      </w:r>
      <w:r w:rsidR="00AC7941">
        <w:t xml:space="preserve"> a record of the</w:t>
      </w:r>
      <w:r w:rsidR="00B937D7">
        <w:t xml:space="preserve"> specific facts of the projects.  </w:t>
      </w:r>
      <w:r w:rsidR="00771C7C">
        <w:t xml:space="preserve">PG&amp;E </w:t>
      </w:r>
      <w:r w:rsidR="00DD0036">
        <w:t xml:space="preserve">may request </w:t>
      </w:r>
      <w:r w:rsidR="00D12E24">
        <w:t xml:space="preserve">non-energy </w:t>
      </w:r>
      <w:r w:rsidR="00DD0036">
        <w:t xml:space="preserve">utilities to pay for </w:t>
      </w:r>
      <w:r w:rsidR="00CC0409">
        <w:t xml:space="preserve">their fair shares of the </w:t>
      </w:r>
      <w:r w:rsidRPr="00526158" w:rsidR="00526158">
        <w:t xml:space="preserve">joint trench </w:t>
      </w:r>
      <w:r w:rsidR="005053A6">
        <w:t>costs</w:t>
      </w:r>
      <w:r w:rsidR="005D733A">
        <w:t xml:space="preserve"> and MHP owners </w:t>
      </w:r>
      <w:r w:rsidR="00713B49">
        <w:t xml:space="preserve">to pay </w:t>
      </w:r>
      <w:r w:rsidR="00134BC6">
        <w:t xml:space="preserve">for </w:t>
      </w:r>
      <w:r w:rsidR="00725C45">
        <w:t xml:space="preserve">providing electric </w:t>
      </w:r>
      <w:r w:rsidR="008F5FE0">
        <w:t>service</w:t>
      </w:r>
      <w:r w:rsidR="00134BC6">
        <w:t xml:space="preserve"> </w:t>
      </w:r>
      <w:r w:rsidR="00CB0B54">
        <w:t xml:space="preserve">to streetlights </w:t>
      </w:r>
      <w:r w:rsidR="00134BC6">
        <w:t xml:space="preserve">according to the applicable </w:t>
      </w:r>
      <w:r w:rsidR="00A63DD0">
        <w:t>tariff</w:t>
      </w:r>
      <w:r w:rsidR="00560D88">
        <w:t>s</w:t>
      </w:r>
      <w:r w:rsidR="00A63DD0">
        <w:t>.</w:t>
      </w:r>
      <w:r w:rsidR="005D733A">
        <w:t xml:space="preserve"> </w:t>
      </w:r>
    </w:p>
    <w:p w:rsidR="009F76D3" w:rsidP="0024459D" w:rsidRDefault="009F76D3" w14:paraId="38AE0B81" w14:textId="2D02E5DB"/>
    <w:p w:rsidRPr="00D2684E" w:rsidR="009F76D3" w:rsidP="00D2684E" w:rsidRDefault="00CB5CC3" w14:paraId="6338C505" w14:textId="2E447D3B">
      <w:pPr>
        <w:spacing w:after="120"/>
        <w:rPr>
          <w:b/>
          <w:bCs/>
        </w:rPr>
      </w:pPr>
      <w:r w:rsidRPr="00D2684E">
        <w:rPr>
          <w:b/>
          <w:bCs/>
        </w:rPr>
        <w:t xml:space="preserve">Providing </w:t>
      </w:r>
      <w:r w:rsidRPr="00D2684E" w:rsidR="009308F7">
        <w:rPr>
          <w:b/>
          <w:bCs/>
        </w:rPr>
        <w:t xml:space="preserve">200-amp </w:t>
      </w:r>
      <w:r w:rsidRPr="00D2684E">
        <w:rPr>
          <w:b/>
          <w:bCs/>
        </w:rPr>
        <w:t xml:space="preserve">Electric </w:t>
      </w:r>
      <w:r w:rsidRPr="00D2684E" w:rsidR="009308F7">
        <w:rPr>
          <w:b/>
          <w:bCs/>
        </w:rPr>
        <w:t>service</w:t>
      </w:r>
    </w:p>
    <w:p w:rsidR="009308F7" w:rsidP="0024459D" w:rsidRDefault="00937C73" w14:paraId="4A6E495E" w14:textId="1BEB446A">
      <w:r>
        <w:t xml:space="preserve">Ridgewood MHP commented that </w:t>
      </w:r>
      <w:r w:rsidR="00081250">
        <w:t>“</w:t>
      </w:r>
      <w:r w:rsidRPr="00081250" w:rsidR="00081250">
        <w:t>Why not just require 200 Amp service or set criteria such that the park owner can contribute a reasonable amount to make it happen; i.e. at worst case the park owner contributes only the material cost delta between what is proposed under this revised rebuild program and a full 200A service.</w:t>
      </w:r>
      <w:r w:rsidR="00226CCD">
        <w:t>”</w:t>
      </w:r>
      <w:r w:rsidR="003D5232">
        <w:rPr>
          <w:rStyle w:val="FootnoteReference"/>
        </w:rPr>
        <w:footnoteReference w:id="140"/>
      </w:r>
      <w:r w:rsidR="00226CCD">
        <w:t xml:space="preserve">  </w:t>
      </w:r>
    </w:p>
    <w:p w:rsidR="004F50D0" w:rsidP="0024459D" w:rsidRDefault="004F50D0" w14:paraId="09A1EEA7" w14:textId="244D36BD"/>
    <w:p w:rsidR="004F50D0" w:rsidP="0024459D" w:rsidRDefault="004F50D0" w14:paraId="4139C1BC" w14:textId="1993061E">
      <w:r>
        <w:t>On the other hand, PG&amp;E</w:t>
      </w:r>
      <w:r w:rsidR="004519DC">
        <w:t xml:space="preserve"> </w:t>
      </w:r>
      <w:r w:rsidR="008C36E4">
        <w:t>expressed concern</w:t>
      </w:r>
      <w:r w:rsidR="00667408">
        <w:t>s</w:t>
      </w:r>
      <w:r w:rsidR="004519DC">
        <w:t xml:space="preserve"> that the</w:t>
      </w:r>
      <w:r w:rsidR="003479DA">
        <w:t xml:space="preserve"> </w:t>
      </w:r>
      <w:r w:rsidR="003D5232">
        <w:t>200</w:t>
      </w:r>
      <w:r w:rsidR="00352E43">
        <w:t xml:space="preserve"> </w:t>
      </w:r>
      <w:r w:rsidR="003D5232">
        <w:t xml:space="preserve">amp service </w:t>
      </w:r>
      <w:r w:rsidR="00C32AAE">
        <w:t>cable upgrade would provide “</w:t>
      </w:r>
      <w:r w:rsidRPr="005A75B8" w:rsidR="005A75B8">
        <w:t>overbuilding infrastructure and installing potentially hazardous infrastructure while completing the Butte County Mobilehome Park Rebuild Program.</w:t>
      </w:r>
      <w:r w:rsidR="003D5232">
        <w:t>”</w:t>
      </w:r>
      <w:r w:rsidR="003D139F">
        <w:rPr>
          <w:rStyle w:val="FootnoteReference"/>
        </w:rPr>
        <w:footnoteReference w:id="141"/>
      </w:r>
      <w:r w:rsidR="00342C1A">
        <w:t xml:space="preserve">  </w:t>
      </w:r>
    </w:p>
    <w:p w:rsidR="003C33DF" w:rsidP="0024459D" w:rsidRDefault="003C33DF" w14:paraId="1DE30733" w14:textId="2997F822"/>
    <w:p w:rsidR="00377CAC" w:rsidP="0024459D" w:rsidRDefault="007078F7" w14:paraId="3431981C" w14:textId="309CE8F2">
      <w:r>
        <w:t xml:space="preserve">There seem to be </w:t>
      </w:r>
      <w:r w:rsidR="003B2DB9">
        <w:t xml:space="preserve">misconceptions </w:t>
      </w:r>
      <w:r w:rsidR="004F4FD6">
        <w:t>of</w:t>
      </w:r>
      <w:r w:rsidR="003B2DB9">
        <w:t xml:space="preserve"> </w:t>
      </w:r>
      <w:r w:rsidR="0054321F">
        <w:t>the intent of the Resolution</w:t>
      </w:r>
      <w:r w:rsidR="006806C1">
        <w:t xml:space="preserve"> by the parties</w:t>
      </w:r>
      <w:r w:rsidR="003B2DB9">
        <w:t>.</w:t>
      </w:r>
      <w:r w:rsidR="00671037">
        <w:t xml:space="preserve"> </w:t>
      </w:r>
      <w:r w:rsidR="003B2DB9">
        <w:t xml:space="preserve"> </w:t>
      </w:r>
      <w:r w:rsidR="00FD4898">
        <w:t xml:space="preserve">This Resolution </w:t>
      </w:r>
      <w:r w:rsidR="00060377">
        <w:t xml:space="preserve">does not require PG&amp;E to upgrade </w:t>
      </w:r>
      <w:r w:rsidR="002D50D5">
        <w:t>all mobilehomes to 200</w:t>
      </w:r>
      <w:r w:rsidR="002D669C">
        <w:t xml:space="preserve"> </w:t>
      </w:r>
      <w:r w:rsidR="002D50D5">
        <w:t xml:space="preserve">amp service.  But </w:t>
      </w:r>
      <w:r w:rsidR="005E1E80">
        <w:t>it does require PG&amp;E to upgrade service cable</w:t>
      </w:r>
      <w:r w:rsidR="00EA20D9">
        <w:t>s</w:t>
      </w:r>
      <w:r w:rsidR="005E1E80">
        <w:t xml:space="preserve"> to </w:t>
      </w:r>
      <w:r w:rsidR="00BE307E">
        <w:t xml:space="preserve">prepare for </w:t>
      </w:r>
      <w:r w:rsidR="00C1297A">
        <w:t xml:space="preserve">future </w:t>
      </w:r>
      <w:r w:rsidR="00987D94">
        <w:t>200</w:t>
      </w:r>
      <w:r w:rsidR="002D669C">
        <w:t xml:space="preserve"> </w:t>
      </w:r>
      <w:r w:rsidR="00987D94">
        <w:t xml:space="preserve">amp service </w:t>
      </w:r>
      <w:r w:rsidR="00C1297A">
        <w:t>upgrade</w:t>
      </w:r>
      <w:r w:rsidR="0074146A">
        <w:t>s</w:t>
      </w:r>
      <w:r w:rsidR="00EA20D9">
        <w:t>.</w:t>
      </w:r>
      <w:r w:rsidR="00BF005B">
        <w:rPr>
          <w:rStyle w:val="FootnoteReference"/>
        </w:rPr>
        <w:footnoteReference w:id="142"/>
      </w:r>
      <w:r w:rsidR="00EA20D9">
        <w:t xml:space="preserve">  </w:t>
      </w:r>
      <w:r w:rsidR="0026561F">
        <w:t>PG&amp;E also sh</w:t>
      </w:r>
      <w:r w:rsidR="001674BF">
        <w:t xml:space="preserve">all evaluate the </w:t>
      </w:r>
      <w:r w:rsidR="002D669C">
        <w:t>maximum number of 200 amp services</w:t>
      </w:r>
      <w:r w:rsidR="009F75E5">
        <w:t xml:space="preserve"> that can be supported by </w:t>
      </w:r>
      <w:r w:rsidR="00C460AE">
        <w:t xml:space="preserve">the contemplated </w:t>
      </w:r>
      <w:r w:rsidR="009F75E5">
        <w:t xml:space="preserve"> </w:t>
      </w:r>
      <w:r w:rsidR="008F6995">
        <w:t>transformers and distribution infrastructure</w:t>
      </w:r>
      <w:r w:rsidR="004415D8">
        <w:t>.</w:t>
      </w:r>
      <w:r w:rsidR="00C702B1">
        <w:t xml:space="preserve">  Th</w:t>
      </w:r>
      <w:r w:rsidR="00816873">
        <w:t xml:space="preserve">e </w:t>
      </w:r>
      <w:r w:rsidR="00C702B1">
        <w:t>level of</w:t>
      </w:r>
      <w:r w:rsidR="00A75175">
        <w:t xml:space="preserve"> transformer</w:t>
      </w:r>
      <w:r w:rsidR="00C702B1">
        <w:t xml:space="preserve"> infrastructure</w:t>
      </w:r>
      <w:r w:rsidR="00813257">
        <w:t xml:space="preserve"> contemplated for this program</w:t>
      </w:r>
      <w:r w:rsidR="00C702B1">
        <w:t xml:space="preserve"> is </w:t>
      </w:r>
      <w:r w:rsidR="00816873">
        <w:t>equal to th</w:t>
      </w:r>
      <w:r w:rsidR="000E39CD">
        <w:t xml:space="preserve">e </w:t>
      </w:r>
      <w:r w:rsidR="00A75175">
        <w:t>level in place prior to the Camp fire.</w:t>
      </w:r>
      <w:r w:rsidR="006D12B6">
        <w:t xml:space="preserve">  Wh</w:t>
      </w:r>
      <w:r w:rsidR="002122F4">
        <w:t>ile there may be minor upgrades required to secondary distribution infrastructure</w:t>
      </w:r>
      <w:r w:rsidR="00D118CC">
        <w:t xml:space="preserve"> to </w:t>
      </w:r>
      <w:r w:rsidR="003C68E7">
        <w:t xml:space="preserve">safely </w:t>
      </w:r>
      <w:r w:rsidR="00D118CC">
        <w:t xml:space="preserve">accommodate </w:t>
      </w:r>
      <w:r w:rsidR="00D014B0">
        <w:t xml:space="preserve">200 amp services, </w:t>
      </w:r>
      <w:r w:rsidR="006433E7">
        <w:t xml:space="preserve">this need has </w:t>
      </w:r>
      <w:r w:rsidR="006C0B1F">
        <w:t>yet to be</w:t>
      </w:r>
      <w:r w:rsidR="006433E7">
        <w:t xml:space="preserve"> established.</w:t>
      </w:r>
      <w:r w:rsidR="00AF1BD1">
        <w:t xml:space="preserve">  </w:t>
      </w:r>
      <w:r w:rsidRPr="003D5B09" w:rsidR="00AF1BD1">
        <w:t>PG&amp;E shall work with mobilehome park owners and operators to the extent feasible to determine which spaces</w:t>
      </w:r>
      <w:r w:rsidR="0032067D">
        <w:t xml:space="preserve">, within the maximum number that can be </w:t>
      </w:r>
      <w:r w:rsidR="00DF282F">
        <w:t>supported by the contemplated infrastructure</w:t>
      </w:r>
      <w:r w:rsidR="00E10400">
        <w:t>,</w:t>
      </w:r>
      <w:r w:rsidRPr="003D5B09" w:rsidR="00AF1BD1">
        <w:t xml:space="preserve"> would most benefit from a 200 amp service</w:t>
      </w:r>
      <w:r w:rsidR="000D0C73">
        <w:t>.</w:t>
      </w:r>
    </w:p>
    <w:p w:rsidR="00377CAC" w:rsidP="0024459D" w:rsidRDefault="0036294B" w14:paraId="78CD11A5" w14:textId="516D2041">
      <w:r>
        <w:lastRenderedPageBreak/>
        <w:t>I</w:t>
      </w:r>
      <w:r w:rsidR="00424D17">
        <w:t>f PG</w:t>
      </w:r>
      <w:r w:rsidR="00601F98">
        <w:t xml:space="preserve">&amp;E were </w:t>
      </w:r>
      <w:r w:rsidRPr="0036294B">
        <w:t>to provide 200 amp services to all residences of the mobilehome parks</w:t>
      </w:r>
      <w:r>
        <w:t>,</w:t>
      </w:r>
      <w:r w:rsidRPr="0036294B">
        <w:t xml:space="preserve"> </w:t>
      </w:r>
      <w:r w:rsidRPr="00D2684E" w:rsidR="00BF30B4">
        <w:t xml:space="preserve">PG&amp;E </w:t>
      </w:r>
      <w:r w:rsidR="00B0651D">
        <w:t>would have to</w:t>
      </w:r>
      <w:r w:rsidRPr="00D2684E" w:rsidR="00BF30B4">
        <w:t xml:space="preserve"> redesign the distribution systems of the mobilehome parks to determine </w:t>
      </w:r>
      <w:r w:rsidR="00FD4D79">
        <w:t xml:space="preserve">needed </w:t>
      </w:r>
      <w:r w:rsidRPr="00D2684E" w:rsidR="00BF30B4">
        <w:t xml:space="preserve">electric infrastructure upgrades.  This </w:t>
      </w:r>
      <w:r w:rsidR="00601F98">
        <w:t>would be</w:t>
      </w:r>
      <w:r w:rsidRPr="00D2684E" w:rsidR="00BF30B4">
        <w:t xml:space="preserve"> a major redesign project and w</w:t>
      </w:r>
      <w:r w:rsidR="00601F98">
        <w:t>ould</w:t>
      </w:r>
      <w:r w:rsidRPr="00D2684E" w:rsidR="00BF30B4">
        <w:t xml:space="preserve"> take </w:t>
      </w:r>
      <w:r w:rsidR="000C5A22">
        <w:t xml:space="preserve">a </w:t>
      </w:r>
      <w:r w:rsidRPr="00D2684E" w:rsidR="00BF30B4">
        <w:t xml:space="preserve">considerable amount of </w:t>
      </w:r>
      <w:r w:rsidR="001A6DDF">
        <w:t xml:space="preserve">PG&amp;E’s </w:t>
      </w:r>
      <w:r w:rsidRPr="00D2684E" w:rsidR="00BF30B4">
        <w:t>time and resources. </w:t>
      </w:r>
      <w:r w:rsidR="00C12F9A">
        <w:t xml:space="preserve"> </w:t>
      </w:r>
      <w:r w:rsidR="00F94A1C">
        <w:t>Furthermore, t</w:t>
      </w:r>
      <w:r w:rsidR="00C12F9A">
        <w:t>h</w:t>
      </w:r>
      <w:r w:rsidR="00E72356">
        <w:t>is might require</w:t>
      </w:r>
      <w:r w:rsidR="00C12F9A">
        <w:t xml:space="preserve"> </w:t>
      </w:r>
      <w:r w:rsidR="0013643C">
        <w:t xml:space="preserve">upgrades to the </w:t>
      </w:r>
      <w:r w:rsidR="00607F83">
        <w:t xml:space="preserve">primary and </w:t>
      </w:r>
      <w:r w:rsidR="0013643C">
        <w:t>secondary cabl</w:t>
      </w:r>
      <w:r w:rsidR="00176249">
        <w:t>e infrastructure</w:t>
      </w:r>
      <w:r w:rsidR="005D7962">
        <w:t xml:space="preserve">s and </w:t>
      </w:r>
      <w:r w:rsidR="00EE0771">
        <w:t xml:space="preserve">installations of additional </w:t>
      </w:r>
      <w:r w:rsidR="005D7962">
        <w:t>transformers.</w:t>
      </w:r>
      <w:r w:rsidR="009B17E4">
        <w:t xml:space="preserve">  Therefore, </w:t>
      </w:r>
      <w:r w:rsidR="00385263">
        <w:t xml:space="preserve">difference in material and labor costs </w:t>
      </w:r>
      <w:r w:rsidR="002A531F">
        <w:t xml:space="preserve">could be </w:t>
      </w:r>
      <w:r w:rsidR="00986247">
        <w:t>substantial</w:t>
      </w:r>
      <w:r w:rsidR="002A531F">
        <w:t xml:space="preserve"> </w:t>
      </w:r>
      <w:r w:rsidR="00E0244D">
        <w:t>and this work is not directed by this resolution</w:t>
      </w:r>
      <w:r w:rsidR="00E85262">
        <w:t>.</w:t>
      </w:r>
      <w:r w:rsidR="00D1209A">
        <w:rPr>
          <w:rStyle w:val="FootnoteReference"/>
        </w:rPr>
        <w:footnoteReference w:id="143"/>
      </w:r>
    </w:p>
    <w:p w:rsidR="00E85262" w:rsidP="0024459D" w:rsidRDefault="00E85262" w14:paraId="077A5045" w14:textId="7A660AF4"/>
    <w:p w:rsidRPr="00D2684E" w:rsidR="00E85262" w:rsidP="00D2684E" w:rsidRDefault="00D221F2" w14:paraId="37BF3312" w14:textId="21595F0F">
      <w:pPr>
        <w:spacing w:after="120"/>
        <w:rPr>
          <w:b/>
          <w:bCs/>
        </w:rPr>
      </w:pPr>
      <w:r w:rsidRPr="00D2684E">
        <w:rPr>
          <w:b/>
          <w:bCs/>
        </w:rPr>
        <w:t>Abandonment of underground PG&amp;E’s assets</w:t>
      </w:r>
    </w:p>
    <w:p w:rsidR="00B6588D" w:rsidP="0024459D" w:rsidRDefault="00387B14" w14:paraId="1F9AC03A" w14:textId="1A065FDB">
      <w:r w:rsidRPr="00387B14">
        <w:t>PG&amp;E</w:t>
      </w:r>
      <w:r w:rsidR="00C71E12">
        <w:t xml:space="preserve"> indicated that its</w:t>
      </w:r>
      <w:r w:rsidRPr="00387B14">
        <w:t xml:space="preserve"> standard safety practice is to remove or de-energize electric cables and purge and cap gas pipes.  The asset is not removed but is recorded in PG&amp;E’s records as decommissioned and released from liability. PG&amp;E desires and requests that it be allowed to continue this abandonment standard practice as this additional scope was not factored in PG&amp;E’s plan in Advice Letter 4116-G/5581-E</w:t>
      </w:r>
      <w:r w:rsidR="00A51B48">
        <w:t xml:space="preserve">.  </w:t>
      </w:r>
      <w:r w:rsidR="0035422F">
        <w:t xml:space="preserve">PG&amp;E </w:t>
      </w:r>
      <w:r w:rsidR="00F518ED">
        <w:t xml:space="preserve">notes </w:t>
      </w:r>
      <w:r w:rsidR="002C45AD">
        <w:t>that this change would</w:t>
      </w:r>
      <w:r w:rsidRPr="00387B14">
        <w:t xml:space="preserve"> potentially double the cost PG&amp;E originally estimated for </w:t>
      </w:r>
      <w:r w:rsidR="003C4AA9">
        <w:t>the R</w:t>
      </w:r>
      <w:r w:rsidRPr="00387B14">
        <w:t>ebuild</w:t>
      </w:r>
      <w:r w:rsidR="003C4AA9">
        <w:t xml:space="preserve"> Program</w:t>
      </w:r>
      <w:r w:rsidRPr="00387B14">
        <w:t>.</w:t>
      </w:r>
      <w:r w:rsidR="003C3F53">
        <w:rPr>
          <w:rStyle w:val="FootnoteReference"/>
        </w:rPr>
        <w:footnoteReference w:id="144"/>
      </w:r>
      <w:r w:rsidR="00556394">
        <w:t xml:space="preserve">  </w:t>
      </w:r>
    </w:p>
    <w:p w:rsidR="00B6588D" w:rsidP="0024459D" w:rsidRDefault="00B6588D" w14:paraId="6EC6631D" w14:textId="4F75A8B5"/>
    <w:p w:rsidR="007A32D4" w:rsidP="0024459D" w:rsidRDefault="002705D1" w14:paraId="16CE280C" w14:textId="5DE33BB2">
      <w:r>
        <w:t xml:space="preserve">PG&amp;E stated that </w:t>
      </w:r>
      <w:r w:rsidR="006F69E3">
        <w:t>approximately 62</w:t>
      </w:r>
      <w:r w:rsidR="00BC49ED">
        <w:t xml:space="preserve">% of the </w:t>
      </w:r>
      <w:r w:rsidR="003F7C69">
        <w:t xml:space="preserve">electric </w:t>
      </w:r>
      <w:r w:rsidR="003D139F">
        <w:t xml:space="preserve">mobilehome </w:t>
      </w:r>
      <w:r w:rsidR="003F7C69">
        <w:t xml:space="preserve">spaces and 48% of the gas mobilehome spaces </w:t>
      </w:r>
      <w:r w:rsidR="00705FB7">
        <w:t xml:space="preserve">in the Rebuild Program </w:t>
      </w:r>
      <w:r w:rsidR="003F7C69">
        <w:t>are direct-metered.</w:t>
      </w:r>
      <w:r w:rsidR="00400152">
        <w:rPr>
          <w:rStyle w:val="FootnoteReference"/>
        </w:rPr>
        <w:footnoteReference w:id="145"/>
      </w:r>
      <w:r w:rsidR="003F7C69">
        <w:t xml:space="preserve">  </w:t>
      </w:r>
      <w:r w:rsidR="00976242">
        <w:t xml:space="preserve">Therefore, there </w:t>
      </w:r>
      <w:r w:rsidR="00025CD7">
        <w:t xml:space="preserve">could be </w:t>
      </w:r>
      <w:r w:rsidR="00830D95">
        <w:t xml:space="preserve">a </w:t>
      </w:r>
      <w:r w:rsidR="00025CD7">
        <w:t xml:space="preserve">considerable amount of utility assets </w:t>
      </w:r>
      <w:r w:rsidR="001D0C67">
        <w:t>required</w:t>
      </w:r>
      <w:r w:rsidR="00025CD7">
        <w:t xml:space="preserve"> and costs associate</w:t>
      </w:r>
      <w:r w:rsidR="00C2134C">
        <w:t>d</w:t>
      </w:r>
      <w:r w:rsidR="00025CD7">
        <w:t xml:space="preserve"> with the</w:t>
      </w:r>
      <w:r w:rsidR="001377FF">
        <w:t>ir</w:t>
      </w:r>
      <w:r w:rsidR="00025CD7">
        <w:t xml:space="preserve"> remov</w:t>
      </w:r>
      <w:r w:rsidR="003F236C">
        <w:t xml:space="preserve">al.  </w:t>
      </w:r>
      <w:r w:rsidR="007A32D4">
        <w:t xml:space="preserve">The Commission agrees </w:t>
      </w:r>
      <w:r w:rsidR="00264565">
        <w:t xml:space="preserve">that PG&amp;E may </w:t>
      </w:r>
      <w:r w:rsidR="00264565">
        <w:lastRenderedPageBreak/>
        <w:t xml:space="preserve">continue its standard practice regarding </w:t>
      </w:r>
      <w:r w:rsidR="00C27E9A">
        <w:t>abandoning underground assets</w:t>
      </w:r>
      <w:r w:rsidR="002C35EB">
        <w:t xml:space="preserve"> and remove</w:t>
      </w:r>
      <w:r w:rsidR="00E5372A">
        <w:t>s</w:t>
      </w:r>
      <w:r w:rsidR="002C35EB">
        <w:t xml:space="preserve"> </w:t>
      </w:r>
      <w:r w:rsidR="00C5679B">
        <w:t xml:space="preserve">the original </w:t>
      </w:r>
      <w:r w:rsidR="002C35EB">
        <w:t>OP 4</w:t>
      </w:r>
      <w:r w:rsidR="00275E2F">
        <w:rPr>
          <w:rStyle w:val="FootnoteReference"/>
        </w:rPr>
        <w:footnoteReference w:id="146"/>
      </w:r>
      <w:r w:rsidR="00C27E9A">
        <w:t>.</w:t>
      </w:r>
      <w:r w:rsidR="000024E1">
        <w:t xml:space="preserve"> </w:t>
      </w:r>
      <w:r w:rsidR="0025411A">
        <w:t xml:space="preserve"> </w:t>
      </w:r>
    </w:p>
    <w:p w:rsidR="009308F7" w:rsidP="0024459D" w:rsidRDefault="009308F7" w14:paraId="49140703" w14:textId="77777777"/>
    <w:p w:rsidRPr="00D2684E" w:rsidR="00915DFE" w:rsidP="00D2684E" w:rsidRDefault="00D93B1D" w14:paraId="710AF2AB" w14:textId="01980B8F">
      <w:pPr>
        <w:spacing w:after="120"/>
        <w:rPr>
          <w:b/>
          <w:bCs/>
        </w:rPr>
      </w:pPr>
      <w:r w:rsidRPr="00D2684E">
        <w:rPr>
          <w:b/>
          <w:bCs/>
        </w:rPr>
        <w:t xml:space="preserve">Placement of the electric and gas utility </w:t>
      </w:r>
      <w:r w:rsidR="0085364A">
        <w:rPr>
          <w:b/>
          <w:bCs/>
        </w:rPr>
        <w:t xml:space="preserve">with </w:t>
      </w:r>
      <w:r w:rsidR="00D42476">
        <w:rPr>
          <w:b/>
          <w:bCs/>
        </w:rPr>
        <w:t xml:space="preserve">consideration for alternate </w:t>
      </w:r>
      <w:r w:rsidRPr="00D2684E">
        <w:rPr>
          <w:b/>
          <w:bCs/>
        </w:rPr>
        <w:t>routes</w:t>
      </w:r>
      <w:r w:rsidR="0084002E">
        <w:rPr>
          <w:b/>
          <w:bCs/>
        </w:rPr>
        <w:t>, setback requirements,</w:t>
      </w:r>
      <w:r w:rsidR="00D42476">
        <w:rPr>
          <w:b/>
          <w:bCs/>
        </w:rPr>
        <w:t xml:space="preserve"> and strategy to </w:t>
      </w:r>
      <w:r w:rsidR="00440D3F">
        <w:rPr>
          <w:b/>
          <w:bCs/>
        </w:rPr>
        <w:t xml:space="preserve">avoid damage of </w:t>
      </w:r>
      <w:r w:rsidR="000376F6">
        <w:rPr>
          <w:b/>
          <w:bCs/>
        </w:rPr>
        <w:t>non-ener</w:t>
      </w:r>
      <w:r w:rsidR="008E3E6A">
        <w:rPr>
          <w:b/>
          <w:bCs/>
        </w:rPr>
        <w:t>g</w:t>
      </w:r>
      <w:r w:rsidR="000376F6">
        <w:rPr>
          <w:b/>
          <w:bCs/>
        </w:rPr>
        <w:t>y utilities.</w:t>
      </w:r>
    </w:p>
    <w:p w:rsidR="008F1409" w:rsidP="008F1409" w:rsidRDefault="006434A8" w14:paraId="5E7492F1" w14:textId="13334A47">
      <w:r>
        <w:t>Fores</w:t>
      </w:r>
      <w:r w:rsidR="00A7205D">
        <w:t>t Glen MHP</w:t>
      </w:r>
      <w:r w:rsidR="00CD1EEB">
        <w:t xml:space="preserve"> commented that </w:t>
      </w:r>
      <w:r w:rsidR="0092209C">
        <w:t xml:space="preserve">they were </w:t>
      </w:r>
      <w:r w:rsidR="00BD79E3">
        <w:t xml:space="preserve">told </w:t>
      </w:r>
      <w:r w:rsidR="00FD09F8">
        <w:t xml:space="preserve">that </w:t>
      </w:r>
      <w:r w:rsidR="006717B8">
        <w:t>“</w:t>
      </w:r>
      <w:r w:rsidR="00487B63">
        <w:t xml:space="preserve">utility routes </w:t>
      </w:r>
      <w:r w:rsidR="00FD09F8">
        <w:t>were required to be in the street</w:t>
      </w:r>
      <w:r w:rsidR="008C03DF">
        <w:t>.  This has been making it very difficult to stay away from leach field</w:t>
      </w:r>
      <w:r w:rsidR="006717B8">
        <w:t>, as our original PG&amp;E lines ran at the back of each space.”</w:t>
      </w:r>
      <w:r w:rsidR="00750534">
        <w:rPr>
          <w:rStyle w:val="FootnoteReference"/>
        </w:rPr>
        <w:footnoteReference w:id="147"/>
      </w:r>
      <w:r w:rsidR="006717B8">
        <w:t xml:space="preserve"> </w:t>
      </w:r>
      <w:r w:rsidR="00556820">
        <w:t xml:space="preserve"> </w:t>
      </w:r>
      <w:r w:rsidR="006717B8">
        <w:t xml:space="preserve"> </w:t>
      </w:r>
      <w:r w:rsidR="00D03B6D">
        <w:t>Forest Glen MHP</w:t>
      </w:r>
      <w:r w:rsidR="008F1409">
        <w:t xml:space="preserve"> </w:t>
      </w:r>
      <w:r w:rsidR="0098180E">
        <w:t xml:space="preserve">also </w:t>
      </w:r>
      <w:r w:rsidR="004B00FD">
        <w:t>indicated</w:t>
      </w:r>
      <w:r w:rsidRPr="008F1409" w:rsidR="008F1409">
        <w:t xml:space="preserve"> that “setback of gas and electric lines from other utilities was previously 3’</w:t>
      </w:r>
      <w:r w:rsidR="00635877">
        <w:t>[feet]</w:t>
      </w:r>
      <w:r w:rsidRPr="008F1409" w:rsidR="008F1409">
        <w:t xml:space="preserve"> but it had been changed to 10’</w:t>
      </w:r>
      <w:r w:rsidR="00635877">
        <w:t>[feet]</w:t>
      </w:r>
      <w:r w:rsidRPr="008F1409" w:rsidR="008F1409">
        <w:t xml:space="preserve"> during this rebuild. Again, significant impact on my septic and leach field system.”</w:t>
      </w:r>
      <w:r w:rsidRPr="008F1409" w:rsidR="008F1409">
        <w:rPr>
          <w:vertAlign w:val="superscript"/>
        </w:rPr>
        <w:footnoteReference w:id="148"/>
      </w:r>
      <w:r w:rsidRPr="008F1409" w:rsidR="008F1409">
        <w:t xml:space="preserve">  </w:t>
      </w:r>
    </w:p>
    <w:p w:rsidRPr="008F1409" w:rsidR="00637970" w:rsidP="008F1409" w:rsidRDefault="00637970" w14:paraId="3E0F3E7A" w14:textId="77777777"/>
    <w:p w:rsidR="00DA2956" w:rsidP="0024459D" w:rsidRDefault="002E707B" w14:paraId="5D627B5F" w14:textId="71168EB2">
      <w:r w:rsidRPr="002E707B">
        <w:t xml:space="preserve">Ridgewood </w:t>
      </w:r>
      <w:r>
        <w:t>also</w:t>
      </w:r>
      <w:r w:rsidRPr="002E707B">
        <w:t xml:space="preserve"> indicated that “trenches in the street and meters in front of </w:t>
      </w:r>
      <w:r w:rsidRPr="007A7DE7" w:rsidR="007A7DE7">
        <w:t>the homes is acceptable for a 3 star or lower rated park</w:t>
      </w:r>
      <w:r w:rsidR="00C1630B">
        <w:rPr>
          <w:rStyle w:val="FootnoteReference"/>
        </w:rPr>
        <w:footnoteReference w:id="149"/>
      </w:r>
      <w:r w:rsidRPr="007A7DE7" w:rsidR="007A7DE7">
        <w:t xml:space="preserve"> but esthetically unacceptable for higher rated parks</w:t>
      </w:r>
      <w:r w:rsidRPr="002E707B">
        <w:t>.”</w:t>
      </w:r>
      <w:r w:rsidR="009734C1">
        <w:rPr>
          <w:rStyle w:val="FootnoteReference"/>
        </w:rPr>
        <w:footnoteReference w:id="150"/>
      </w:r>
      <w:r w:rsidRPr="002E707B">
        <w:t xml:space="preserve"> </w:t>
      </w:r>
    </w:p>
    <w:p w:rsidR="00DA2956" w:rsidP="0024459D" w:rsidRDefault="00DA2956" w14:paraId="49C36C6A" w14:textId="77777777"/>
    <w:p w:rsidR="009734C1" w:rsidP="0024459D" w:rsidRDefault="00842294" w14:paraId="4705918F" w14:textId="3EBF6C26">
      <w:r>
        <w:t xml:space="preserve">Ridgewood MHP </w:t>
      </w:r>
      <w:r w:rsidR="00DA2956">
        <w:t>further</w:t>
      </w:r>
      <w:r>
        <w:t xml:space="preserve"> indicated that </w:t>
      </w:r>
      <w:r w:rsidR="00D75C44">
        <w:t>“</w:t>
      </w:r>
      <w:r w:rsidRPr="00D75C44" w:rsidR="00D75C44">
        <w:t>The criteria for evaluating alternate routes gives no weight to the Park Owners preferences or other park related constraints. I propose rather then: “utilities could be closer to the mobile homes” the criteria be “better positioned with respect to the mobile homes considering the park’s other constraints”</w:t>
      </w:r>
      <w:r w:rsidR="009F675F">
        <w:t>”</w:t>
      </w:r>
      <w:r w:rsidRPr="00D75C44" w:rsidR="00D75C44">
        <w:t>.</w:t>
      </w:r>
      <w:r w:rsidR="00123E20">
        <w:rPr>
          <w:rStyle w:val="FootnoteReference"/>
        </w:rPr>
        <w:footnoteReference w:id="151"/>
      </w:r>
      <w:r w:rsidR="003E00BD">
        <w:t xml:space="preserve">  </w:t>
      </w:r>
    </w:p>
    <w:p w:rsidR="009734C1" w:rsidP="0024459D" w:rsidRDefault="009734C1" w14:paraId="1BF676A9" w14:textId="77777777"/>
    <w:p w:rsidR="00E66C72" w:rsidP="0024459D" w:rsidRDefault="00074189" w14:paraId="3528A89D" w14:textId="3BADF756">
      <w:r>
        <w:lastRenderedPageBreak/>
        <w:t xml:space="preserve">Ridgewood MHP </w:t>
      </w:r>
      <w:r w:rsidR="00C54024">
        <w:t xml:space="preserve">also </w:t>
      </w:r>
      <w:r>
        <w:t xml:space="preserve">supported the idea of requiring PG&amp;E to develop a strategy to avoid </w:t>
      </w:r>
      <w:r w:rsidRPr="007F6757" w:rsidR="007F6757">
        <w:t>service routes that might damage salvageable non-energy utilities</w:t>
      </w:r>
      <w:r w:rsidR="007F6757">
        <w:t>.</w:t>
      </w:r>
      <w:r w:rsidR="007C0718">
        <w:rPr>
          <w:rStyle w:val="FootnoteReference"/>
        </w:rPr>
        <w:footnoteReference w:id="152"/>
      </w:r>
      <w:r w:rsidR="0027094F">
        <w:t xml:space="preserve">  </w:t>
      </w:r>
    </w:p>
    <w:p w:rsidR="00E66C72" w:rsidP="0024459D" w:rsidRDefault="00E66C72" w14:paraId="7620707A" w14:textId="77777777"/>
    <w:p w:rsidR="00FB6CD2" w:rsidP="0024459D" w:rsidRDefault="00914101" w14:paraId="44A1E3D9" w14:textId="41002CDD">
      <w:r>
        <w:t xml:space="preserve">PG&amp;E </w:t>
      </w:r>
      <w:r w:rsidR="007415E8">
        <w:t>indicated in its comment</w:t>
      </w:r>
      <w:r>
        <w:t xml:space="preserve"> that </w:t>
      </w:r>
      <w:r w:rsidR="002A52D1">
        <w:t xml:space="preserve">it </w:t>
      </w:r>
      <w:r w:rsidRPr="008C41D9" w:rsidR="008C41D9">
        <w:t>is aware of at least a dozen mobilehome units in parks that are fully enclosed by salvageable utilities such as leach fields</w:t>
      </w:r>
      <w:r w:rsidR="00F44A7A">
        <w:t xml:space="preserve"> or</w:t>
      </w:r>
      <w:r w:rsidRPr="008C41D9" w:rsidR="008C41D9">
        <w:t xml:space="preserve"> septic systems and other wet utilities.</w:t>
      </w:r>
      <w:r w:rsidR="00F83707">
        <w:rPr>
          <w:rStyle w:val="FootnoteReference"/>
        </w:rPr>
        <w:footnoteReference w:id="153"/>
      </w:r>
      <w:r w:rsidRPr="008C41D9" w:rsidR="008C41D9">
        <w:t xml:space="preserve"> The current configurations at these mobilehome units do not provide PG&amp;E the clearance PG&amp;E needs to install gas and electric utility infrastructure based on current utility standards.  PG&amp;E requests direction from the Commission on how to proceed with rebuild of facilities affected by the location of these mobilome units if PG&amp;E is to avoid service routes that may damage salvageable utilities.  As there are no mobilehomes currently occupying the known mobilehome lots that are fully enclosed by salvageable utilities, PG&amp;E proposes that the MHP </w:t>
      </w:r>
      <w:r w:rsidR="00AA2B24">
        <w:t>o</w:t>
      </w:r>
      <w:r w:rsidRPr="008C41D9" w:rsidR="008C41D9">
        <w:t>wner</w:t>
      </w:r>
      <w:r w:rsidR="00AA2B24">
        <w:t>s</w:t>
      </w:r>
      <w:r w:rsidRPr="008C41D9" w:rsidR="008C41D9">
        <w:t xml:space="preserve"> either relocate the salvageable utilities</w:t>
      </w:r>
      <w:r w:rsidR="00EC766A">
        <w:t>,</w:t>
      </w:r>
      <w:r w:rsidRPr="008C41D9" w:rsidR="008C41D9">
        <w:t xml:space="preserve"> or that </w:t>
      </w:r>
      <w:r w:rsidR="00AA2B24">
        <w:t>they</w:t>
      </w:r>
      <w:r w:rsidRPr="008C41D9" w:rsidR="008C41D9">
        <w:t xml:space="preserve"> re</w:t>
      </w:r>
      <w:r w:rsidR="00137F0F">
        <w:t>-</w:t>
      </w:r>
      <w:r w:rsidRPr="008C41D9" w:rsidR="00137F0F">
        <w:t>configure</w:t>
      </w:r>
      <w:r w:rsidRPr="008C41D9" w:rsidR="008C41D9">
        <w:t xml:space="preserve"> the mobilehome lots in order to provide PG&amp;E the necessary clearance PG&amp;E needs to safely install and operate gas and electric utility infrastructure.</w:t>
      </w:r>
      <w:r w:rsidR="00343328">
        <w:rPr>
          <w:rStyle w:val="FootnoteReference"/>
        </w:rPr>
        <w:footnoteReference w:id="154"/>
      </w:r>
      <w:r w:rsidR="00FB6CD2">
        <w:br/>
      </w:r>
    </w:p>
    <w:p w:rsidR="00013AB4" w:rsidP="0024459D" w:rsidRDefault="00FC2CF2" w14:paraId="1EE727A1" w14:textId="444B5768">
      <w:r>
        <w:t xml:space="preserve">The Commission </w:t>
      </w:r>
      <w:r w:rsidR="000C62E1">
        <w:t>is aware of</w:t>
      </w:r>
      <w:r w:rsidR="00061045">
        <w:t xml:space="preserve"> the </w:t>
      </w:r>
      <w:r w:rsidR="000C62E1">
        <w:t xml:space="preserve">intricacy of </w:t>
      </w:r>
      <w:r w:rsidR="003A6EA6">
        <w:t xml:space="preserve">placing </w:t>
      </w:r>
      <w:r w:rsidR="005F157E">
        <w:t xml:space="preserve">new electric and gas underground utilities while </w:t>
      </w:r>
      <w:r w:rsidR="008B5805">
        <w:t xml:space="preserve">avoiding damaging existing salvageable non-energy utilities.  </w:t>
      </w:r>
      <w:r w:rsidR="004F4B64">
        <w:t xml:space="preserve">PG&amp;E confirmed in a data response to Energy Division that </w:t>
      </w:r>
      <w:r w:rsidR="009B51D7">
        <w:t xml:space="preserve">the </w:t>
      </w:r>
      <w:r w:rsidR="006406BC">
        <w:t>J</w:t>
      </w:r>
      <w:r w:rsidR="009B51D7">
        <w:t xml:space="preserve">oint </w:t>
      </w:r>
      <w:r w:rsidR="006406BC">
        <w:t>T</w:t>
      </w:r>
      <w:r w:rsidR="009B51D7">
        <w:t xml:space="preserve">rench </w:t>
      </w:r>
      <w:r w:rsidR="006406BC">
        <w:t>Configurations &amp; Occupancy Guide (U</w:t>
      </w:r>
      <w:r w:rsidR="00CC187A">
        <w:t xml:space="preserve">tility </w:t>
      </w:r>
      <w:r w:rsidR="006406BC">
        <w:t>S</w:t>
      </w:r>
      <w:r w:rsidR="009B51D7">
        <w:t>tandard</w:t>
      </w:r>
      <w:r w:rsidR="00CC187A">
        <w:t>s</w:t>
      </w:r>
      <w:r w:rsidR="009B51D7">
        <w:t xml:space="preserve"> (UO</w:t>
      </w:r>
      <w:r w:rsidR="00CC187A">
        <w:t>)</w:t>
      </w:r>
      <w:r w:rsidR="009B51D7">
        <w:t xml:space="preserve"> </w:t>
      </w:r>
      <w:r w:rsidR="00310F68">
        <w:t>S</w:t>
      </w:r>
      <w:r w:rsidR="0011360F">
        <w:t>5354</w:t>
      </w:r>
      <w:r w:rsidR="008628F7">
        <w:t xml:space="preserve"> Exhibit B</w:t>
      </w:r>
      <w:r w:rsidR="006406BC">
        <w:t>)</w:t>
      </w:r>
      <w:r w:rsidR="008628F7">
        <w:t xml:space="preserve"> </w:t>
      </w:r>
      <w:r w:rsidR="00C20BF8">
        <w:t>requires 3</w:t>
      </w:r>
      <w:r w:rsidR="00AC06B4">
        <w:t xml:space="preserve"> feet horizontal separation </w:t>
      </w:r>
      <w:r w:rsidR="00A42DD4">
        <w:t>between</w:t>
      </w:r>
      <w:r w:rsidR="00921CEE">
        <w:t xml:space="preserve"> </w:t>
      </w:r>
      <w:r w:rsidR="00284314">
        <w:t>P</w:t>
      </w:r>
      <w:r w:rsidR="00E6533F">
        <w:t xml:space="preserve">G&amp;E facilities </w:t>
      </w:r>
      <w:r w:rsidR="00A42DD4">
        <w:t xml:space="preserve">and other </w:t>
      </w:r>
      <w:r w:rsidR="007B0B2A">
        <w:t>“wet” utilit</w:t>
      </w:r>
      <w:r w:rsidR="00880DA7">
        <w:t>y lines</w:t>
      </w:r>
      <w:r w:rsidR="00AB6988">
        <w:t>;</w:t>
      </w:r>
      <w:r w:rsidR="00880DA7">
        <w:t xml:space="preserve"> and </w:t>
      </w:r>
      <w:r w:rsidR="00BB7650">
        <w:t>10 feet separation for leach fields, leach lines, and septic system.</w:t>
      </w:r>
      <w:r w:rsidR="00207AF3">
        <w:rPr>
          <w:rStyle w:val="FootnoteReference"/>
        </w:rPr>
        <w:footnoteReference w:id="155"/>
      </w:r>
      <w:r w:rsidR="00BB7650">
        <w:t xml:space="preserve">  </w:t>
      </w:r>
      <w:r w:rsidRPr="001439DD" w:rsidR="001439DD">
        <w:t>However, the latest revision of Elec-038193 standard</w:t>
      </w:r>
      <w:r w:rsidR="00C250E8">
        <w:rPr>
          <w:rStyle w:val="FootnoteReference"/>
        </w:rPr>
        <w:footnoteReference w:id="156"/>
      </w:r>
      <w:r w:rsidRPr="001439DD" w:rsidR="001439DD">
        <w:t xml:space="preserve"> made an exception for MHPs only </w:t>
      </w:r>
      <w:r w:rsidR="00B43FF0">
        <w:t>that allo</w:t>
      </w:r>
      <w:r w:rsidR="00B7456A">
        <w:t>w</w:t>
      </w:r>
      <w:r w:rsidR="00B43FF0">
        <w:t xml:space="preserve">s </w:t>
      </w:r>
      <w:r w:rsidR="006C2781">
        <w:t xml:space="preserve">for </w:t>
      </w:r>
      <w:r w:rsidR="00B43FF0">
        <w:t xml:space="preserve">the </w:t>
      </w:r>
      <w:r w:rsidRPr="001439DD" w:rsidR="001439DD">
        <w:t>cross</w:t>
      </w:r>
      <w:r w:rsidR="00B43FF0">
        <w:t>ing of</w:t>
      </w:r>
      <w:r w:rsidRPr="001439DD" w:rsidR="001439DD">
        <w:t xml:space="preserve"> leach fields if a 10</w:t>
      </w:r>
      <w:r w:rsidR="00EE7C43">
        <w:t xml:space="preserve"> f</w:t>
      </w:r>
      <w:r w:rsidR="008573CC">
        <w:t>oo</w:t>
      </w:r>
      <w:r w:rsidR="00EE7C43">
        <w:t>t</w:t>
      </w:r>
      <w:r w:rsidRPr="001439DD" w:rsidR="001439DD">
        <w:t xml:space="preserve"> separation cannot be maintained. </w:t>
      </w:r>
      <w:r w:rsidR="00D7220E">
        <w:t>T</w:t>
      </w:r>
      <w:r w:rsidRPr="001439DD" w:rsidR="001439DD">
        <w:t xml:space="preserve">his </w:t>
      </w:r>
      <w:r w:rsidR="00D7220E">
        <w:t xml:space="preserve">exception is </w:t>
      </w:r>
      <w:r w:rsidRPr="001439DD" w:rsidR="001439DD">
        <w:t>only appli</w:t>
      </w:r>
      <w:r w:rsidR="00D7220E">
        <w:t>cabl</w:t>
      </w:r>
      <w:r w:rsidRPr="001439DD" w:rsidR="001439DD">
        <w:t xml:space="preserve">e to electric </w:t>
      </w:r>
      <w:r w:rsidRPr="001439DD" w:rsidR="001439DD">
        <w:lastRenderedPageBreak/>
        <w:t>only trenches.</w:t>
      </w:r>
      <w:r w:rsidR="00CB6DFE">
        <w:rPr>
          <w:rStyle w:val="FootnoteReference"/>
        </w:rPr>
        <w:footnoteReference w:id="157"/>
      </w:r>
      <w:r w:rsidRPr="001439DD" w:rsidR="001439DD">
        <w:t xml:space="preserve"> </w:t>
      </w:r>
      <w:r w:rsidR="00B641D9">
        <w:t xml:space="preserve"> </w:t>
      </w:r>
      <w:r w:rsidR="00931E2F">
        <w:t xml:space="preserve">Furthermore, meter locations may be </w:t>
      </w:r>
      <w:r w:rsidR="009B7540">
        <w:t xml:space="preserve">placed </w:t>
      </w:r>
      <w:r w:rsidR="00931E2F">
        <w:t>in f</w:t>
      </w:r>
      <w:r w:rsidR="00385D4F">
        <w:t xml:space="preserve">ront or at the </w:t>
      </w:r>
      <w:r w:rsidR="00BD4737">
        <w:t xml:space="preserve">left front of </w:t>
      </w:r>
      <w:r w:rsidR="00403B86">
        <w:t xml:space="preserve">the </w:t>
      </w:r>
      <w:r w:rsidR="00BD4737">
        <w:t>mobilehomes.</w:t>
      </w:r>
      <w:r w:rsidR="00BD4737">
        <w:rPr>
          <w:rStyle w:val="FootnoteReference"/>
        </w:rPr>
        <w:footnoteReference w:id="158"/>
      </w:r>
    </w:p>
    <w:p w:rsidR="00A24711" w:rsidP="0024459D" w:rsidRDefault="00A24711" w14:paraId="46123326" w14:textId="77777777"/>
    <w:p w:rsidR="00D75C44" w:rsidP="0024459D" w:rsidRDefault="001643EC" w14:paraId="62996E78" w14:textId="0C23D53D">
      <w:r>
        <w:t>Therefore</w:t>
      </w:r>
      <w:r w:rsidR="00D707E0">
        <w:t xml:space="preserve">, the Commission agrees with Ridgewood MHP that </w:t>
      </w:r>
      <w:r w:rsidR="003B26C1">
        <w:t xml:space="preserve">PG&amp;E should take into consideration of the other constraints </w:t>
      </w:r>
      <w:r w:rsidR="00D026EC">
        <w:t xml:space="preserve">of the MHPs </w:t>
      </w:r>
      <w:r w:rsidR="003B26C1">
        <w:t xml:space="preserve">when </w:t>
      </w:r>
      <w:r w:rsidR="00CE25BD">
        <w:t>evaluating alternate routes.</w:t>
      </w:r>
      <w:r w:rsidR="007257F9">
        <w:rPr>
          <w:rStyle w:val="FootnoteReference"/>
        </w:rPr>
        <w:footnoteReference w:id="159"/>
      </w:r>
      <w:r w:rsidR="00CE25BD">
        <w:t xml:space="preserve">  </w:t>
      </w:r>
      <w:r w:rsidR="00E32613">
        <w:t>However</w:t>
      </w:r>
      <w:r w:rsidR="00860DDC">
        <w:t>, since the configurations and terrain</w:t>
      </w:r>
      <w:r w:rsidR="00C96680">
        <w:t>s</w:t>
      </w:r>
      <w:r w:rsidR="00860DDC">
        <w:t xml:space="preserve"> of each </w:t>
      </w:r>
      <w:r w:rsidR="00C96680">
        <w:t xml:space="preserve">MHP </w:t>
      </w:r>
      <w:r w:rsidR="00D7220E">
        <w:t>are</w:t>
      </w:r>
      <w:r w:rsidR="00C96680">
        <w:t xml:space="preserve"> different</w:t>
      </w:r>
      <w:r w:rsidR="00D54D82">
        <w:t xml:space="preserve">, </w:t>
      </w:r>
      <w:r w:rsidR="00F974BE">
        <w:t xml:space="preserve">the Commission </w:t>
      </w:r>
      <w:r w:rsidR="00B0563C">
        <w:t>does</w:t>
      </w:r>
      <w:r w:rsidR="00121949">
        <w:t xml:space="preserve"> not </w:t>
      </w:r>
      <w:r w:rsidR="00F974BE">
        <w:t>offer specific direction</w:t>
      </w:r>
      <w:r w:rsidR="00E60831">
        <w:t xml:space="preserve"> to PG&amp;E</w:t>
      </w:r>
      <w:r w:rsidR="00F974BE">
        <w:t xml:space="preserve"> </w:t>
      </w:r>
      <w:r w:rsidR="00D074A6">
        <w:t xml:space="preserve">on how to </w:t>
      </w:r>
      <w:r w:rsidRPr="0092564B" w:rsidR="0092564B">
        <w:t xml:space="preserve">proceed with rebuild of </w:t>
      </w:r>
      <w:r w:rsidR="007C3F8F">
        <w:t>utilities</w:t>
      </w:r>
      <w:r w:rsidRPr="0092564B" w:rsidR="0092564B">
        <w:t xml:space="preserve"> of these mobil</w:t>
      </w:r>
      <w:r w:rsidR="00E3520C">
        <w:t>eh</w:t>
      </w:r>
      <w:r w:rsidRPr="0092564B" w:rsidR="0092564B">
        <w:t xml:space="preserve">ome units </w:t>
      </w:r>
      <w:r w:rsidR="002A6DF6">
        <w:t>in order</w:t>
      </w:r>
      <w:r w:rsidRPr="0092564B" w:rsidR="0092564B">
        <w:t xml:space="preserve"> to avoid service routes that may damage salvageable utilities.  </w:t>
      </w:r>
      <w:r w:rsidR="00B0563C">
        <w:t>T</w:t>
      </w:r>
      <w:r w:rsidR="00AE1FDB">
        <w:t>he Commission encourage</w:t>
      </w:r>
      <w:r w:rsidR="00442D88">
        <w:t>s</w:t>
      </w:r>
      <w:r w:rsidR="00AE1FDB">
        <w:t xml:space="preserve"> PG&amp;E to </w:t>
      </w:r>
      <w:r w:rsidR="00014EC3">
        <w:t>negotiate</w:t>
      </w:r>
      <w:r w:rsidR="00AE1FDB">
        <w:t xml:space="preserve"> with the MHP owners to </w:t>
      </w:r>
      <w:r w:rsidRPr="008C41D9" w:rsidR="00C715E3">
        <w:t>either relocate the salvageable utilities or reconfigure the mobilehome lots in order to provide PG&amp;E the necessary clearance</w:t>
      </w:r>
      <w:r w:rsidR="00C715E3">
        <w:t>.</w:t>
      </w:r>
      <w:r w:rsidR="00C96680">
        <w:t xml:space="preserve">  </w:t>
      </w:r>
    </w:p>
    <w:p w:rsidR="00866689" w:rsidP="0024459D" w:rsidRDefault="00866689" w14:paraId="76A585B0" w14:textId="77777777"/>
    <w:p w:rsidRPr="00D2684E" w:rsidR="00915DFE" w:rsidP="00D2684E" w:rsidRDefault="006B5961" w14:paraId="140FF2C6" w14:textId="39E2AD43">
      <w:pPr>
        <w:spacing w:after="120"/>
        <w:rPr>
          <w:b/>
          <w:bCs/>
        </w:rPr>
      </w:pPr>
      <w:r>
        <w:rPr>
          <w:b/>
          <w:bCs/>
        </w:rPr>
        <w:t>A</w:t>
      </w:r>
      <w:r w:rsidRPr="00CD61C1" w:rsidR="00CD61C1">
        <w:rPr>
          <w:b/>
          <w:bCs/>
        </w:rPr>
        <w:t>pproval of excavation plan</w:t>
      </w:r>
      <w:r w:rsidRPr="00D2684E" w:rsidR="00FD09F8">
        <w:rPr>
          <w:b/>
          <w:bCs/>
        </w:rPr>
        <w:t xml:space="preserve">  </w:t>
      </w:r>
    </w:p>
    <w:p w:rsidR="007F716A" w:rsidP="0024459D" w:rsidRDefault="009B6E44" w14:paraId="79754AD0" w14:textId="178CB4F3">
      <w:r>
        <w:t>PG&amp;E indicated that m</w:t>
      </w:r>
      <w:r w:rsidRPr="009B6E44">
        <w:t>ost projects under the Rebuild Program have significant sub</w:t>
      </w:r>
      <w:r>
        <w:t>-</w:t>
      </w:r>
      <w:r w:rsidRPr="009B6E44">
        <w:t xml:space="preserve">surface conflicts, such as privately owned utilities, and </w:t>
      </w:r>
      <w:r w:rsidR="00B0563C">
        <w:t xml:space="preserve">due to </w:t>
      </w:r>
      <w:r w:rsidRPr="009B6E44">
        <w:t>the nature of rural geographic properties, such as trees and boulders.</w:t>
      </w:r>
      <w:r w:rsidR="000C2991">
        <w:rPr>
          <w:rStyle w:val="FootnoteReference"/>
        </w:rPr>
        <w:footnoteReference w:id="160"/>
      </w:r>
      <w:r w:rsidRPr="009B6E44">
        <w:t xml:space="preserve"> </w:t>
      </w:r>
      <w:r w:rsidR="008668CC">
        <w:t xml:space="preserve"> </w:t>
      </w:r>
      <w:r w:rsidRPr="009B6E44">
        <w:t>In most cases, mobilehome park (MHP) owne</w:t>
      </w:r>
      <w:r w:rsidR="003368E6">
        <w:t xml:space="preserve">rs and </w:t>
      </w:r>
      <w:r w:rsidRPr="009B6E44">
        <w:t>operators are not fully aware of the subsurface conflicts on their property</w:t>
      </w:r>
      <w:r w:rsidR="00F216AF">
        <w:t xml:space="preserve">.  </w:t>
      </w:r>
      <w:r w:rsidR="00D951C4">
        <w:t>PG&amp;E indicated that</w:t>
      </w:r>
      <w:r w:rsidR="00F216AF">
        <w:t xml:space="preserve"> </w:t>
      </w:r>
      <w:r w:rsidRPr="009B6E44">
        <w:t>given the confined space of a mobilehome park, there may not be many options to design the excavation plan.  PG&amp;E designs the construction and excavation plan based on PG&amp;E’s standards with a focus on safety as MHP owners may not have the expertise to fully understand the complexity of the subsurface infrastructure and various challenges</w:t>
      </w:r>
      <w:r w:rsidR="001D7052">
        <w:t xml:space="preserve">.  </w:t>
      </w:r>
      <w:r w:rsidR="00044D45">
        <w:t xml:space="preserve">PG&amp;E further stated that </w:t>
      </w:r>
      <w:r w:rsidR="00B42CCB">
        <w:t>t</w:t>
      </w:r>
      <w:r w:rsidRPr="009B6E44">
        <w:t xml:space="preserve">he MHP </w:t>
      </w:r>
      <w:r w:rsidR="00C81306">
        <w:t>o</w:t>
      </w:r>
      <w:r w:rsidRPr="009B6E44">
        <w:t xml:space="preserve">wners may inadvertently cause unnecessary additional work activity that increases the cost and duration of the project.  PG&amp;E desires to minimize further </w:t>
      </w:r>
      <w:r w:rsidR="00404091">
        <w:t xml:space="preserve">construction </w:t>
      </w:r>
      <w:r w:rsidRPr="009B6E44">
        <w:lastRenderedPageBreak/>
        <w:t>delays construction and intends to avoid any unnecessary impacts to existing or salvageable underground infrastructure that are in working, unknown</w:t>
      </w:r>
      <w:r w:rsidR="00C93D94">
        <w:t>,</w:t>
      </w:r>
      <w:r w:rsidRPr="009B6E44">
        <w:t xml:space="preserve"> or untraceable conditions.  PG&amp;E recommends that the </w:t>
      </w:r>
      <w:r w:rsidR="00395A00">
        <w:t>Commission</w:t>
      </w:r>
      <w:r w:rsidRPr="009B6E44">
        <w:t xml:space="preserve"> not adopt the requirement that </w:t>
      </w:r>
      <w:r w:rsidR="00007FDA">
        <w:t xml:space="preserve">requires </w:t>
      </w:r>
      <w:r w:rsidRPr="009B6E44">
        <w:t xml:space="preserve">PG&amp;E </w:t>
      </w:r>
      <w:r w:rsidR="00007FDA">
        <w:t xml:space="preserve">to </w:t>
      </w:r>
      <w:r w:rsidRPr="009B6E44">
        <w:t>obtain excavation plan approval from a MHP owne</w:t>
      </w:r>
      <w:r w:rsidR="00C93D94">
        <w:t xml:space="preserve">r </w:t>
      </w:r>
      <w:r w:rsidR="00007FDA">
        <w:t>and</w:t>
      </w:r>
      <w:r w:rsidR="00C93D94">
        <w:t xml:space="preserve"> </w:t>
      </w:r>
      <w:r w:rsidRPr="009B6E44">
        <w:t>operator.</w:t>
      </w:r>
      <w:r w:rsidR="000321CC">
        <w:rPr>
          <w:rStyle w:val="FootnoteReference"/>
        </w:rPr>
        <w:footnoteReference w:id="161"/>
      </w:r>
    </w:p>
    <w:p w:rsidR="006B5961" w:rsidP="0024459D" w:rsidRDefault="006B5961" w14:paraId="38C9D58E" w14:textId="77777777"/>
    <w:p w:rsidR="006B5961" w:rsidP="0024459D" w:rsidRDefault="0053728F" w14:paraId="0A1FACEA" w14:textId="0D0F585F">
      <w:r>
        <w:t xml:space="preserve">The Commission agrees with PG&amp;E </w:t>
      </w:r>
      <w:r w:rsidR="00F258B4">
        <w:t xml:space="preserve">to waive the excavation plan approval requirement.  However, </w:t>
      </w:r>
      <w:r w:rsidR="00C810DB">
        <w:t xml:space="preserve">the </w:t>
      </w:r>
      <w:r w:rsidR="000321CC">
        <w:t xml:space="preserve">Commission </w:t>
      </w:r>
      <w:r w:rsidR="009F1CA3">
        <w:t xml:space="preserve">shall require PG&amp;E to </w:t>
      </w:r>
      <w:r w:rsidR="00AF0653">
        <w:t>consult with the MHP owners</w:t>
      </w:r>
      <w:r w:rsidR="00564C07">
        <w:t xml:space="preserve"> on</w:t>
      </w:r>
      <w:r w:rsidR="00656565">
        <w:t xml:space="preserve"> the e</w:t>
      </w:r>
      <w:r w:rsidR="00564C07">
        <w:t>xcavation plan.</w:t>
      </w:r>
      <w:r w:rsidR="009F1CA3">
        <w:t xml:space="preserve"> </w:t>
      </w:r>
    </w:p>
    <w:p w:rsidR="006B5961" w:rsidP="0024459D" w:rsidRDefault="006B5961" w14:paraId="3971BD7B" w14:textId="77777777"/>
    <w:p w:rsidRPr="00D2684E" w:rsidR="00A058F6" w:rsidP="00D2684E" w:rsidRDefault="00A058F6" w14:paraId="3B287880" w14:textId="6C838DF6">
      <w:pPr>
        <w:spacing w:after="120"/>
        <w:rPr>
          <w:b/>
          <w:bCs/>
        </w:rPr>
      </w:pPr>
      <w:r w:rsidRPr="00D2684E">
        <w:rPr>
          <w:b/>
          <w:bCs/>
        </w:rPr>
        <w:t>Indemnification of PG&amp;E on negligence and misconduct</w:t>
      </w:r>
    </w:p>
    <w:p w:rsidR="006B5961" w:rsidP="0024459D" w:rsidRDefault="00E3129B" w14:paraId="2F6EFA14" w14:textId="39DFD95E">
      <w:r>
        <w:t xml:space="preserve">Forest Glen MHP commented that </w:t>
      </w:r>
      <w:r w:rsidR="005A2832">
        <w:t>“</w:t>
      </w:r>
      <w:r w:rsidRPr="00D2684E" w:rsidR="005A2832">
        <w:rPr>
          <w:b/>
          <w:bCs/>
        </w:rPr>
        <w:t xml:space="preserve">Active gross negligence or willful misconduct” </w:t>
      </w:r>
      <w:r w:rsidRPr="00D2684E" w:rsidR="005A2832">
        <w:t>provides virtually no protection to park owners.  Negligence or misconduct would be a more fair and balanced approach.</w:t>
      </w:r>
      <w:r w:rsidR="00F236B8">
        <w:t>”</w:t>
      </w:r>
      <w:r w:rsidR="00F236B8">
        <w:rPr>
          <w:rStyle w:val="FootnoteReference"/>
        </w:rPr>
        <w:footnoteReference w:id="162"/>
      </w:r>
    </w:p>
    <w:p w:rsidR="00A058F6" w:rsidP="0024459D" w:rsidRDefault="00A058F6" w14:paraId="653A95C5" w14:textId="77777777"/>
    <w:p w:rsidR="00A058F6" w:rsidP="0024459D" w:rsidRDefault="000D6735" w14:paraId="2EBC8C5A" w14:textId="13C51EA6">
      <w:r>
        <w:t xml:space="preserve">Ridgewood MHP </w:t>
      </w:r>
      <w:r w:rsidR="006705A9">
        <w:t>also commented that “</w:t>
      </w:r>
      <w:r w:rsidRPr="006705A9" w:rsidR="006705A9">
        <w:rPr>
          <w:b/>
          <w:bCs/>
        </w:rPr>
        <w:t xml:space="preserve">“Active gross negligence or willful misconduct” </w:t>
      </w:r>
      <w:r w:rsidRPr="006705A9" w:rsidR="006705A9">
        <w:t>is setting the bar too high.</w:t>
      </w:r>
      <w:r w:rsidRPr="006705A9" w:rsidR="006705A9">
        <w:rPr>
          <w:b/>
          <w:bCs/>
        </w:rPr>
        <w:t xml:space="preserve"> </w:t>
      </w:r>
      <w:r w:rsidRPr="006705A9" w:rsidR="006705A9">
        <w:t>Negligence or misconduct would be more realistic terminology to use to ensure PG&amp;E takes its responsibility seriously.</w:t>
      </w:r>
      <w:r w:rsidR="006705A9">
        <w:t>”</w:t>
      </w:r>
      <w:r w:rsidR="006705A9">
        <w:rPr>
          <w:rStyle w:val="FootnoteReference"/>
        </w:rPr>
        <w:footnoteReference w:id="163"/>
      </w:r>
    </w:p>
    <w:p w:rsidR="00CF54A6" w:rsidP="00CF54A6" w:rsidRDefault="00CF54A6" w14:paraId="29E9DDCC" w14:textId="77777777"/>
    <w:p w:rsidR="00CF54A6" w:rsidP="00CF54A6" w:rsidRDefault="00CF54A6" w14:paraId="431A11D7" w14:textId="28650250">
      <w:r w:rsidRPr="00CF54A6">
        <w:t xml:space="preserve">PG&amp;E </w:t>
      </w:r>
      <w:r w:rsidR="00CF4DEA">
        <w:t xml:space="preserve">has </w:t>
      </w:r>
      <w:r w:rsidRPr="00CF54A6">
        <w:t xml:space="preserve">incorporated </w:t>
      </w:r>
      <w:r w:rsidR="0000360E">
        <w:t xml:space="preserve">the </w:t>
      </w:r>
      <w:r w:rsidRPr="00CF54A6" w:rsidR="0000360E">
        <w:t>indemnification clause</w:t>
      </w:r>
      <w:r w:rsidRPr="0000360E" w:rsidR="0000360E">
        <w:t xml:space="preserve"> </w:t>
      </w:r>
      <w:r w:rsidRPr="00CF54A6">
        <w:t>from the Mobilehome Park Utility Upgrade Program Agreement (Form 79-1165) into the Butte County Mobilehome Park Rebuild Program Agreement (Form 79-1201). The indemnification clause in the Butte County MHP Program agreement is essentially identical</w:t>
      </w:r>
      <w:r w:rsidRPr="00CF54A6">
        <w:rPr>
          <w:vertAlign w:val="superscript"/>
        </w:rPr>
        <w:footnoteReference w:id="164"/>
      </w:r>
      <w:r w:rsidRPr="00CF54A6">
        <w:t xml:space="preserve"> to the clause already approved by the Commission for reconstruction projects</w:t>
      </w:r>
      <w:r w:rsidR="00465035">
        <w:t xml:space="preserve"> in D.</w:t>
      </w:r>
      <w:r w:rsidR="00F56500">
        <w:t>20-04-004</w:t>
      </w:r>
      <w:r w:rsidRPr="00CF54A6">
        <w:t>.</w:t>
      </w:r>
      <w:r w:rsidR="00086C22">
        <w:rPr>
          <w:vertAlign w:val="superscript"/>
        </w:rPr>
        <w:t xml:space="preserve">  </w:t>
      </w:r>
      <w:r w:rsidR="00086C22">
        <w:t xml:space="preserve"> There</w:t>
      </w:r>
      <w:r w:rsidR="00A64008">
        <w:t xml:space="preserve"> is no record to support</w:t>
      </w:r>
      <w:r w:rsidR="001F3D34">
        <w:t xml:space="preserve"> changing th</w:t>
      </w:r>
      <w:r w:rsidR="00646779">
        <w:t>e language through</w:t>
      </w:r>
      <w:r w:rsidR="00223074">
        <w:t xml:space="preserve"> </w:t>
      </w:r>
      <w:r w:rsidR="008A0CF2">
        <w:t>this Resolution.</w:t>
      </w:r>
    </w:p>
    <w:p w:rsidR="008D2257" w:rsidP="00CF54A6" w:rsidRDefault="008D2257" w14:paraId="442116BA" w14:textId="77777777"/>
    <w:p w:rsidR="008A0CF2" w:rsidP="00CF54A6" w:rsidRDefault="008A0CF2" w14:paraId="75CFF2A2" w14:textId="41D7D50E"/>
    <w:p w:rsidR="00677DB1" w:rsidP="00CF54A6" w:rsidRDefault="00677DB1" w14:paraId="10155C05" w14:textId="77777777"/>
    <w:p w:rsidRPr="00D2684E" w:rsidR="008A0CF2" w:rsidP="00D2684E" w:rsidRDefault="00843ED0" w14:paraId="147D12FA" w14:textId="08A37DBF">
      <w:pPr>
        <w:spacing w:after="120"/>
        <w:rPr>
          <w:b/>
          <w:bCs/>
        </w:rPr>
      </w:pPr>
      <w:r w:rsidRPr="00D2684E">
        <w:rPr>
          <w:b/>
          <w:bCs/>
        </w:rPr>
        <w:lastRenderedPageBreak/>
        <w:t>Direct-metered versus master-metered service</w:t>
      </w:r>
    </w:p>
    <w:p w:rsidRPr="00690EDD" w:rsidR="006705A9" w:rsidP="0024459D" w:rsidRDefault="002932DF" w14:paraId="648B22CA" w14:textId="658BFB98">
      <w:r>
        <w:t xml:space="preserve">Forest Glen MHP commented on </w:t>
      </w:r>
      <w:r w:rsidR="007E4064">
        <w:t xml:space="preserve">the </w:t>
      </w:r>
      <w:r>
        <w:t xml:space="preserve">statement </w:t>
      </w:r>
      <w:r w:rsidR="00743DD5">
        <w:t xml:space="preserve">in the Resolution related to </w:t>
      </w:r>
      <w:r w:rsidR="00B622C3">
        <w:t>master</w:t>
      </w:r>
      <w:r w:rsidRPr="00D2684E" w:rsidR="00743DD5">
        <w:t>-metered service</w:t>
      </w:r>
      <w:r w:rsidR="00743DD5">
        <w:rPr>
          <w:b/>
          <w:bCs/>
        </w:rPr>
        <w:t xml:space="preserve"> </w:t>
      </w:r>
      <w:r w:rsidR="00646779">
        <w:t>prior to</w:t>
      </w:r>
      <w:r w:rsidRPr="00AB0E51" w:rsidR="00AB0E51">
        <w:t xml:space="preserve"> </w:t>
      </w:r>
      <w:r w:rsidR="00646779">
        <w:t>the</w:t>
      </w:r>
      <w:r w:rsidRPr="00AB0E51" w:rsidR="00AB0E51">
        <w:t xml:space="preserve"> </w:t>
      </w:r>
      <w:r w:rsidR="00643A73">
        <w:t xml:space="preserve">utilities </w:t>
      </w:r>
      <w:r w:rsidRPr="00AB0E51" w:rsidR="00AB0E51">
        <w:t>conversion provided by the Rebuild Program</w:t>
      </w:r>
      <w:r w:rsidR="002C7A62">
        <w:t>.</w:t>
      </w:r>
      <w:r w:rsidR="009907E0">
        <w:rPr>
          <w:rStyle w:val="FootnoteReference"/>
        </w:rPr>
        <w:footnoteReference w:id="165"/>
      </w:r>
      <w:r w:rsidR="002C7A62">
        <w:t xml:space="preserve"> </w:t>
      </w:r>
      <w:r w:rsidR="001E7D59">
        <w:t xml:space="preserve">Forest Glen indicated that </w:t>
      </w:r>
      <w:r w:rsidRPr="00A7720A" w:rsidR="007A3DB7">
        <w:t>“</w:t>
      </w:r>
      <w:r w:rsidRPr="00D2684E" w:rsidR="00A7720A">
        <w:t>each resident had their service with PG&amp;E directly</w:t>
      </w:r>
      <w:r w:rsidR="00690EDD">
        <w:t>.</w:t>
      </w:r>
      <w:r w:rsidRPr="00D2684E" w:rsidR="00A7720A">
        <w:t>”</w:t>
      </w:r>
      <w:r w:rsidRPr="00A7720A" w:rsidR="002C7A62">
        <w:t xml:space="preserve"> </w:t>
      </w:r>
    </w:p>
    <w:p w:rsidR="006705A9" w:rsidP="0024459D" w:rsidRDefault="006705A9" w14:paraId="6CB91770" w14:textId="77777777"/>
    <w:p w:rsidR="00A058F6" w:rsidP="0024459D" w:rsidRDefault="00440528" w14:paraId="35442A4C" w14:textId="463FEFFA">
      <w:r>
        <w:t xml:space="preserve">Ridgewood MHP also commented that </w:t>
      </w:r>
      <w:r w:rsidR="000E2247">
        <w:t>their</w:t>
      </w:r>
      <w:r w:rsidRPr="00F01FD8" w:rsidR="00F01FD8">
        <w:t xml:space="preserve"> MHP </w:t>
      </w:r>
      <w:r w:rsidRPr="00F01FD8" w:rsidR="000E2247">
        <w:t>residents</w:t>
      </w:r>
      <w:r w:rsidR="00C53E9F">
        <w:t>’</w:t>
      </w:r>
      <w:r w:rsidRPr="00F01FD8" w:rsidR="00F01FD8">
        <w:t xml:space="preserve"> </w:t>
      </w:r>
      <w:r w:rsidR="000E2247">
        <w:t>electric and gas</w:t>
      </w:r>
      <w:r w:rsidRPr="00F01FD8" w:rsidR="00F01FD8">
        <w:t xml:space="preserve"> services were metered and billed directly by PG&amp;E. </w:t>
      </w:r>
      <w:r w:rsidR="000E2247">
        <w:t xml:space="preserve"> </w:t>
      </w:r>
      <w:r w:rsidRPr="00F01FD8" w:rsidR="00F01FD8">
        <w:t>Electrical and gas service was supplied by PG&amp;E to banks of meters. The park installed and maintained the distribution system from the meter banks to the individual mobile home sites. The meter banks were owned by the park whereas the meters in the meter banks were owned by PG&amp;E.</w:t>
      </w:r>
      <w:r w:rsidR="009A0BB2">
        <w:rPr>
          <w:rStyle w:val="FootnoteReference"/>
        </w:rPr>
        <w:footnoteReference w:id="166"/>
      </w:r>
      <w:r w:rsidRPr="00F01FD8" w:rsidR="00F01FD8">
        <w:t xml:space="preserve"> </w:t>
      </w:r>
      <w:r w:rsidR="00643570">
        <w:t xml:space="preserve"> </w:t>
      </w:r>
    </w:p>
    <w:p w:rsidR="00643570" w:rsidP="0024459D" w:rsidRDefault="00643570" w14:paraId="244D7E69" w14:textId="77777777"/>
    <w:p w:rsidR="00643570" w:rsidP="0024459D" w:rsidRDefault="00922E39" w14:paraId="6658005A" w14:textId="1DE62A08">
      <w:r>
        <w:t xml:space="preserve">The Commission acknowledges the comments and this </w:t>
      </w:r>
      <w:r w:rsidR="00516140">
        <w:t>Resolution ha</w:t>
      </w:r>
      <w:r w:rsidR="001314AF">
        <w:t>s</w:t>
      </w:r>
      <w:r w:rsidR="00516140">
        <w:t xml:space="preserve"> been revised to </w:t>
      </w:r>
      <w:r w:rsidR="00F4364A">
        <w:t xml:space="preserve">reflect the number of </w:t>
      </w:r>
      <w:r w:rsidR="001B77F0">
        <w:t>master</w:t>
      </w:r>
      <w:r w:rsidR="00F4364A">
        <w:t xml:space="preserve">-metered </w:t>
      </w:r>
      <w:r w:rsidR="00804CC0">
        <w:t xml:space="preserve">spaces </w:t>
      </w:r>
      <w:r w:rsidR="00204BDE">
        <w:t>in existence</w:t>
      </w:r>
      <w:r w:rsidR="00804CC0">
        <w:t xml:space="preserve"> before the </w:t>
      </w:r>
      <w:r w:rsidR="00D96652">
        <w:t>Rebuild Program.</w:t>
      </w:r>
    </w:p>
    <w:p w:rsidR="00D96652" w:rsidP="0024459D" w:rsidRDefault="00D96652" w14:paraId="6DBFCE6D" w14:textId="77777777"/>
    <w:p w:rsidRPr="00D2684E" w:rsidR="00D96652" w:rsidP="00D2684E" w:rsidRDefault="003F315E" w14:paraId="43AB0807" w14:textId="652CBBD4">
      <w:pPr>
        <w:spacing w:after="120"/>
        <w:rPr>
          <w:b/>
          <w:bCs/>
        </w:rPr>
      </w:pPr>
      <w:r w:rsidRPr="00D2684E">
        <w:rPr>
          <w:b/>
          <w:bCs/>
        </w:rPr>
        <w:t>Reply to comment procedure</w:t>
      </w:r>
    </w:p>
    <w:p w:rsidR="003A57A4" w:rsidP="0024459D" w:rsidRDefault="00846330" w14:paraId="706B31B0" w14:textId="1C870919">
      <w:r>
        <w:t xml:space="preserve">Ridgewood MHP </w:t>
      </w:r>
      <w:r w:rsidR="00035F16">
        <w:t>questioned</w:t>
      </w:r>
      <w:r w:rsidR="00735725">
        <w:t xml:space="preserve"> </w:t>
      </w:r>
      <w:r w:rsidR="00226BEC">
        <w:t>“</w:t>
      </w:r>
      <w:r w:rsidRPr="00226BEC" w:rsidR="00226BEC">
        <w:t>why should the utility being regulated have the last word in a dispute with a citizen of the state.</w:t>
      </w:r>
      <w:r w:rsidR="00226BEC">
        <w:t xml:space="preserve">” </w:t>
      </w:r>
      <w:r w:rsidR="00944401">
        <w:t>They further suggested that “</w:t>
      </w:r>
      <w:r w:rsidRPr="00AD0EF3" w:rsidR="00AD0EF3">
        <w:t>Section 7.4.3 of General Order (GO) 96-B needs to be modified to provide citizens an opportunity to rebut the regulated utilities inadequate response.</w:t>
      </w:r>
      <w:r w:rsidR="00944401">
        <w:t>”</w:t>
      </w:r>
      <w:r w:rsidR="00AC011E">
        <w:rPr>
          <w:rStyle w:val="FootnoteReference"/>
        </w:rPr>
        <w:footnoteReference w:id="167"/>
      </w:r>
    </w:p>
    <w:p w:rsidR="003A57A4" w:rsidP="0024459D" w:rsidRDefault="003A57A4" w14:paraId="475E0B2B" w14:textId="77777777"/>
    <w:p w:rsidR="00505FBB" w:rsidP="0024459D" w:rsidRDefault="003F54EE" w14:paraId="52036DF3" w14:textId="21E73113">
      <w:r>
        <w:t xml:space="preserve">Ridgewood MHP’s response to PG&amp;E’s reply to </w:t>
      </w:r>
      <w:r w:rsidR="006C69C3">
        <w:t xml:space="preserve">protest </w:t>
      </w:r>
      <w:r w:rsidR="00F13C11">
        <w:t xml:space="preserve">focused on </w:t>
      </w:r>
      <w:r w:rsidR="00DA73EF">
        <w:t xml:space="preserve">the </w:t>
      </w:r>
      <w:r w:rsidR="00E020E9">
        <w:t xml:space="preserve">upgrade of electrical service to 150/200 amps, installation of wire/vaults in the street and pedestals in front of the mobile homes, and </w:t>
      </w:r>
      <w:r w:rsidR="0067279D">
        <w:t>potential damage to salvageable utilities.  While the Commission appreciate</w:t>
      </w:r>
      <w:r w:rsidR="00B848F0">
        <w:t>s</w:t>
      </w:r>
      <w:r w:rsidR="0067279D">
        <w:t xml:space="preserve"> </w:t>
      </w:r>
      <w:r w:rsidR="00E54249">
        <w:t>Ridgewood MHP</w:t>
      </w:r>
      <w:r w:rsidR="000035AE">
        <w:t>’s</w:t>
      </w:r>
      <w:r w:rsidR="00E54249">
        <w:t xml:space="preserve"> restate</w:t>
      </w:r>
      <w:r w:rsidR="00AF3FF7">
        <w:t>ment of</w:t>
      </w:r>
      <w:r w:rsidR="00E54249">
        <w:t xml:space="preserve"> </w:t>
      </w:r>
      <w:r w:rsidR="00D952DF">
        <w:t xml:space="preserve">their concerns </w:t>
      </w:r>
      <w:r w:rsidR="009632B7">
        <w:t>o</w:t>
      </w:r>
      <w:r w:rsidR="00D952DF">
        <w:t xml:space="preserve">n </w:t>
      </w:r>
      <w:r w:rsidR="00E54249">
        <w:t xml:space="preserve">these </w:t>
      </w:r>
      <w:r w:rsidR="00505FBB">
        <w:t>issues,</w:t>
      </w:r>
      <w:r w:rsidR="00E54249">
        <w:t xml:space="preserve"> </w:t>
      </w:r>
      <w:r w:rsidR="0070336C">
        <w:t xml:space="preserve">we find </w:t>
      </w:r>
      <w:r w:rsidR="00F6337D">
        <w:t xml:space="preserve">that </w:t>
      </w:r>
      <w:r w:rsidR="00512E47">
        <w:t>Rid</w:t>
      </w:r>
      <w:r w:rsidR="002E72AE">
        <w:t>g</w:t>
      </w:r>
      <w:r w:rsidR="00512E47">
        <w:t>ewood MHP’s response</w:t>
      </w:r>
      <w:r w:rsidR="002E72AE">
        <w:t xml:space="preserve"> </w:t>
      </w:r>
      <w:r w:rsidR="00A91B55">
        <w:t xml:space="preserve">is duplicative of earlier comments and </w:t>
      </w:r>
      <w:r w:rsidR="00D913BA">
        <w:t>the Commission does not find it necessary to</w:t>
      </w:r>
      <w:r w:rsidR="00F02BCF">
        <w:t xml:space="preserve"> include these </w:t>
      </w:r>
      <w:r w:rsidR="00245E1D">
        <w:t>comments in the record</w:t>
      </w:r>
      <w:r w:rsidR="00505FBB">
        <w:t>.</w:t>
      </w:r>
    </w:p>
    <w:p w:rsidR="00505FBB" w:rsidP="0024459D" w:rsidRDefault="00505FBB" w14:paraId="0A21C61E" w14:textId="1E77EECE"/>
    <w:p w:rsidR="00677DB1" w:rsidP="0024459D" w:rsidRDefault="00677DB1" w14:paraId="7A111725" w14:textId="77777777"/>
    <w:p w:rsidRPr="00D2684E" w:rsidR="00A058F6" w:rsidP="00D2684E" w:rsidRDefault="00505FBB" w14:paraId="05ACA588" w14:textId="0029F409">
      <w:pPr>
        <w:spacing w:after="120"/>
        <w:rPr>
          <w:b/>
          <w:bCs/>
        </w:rPr>
      </w:pPr>
      <w:r w:rsidRPr="00D2684E">
        <w:rPr>
          <w:b/>
          <w:bCs/>
        </w:rPr>
        <w:lastRenderedPageBreak/>
        <w:t>Implementation of Resolution requirement in the existing Rebuild Program.</w:t>
      </w:r>
      <w:r w:rsidRPr="00D2684E" w:rsidR="00226BEC">
        <w:rPr>
          <w:b/>
          <w:bCs/>
        </w:rPr>
        <w:t xml:space="preserve"> </w:t>
      </w:r>
      <w:r w:rsidRPr="00D2684E" w:rsidR="00846330">
        <w:rPr>
          <w:b/>
          <w:bCs/>
        </w:rPr>
        <w:t xml:space="preserve"> </w:t>
      </w:r>
    </w:p>
    <w:p w:rsidRPr="00872A33" w:rsidR="003F315E" w:rsidP="0024459D" w:rsidRDefault="000228BA" w14:paraId="185D75B2" w14:textId="7697ED08">
      <w:r w:rsidRPr="00D2684E">
        <w:t xml:space="preserve">PG&amp;E </w:t>
      </w:r>
      <w:r>
        <w:t>r</w:t>
      </w:r>
      <w:r w:rsidRPr="00D2684E">
        <w:t>equest</w:t>
      </w:r>
      <w:r>
        <w:t>ed</w:t>
      </w:r>
      <w:r w:rsidRPr="00D2684E">
        <w:t xml:space="preserve"> that the </w:t>
      </w:r>
      <w:r>
        <w:t>c</w:t>
      </w:r>
      <w:r w:rsidRPr="00D2684E">
        <w:t xml:space="preserve">hanges </w:t>
      </w:r>
      <w:r>
        <w:t>a</w:t>
      </w:r>
      <w:r w:rsidRPr="00D2684E">
        <w:t xml:space="preserve">dopted in the Draft Resolution </w:t>
      </w:r>
      <w:r>
        <w:t>a</w:t>
      </w:r>
      <w:r w:rsidRPr="00D2684E">
        <w:t xml:space="preserve">pply to </w:t>
      </w:r>
      <w:r>
        <w:t>p</w:t>
      </w:r>
      <w:r w:rsidRPr="00D2684E">
        <w:t xml:space="preserve">rojects that </w:t>
      </w:r>
      <w:r>
        <w:t>a</w:t>
      </w:r>
      <w:r w:rsidRPr="00D2684E">
        <w:t xml:space="preserve">re </w:t>
      </w:r>
      <w:r>
        <w:t>y</w:t>
      </w:r>
      <w:r w:rsidRPr="00D2684E">
        <w:t xml:space="preserve">et to </w:t>
      </w:r>
      <w:r>
        <w:t>c</w:t>
      </w:r>
      <w:r w:rsidRPr="00D2684E">
        <w:t xml:space="preserve">omplete </w:t>
      </w:r>
      <w:r>
        <w:t>d</w:t>
      </w:r>
      <w:r w:rsidRPr="00D2684E">
        <w:t>esign.</w:t>
      </w:r>
      <w:r>
        <w:t xml:space="preserve">  </w:t>
      </w:r>
      <w:r w:rsidRPr="00ED67CB" w:rsidR="00ED67CB">
        <w:t>PG&amp;E</w:t>
      </w:r>
      <w:r w:rsidR="001458BB">
        <w:t xml:space="preserve"> indicated that its</w:t>
      </w:r>
      <w:r w:rsidRPr="00ED67CB" w:rsidR="00ED67CB">
        <w:t xml:space="preserve"> standard process is to apply changes to projects that have yet to complete design and request</w:t>
      </w:r>
      <w:r w:rsidR="002E49BB">
        <w:t>ed</w:t>
      </w:r>
      <w:r w:rsidRPr="00ED67CB" w:rsidR="00ED67CB">
        <w:t xml:space="preserve"> that changes adopted in this Draft Resolution follow the same PG&amp;E process. PG&amp;E has completed design on a portfolio of projects</w:t>
      </w:r>
      <w:r w:rsidR="00483673">
        <w:t>. I</w:t>
      </w:r>
      <w:r w:rsidRPr="00ED67CB" w:rsidR="00ED67CB">
        <w:t xml:space="preserve">f the changes from this Draft Resolution are to be applied to projects that have completed design and yet to begin construction, PG&amp;E </w:t>
      </w:r>
      <w:r w:rsidR="009D155E">
        <w:t xml:space="preserve">states that it </w:t>
      </w:r>
      <w:r w:rsidRPr="00ED67CB" w:rsidR="00ED67CB">
        <w:t xml:space="preserve">would need to redesign </w:t>
      </w:r>
      <w:r w:rsidRPr="00ED67CB" w:rsidR="00054F0D">
        <w:t>several</w:t>
      </w:r>
      <w:r w:rsidRPr="00ED67CB" w:rsidR="00ED67CB">
        <w:t xml:space="preserve"> projects</w:t>
      </w:r>
      <w:r w:rsidR="0096022A">
        <w:t>.  They state that the redesign may</w:t>
      </w:r>
      <w:r w:rsidRPr="00ED67CB" w:rsidR="00ED67CB">
        <w:t xml:space="preserve"> further increase cost and time to project competition.</w:t>
      </w:r>
    </w:p>
    <w:p w:rsidR="003F315E" w:rsidP="0024459D" w:rsidRDefault="003F315E" w14:paraId="3C3F83AC" w14:textId="77777777"/>
    <w:p w:rsidR="003F315E" w:rsidP="0024459D" w:rsidRDefault="00F472BA" w14:paraId="1EC48760" w14:textId="598A0F74">
      <w:r>
        <w:t xml:space="preserve">A data </w:t>
      </w:r>
      <w:r w:rsidR="00B358C3">
        <w:t xml:space="preserve">request </w:t>
      </w:r>
      <w:r>
        <w:t xml:space="preserve">response from PG&amp;E indicated that </w:t>
      </w:r>
      <w:r w:rsidR="007E63D4">
        <w:t xml:space="preserve">18 MHPs have completed design, </w:t>
      </w:r>
      <w:r w:rsidR="0096022A">
        <w:t>one</w:t>
      </w:r>
      <w:r w:rsidR="007E63D4">
        <w:t xml:space="preserve"> MHP design is in progress</w:t>
      </w:r>
      <w:r w:rsidR="0059248D">
        <w:t xml:space="preserve"> (on </w:t>
      </w:r>
      <w:r w:rsidR="0096022A">
        <w:t xml:space="preserve">hold due to </w:t>
      </w:r>
      <w:r w:rsidR="0059248D">
        <w:t xml:space="preserve">MHP owner’s </w:t>
      </w:r>
      <w:r w:rsidR="0096022A">
        <w:t>request</w:t>
      </w:r>
      <w:r w:rsidR="0059248D">
        <w:t>)</w:t>
      </w:r>
      <w:r w:rsidR="007E63D4">
        <w:t xml:space="preserve">, and 17 MHPs have not </w:t>
      </w:r>
      <w:r w:rsidR="0096022A">
        <w:t xml:space="preserve">yet </w:t>
      </w:r>
      <w:r w:rsidR="007E63D4">
        <w:t>begun design.</w:t>
      </w:r>
      <w:r w:rsidR="004F4072">
        <w:rPr>
          <w:rStyle w:val="FootnoteReference"/>
        </w:rPr>
        <w:footnoteReference w:id="168"/>
      </w:r>
      <w:r w:rsidR="00522842">
        <w:t xml:space="preserve">  </w:t>
      </w:r>
      <w:r w:rsidRPr="00B611F1" w:rsidR="00B611F1">
        <w:t xml:space="preserve">Please refer to Appendix B for a detailed break down of </w:t>
      </w:r>
      <w:r w:rsidR="007A0695">
        <w:t xml:space="preserve">the mobilehome </w:t>
      </w:r>
      <w:r w:rsidRPr="00B611F1" w:rsidR="00B611F1">
        <w:t>design status.</w:t>
      </w:r>
      <w:r w:rsidR="00B611F1">
        <w:t xml:space="preserve">  </w:t>
      </w:r>
      <w:r w:rsidR="00B06D0E">
        <w:t xml:space="preserve">Since </w:t>
      </w:r>
      <w:r w:rsidR="00AC0D5A">
        <w:t xml:space="preserve">this Resolution only requires upgrade of the service cable and possibly the associated splice boxes, </w:t>
      </w:r>
      <w:r w:rsidR="00D44B75">
        <w:t>the Commission finds that it is reasonable to require PG&amp;E implement these changes to all the MHPs in the Rebuild Program</w:t>
      </w:r>
      <w:r w:rsidR="00C65766">
        <w:t xml:space="preserve"> that </w:t>
      </w:r>
      <w:r w:rsidR="005018B8">
        <w:t>ha</w:t>
      </w:r>
      <w:r w:rsidR="0096022A">
        <w:t>d</w:t>
      </w:r>
      <w:r w:rsidR="005018B8">
        <w:t xml:space="preserve"> not commenced construction</w:t>
      </w:r>
      <w:r w:rsidRPr="00E11639" w:rsidR="00E11639">
        <w:t xml:space="preserve"> </w:t>
      </w:r>
      <w:r w:rsidRPr="00E11639" w:rsidR="00E11639">
        <w:rPr>
          <w:bCs/>
        </w:rPr>
        <w:t>as of the</w:t>
      </w:r>
      <w:r w:rsidR="00011AC9">
        <w:rPr>
          <w:bCs/>
        </w:rPr>
        <w:t xml:space="preserve"> initial publication date</w:t>
      </w:r>
      <w:r w:rsidRPr="00E11639" w:rsidR="00E11639">
        <w:rPr>
          <w:bCs/>
        </w:rPr>
        <w:t xml:space="preserve"> of this resolution</w:t>
      </w:r>
    </w:p>
    <w:p w:rsidR="003F315E" w:rsidP="0024459D" w:rsidRDefault="003F315E" w14:paraId="3915C576" w14:textId="77777777"/>
    <w:p w:rsidR="00CF17DE" w:rsidRDefault="00CF17DE" w14:paraId="07618DBE" w14:textId="77777777">
      <w:pPr>
        <w:pStyle w:val="Heading1"/>
      </w:pPr>
      <w:r>
        <w:t>Findings</w:t>
      </w:r>
    </w:p>
    <w:p w:rsidRPr="00903B5D" w:rsidR="006D4FB6" w:rsidP="009A2015" w:rsidRDefault="006D4FB6" w14:paraId="32B37C37" w14:textId="5808BA3F">
      <w:pPr>
        <w:numPr>
          <w:ilvl w:val="0"/>
          <w:numId w:val="60"/>
        </w:numPr>
        <w:rPr>
          <w:bCs/>
        </w:rPr>
      </w:pPr>
      <w:r w:rsidRPr="00D64128">
        <w:rPr>
          <w:bCs/>
        </w:rPr>
        <w:t xml:space="preserve">PG&amp;E </w:t>
      </w:r>
      <w:r w:rsidRPr="00903B5D" w:rsidR="00673A01">
        <w:rPr>
          <w:bCs/>
        </w:rPr>
        <w:t>4116-G/5581-E</w:t>
      </w:r>
      <w:r w:rsidRPr="00903B5D">
        <w:rPr>
          <w:bCs/>
        </w:rPr>
        <w:t xml:space="preserve"> seek</w:t>
      </w:r>
      <w:r w:rsidRPr="00903B5D" w:rsidR="001728FE">
        <w:rPr>
          <w:bCs/>
        </w:rPr>
        <w:t>s</w:t>
      </w:r>
      <w:r w:rsidRPr="00903B5D">
        <w:rPr>
          <w:bCs/>
        </w:rPr>
        <w:t xml:space="preserve"> approval </w:t>
      </w:r>
      <w:r w:rsidRPr="00903B5D" w:rsidR="00672336">
        <w:rPr>
          <w:bCs/>
        </w:rPr>
        <w:t xml:space="preserve">to </w:t>
      </w:r>
      <w:r w:rsidRPr="00672336" w:rsidR="00672336">
        <w:rPr>
          <w:bCs/>
        </w:rPr>
        <w:t xml:space="preserve">establish a Butte County </w:t>
      </w:r>
      <w:r w:rsidRPr="007E3713" w:rsidR="007E3713">
        <w:rPr>
          <w:bCs/>
        </w:rPr>
        <w:t xml:space="preserve">Mobilehome Park </w:t>
      </w:r>
      <w:r w:rsidRPr="00672336" w:rsidR="00672336">
        <w:rPr>
          <w:bCs/>
        </w:rPr>
        <w:t xml:space="preserve">Rebuild Program Agreement (Form 79-1201) for </w:t>
      </w:r>
      <w:r w:rsidR="007E3713">
        <w:rPr>
          <w:bCs/>
        </w:rPr>
        <w:t>MHP</w:t>
      </w:r>
      <w:r w:rsidRPr="007E3713" w:rsidR="007E3713">
        <w:rPr>
          <w:bCs/>
        </w:rPr>
        <w:t xml:space="preserve"> </w:t>
      </w:r>
      <w:r w:rsidR="00B51279">
        <w:rPr>
          <w:bCs/>
        </w:rPr>
        <w:t>o</w:t>
      </w:r>
      <w:r w:rsidRPr="00672336" w:rsidR="00B51279">
        <w:rPr>
          <w:bCs/>
        </w:rPr>
        <w:t>wners</w:t>
      </w:r>
      <w:r w:rsidR="00B51279">
        <w:rPr>
          <w:bCs/>
        </w:rPr>
        <w:t xml:space="preserve"> </w:t>
      </w:r>
      <w:r w:rsidR="00D20D3E">
        <w:rPr>
          <w:bCs/>
        </w:rPr>
        <w:t xml:space="preserve">and </w:t>
      </w:r>
      <w:r w:rsidR="00B51279">
        <w:rPr>
          <w:bCs/>
        </w:rPr>
        <w:t>o</w:t>
      </w:r>
      <w:r w:rsidRPr="00672336" w:rsidR="00672336">
        <w:rPr>
          <w:bCs/>
        </w:rPr>
        <w:t>perators in Butte County</w:t>
      </w:r>
      <w:r w:rsidRPr="00D64128" w:rsidR="00672336">
        <w:rPr>
          <w:bCs/>
        </w:rPr>
        <w:t xml:space="preserve">. </w:t>
      </w:r>
    </w:p>
    <w:p w:rsidRPr="00903B5D" w:rsidR="006D4FB6" w:rsidP="009A2015" w:rsidRDefault="006D4FB6" w14:paraId="2AB127F1" w14:textId="77777777">
      <w:pPr>
        <w:ind w:left="720"/>
        <w:rPr>
          <w:bCs/>
        </w:rPr>
      </w:pPr>
      <w:r w:rsidRPr="00903B5D">
        <w:rPr>
          <w:bCs/>
        </w:rPr>
        <w:t xml:space="preserve"> </w:t>
      </w:r>
    </w:p>
    <w:p w:rsidRPr="000F3C2A" w:rsidR="006D4FB6" w:rsidP="009A2015" w:rsidRDefault="00672336" w14:paraId="695619D9" w14:textId="61DDD515">
      <w:pPr>
        <w:numPr>
          <w:ilvl w:val="0"/>
          <w:numId w:val="60"/>
        </w:numPr>
        <w:spacing w:after="4"/>
        <w:rPr>
          <w:bCs/>
        </w:rPr>
      </w:pPr>
      <w:r w:rsidRPr="00903B5D">
        <w:rPr>
          <w:bCs/>
        </w:rPr>
        <w:t xml:space="preserve">PG&amp;E’s Butte County </w:t>
      </w:r>
      <w:r w:rsidRPr="007E3713" w:rsidR="007E3713">
        <w:rPr>
          <w:bCs/>
        </w:rPr>
        <w:t xml:space="preserve">Mobilehome Park </w:t>
      </w:r>
      <w:r w:rsidRPr="00903B5D">
        <w:rPr>
          <w:bCs/>
        </w:rPr>
        <w:t xml:space="preserve">Rebuild Program Agreement (Form 79-1201) describes the work being performed by PG&amp;E and the </w:t>
      </w:r>
      <w:r w:rsidR="007E3713">
        <w:rPr>
          <w:bCs/>
        </w:rPr>
        <w:t>MHP</w:t>
      </w:r>
      <w:r w:rsidRPr="007E3713" w:rsidR="007E3713">
        <w:rPr>
          <w:bCs/>
        </w:rPr>
        <w:t xml:space="preserve"> </w:t>
      </w:r>
      <w:r w:rsidR="00B51279">
        <w:rPr>
          <w:bCs/>
        </w:rPr>
        <w:t>o</w:t>
      </w:r>
      <w:r w:rsidRPr="00903B5D" w:rsidR="00B51279">
        <w:rPr>
          <w:bCs/>
        </w:rPr>
        <w:t>wners</w:t>
      </w:r>
      <w:r w:rsidR="00B51279">
        <w:rPr>
          <w:bCs/>
        </w:rPr>
        <w:t xml:space="preserve"> </w:t>
      </w:r>
      <w:r w:rsidR="00D20D3E">
        <w:rPr>
          <w:bCs/>
        </w:rPr>
        <w:t xml:space="preserve">and </w:t>
      </w:r>
      <w:r w:rsidR="00B51279">
        <w:rPr>
          <w:bCs/>
        </w:rPr>
        <w:t>o</w:t>
      </w:r>
      <w:r w:rsidRPr="00903B5D">
        <w:rPr>
          <w:bCs/>
        </w:rPr>
        <w:t>perators’ designated contractor in restoring the utility service to the MHP in Butte County.</w:t>
      </w:r>
      <w:r w:rsidRPr="00921D01" w:rsidR="006D4FB6">
        <w:rPr>
          <w:bCs/>
        </w:rPr>
        <w:t xml:space="preserve"> </w:t>
      </w:r>
    </w:p>
    <w:p w:rsidRPr="004D249C" w:rsidR="006D4FB6" w:rsidP="009A2015" w:rsidRDefault="006D4FB6" w14:paraId="272A76BF" w14:textId="77777777">
      <w:pPr>
        <w:ind w:left="720"/>
        <w:rPr>
          <w:bCs/>
        </w:rPr>
      </w:pPr>
      <w:r w:rsidRPr="000F3C2A">
        <w:rPr>
          <w:bCs/>
        </w:rPr>
        <w:t xml:space="preserve"> </w:t>
      </w:r>
    </w:p>
    <w:p w:rsidR="007358BF" w:rsidP="009A2015" w:rsidRDefault="007E3713" w14:paraId="2E3ACEB7" w14:textId="16446A70">
      <w:pPr>
        <w:numPr>
          <w:ilvl w:val="0"/>
          <w:numId w:val="60"/>
        </w:numPr>
        <w:rPr>
          <w:bCs/>
        </w:rPr>
      </w:pPr>
      <w:r>
        <w:rPr>
          <w:bCs/>
        </w:rPr>
        <w:t xml:space="preserve">The </w:t>
      </w:r>
      <w:r w:rsidRPr="00693B21" w:rsidR="00693B21">
        <w:rPr>
          <w:bCs/>
          <w:iCs/>
        </w:rPr>
        <w:t>Rebuild Program</w:t>
      </w:r>
      <w:r w:rsidRPr="00693B21" w:rsidR="00693B21">
        <w:rPr>
          <w:bCs/>
        </w:rPr>
        <w:t xml:space="preserve"> </w:t>
      </w:r>
      <w:r w:rsidRPr="004D249C" w:rsidR="00672336">
        <w:rPr>
          <w:bCs/>
        </w:rPr>
        <w:t xml:space="preserve"> does not cover new developments – rather it is focused on restoring service and replacing facilities for 36 MHP</w:t>
      </w:r>
      <w:r w:rsidR="0010750D">
        <w:rPr>
          <w:bCs/>
        </w:rPr>
        <w:t>s</w:t>
      </w:r>
      <w:r w:rsidRPr="004D249C" w:rsidR="00672336">
        <w:rPr>
          <w:bCs/>
        </w:rPr>
        <w:t>, representing approximately 1,652 spaces</w:t>
      </w:r>
      <w:r w:rsidR="002339BD">
        <w:rPr>
          <w:bCs/>
        </w:rPr>
        <w:t>,</w:t>
      </w:r>
      <w:r w:rsidRPr="004D249C" w:rsidR="00672336">
        <w:rPr>
          <w:bCs/>
        </w:rPr>
        <w:t xml:space="preserve"> that lost service or had electric and gas facilities damaged or destroyed due to the Camp Fire</w:t>
      </w:r>
      <w:r w:rsidRPr="004D249C" w:rsidR="006D4FB6">
        <w:rPr>
          <w:bCs/>
        </w:rPr>
        <w:t>.</w:t>
      </w:r>
    </w:p>
    <w:p w:rsidR="00AB4287" w:rsidP="00B6099B" w:rsidRDefault="00AB4287" w14:paraId="4AF914A9" w14:textId="77777777">
      <w:pPr>
        <w:pStyle w:val="ListParagraph"/>
        <w:rPr>
          <w:bCs/>
        </w:rPr>
      </w:pPr>
    </w:p>
    <w:p w:rsidRPr="004D249C" w:rsidR="005B6B1B" w:rsidP="009A2015" w:rsidRDefault="00A014EE" w14:paraId="214E3A8F" w14:textId="73B8E012">
      <w:pPr>
        <w:numPr>
          <w:ilvl w:val="0"/>
          <w:numId w:val="60"/>
        </w:numPr>
        <w:rPr>
          <w:bCs/>
        </w:rPr>
      </w:pPr>
      <w:r>
        <w:rPr>
          <w:bCs/>
        </w:rPr>
        <w:lastRenderedPageBreak/>
        <w:t xml:space="preserve">There are </w:t>
      </w:r>
      <w:r w:rsidRPr="005B6B1B" w:rsidR="005B6B1B">
        <w:rPr>
          <w:bCs/>
        </w:rPr>
        <w:t xml:space="preserve">8 </w:t>
      </w:r>
      <w:r w:rsidR="007E3713">
        <w:rPr>
          <w:bCs/>
        </w:rPr>
        <w:t>m</w:t>
      </w:r>
      <w:r w:rsidRPr="007E3713" w:rsidR="007E3713">
        <w:rPr>
          <w:bCs/>
        </w:rPr>
        <w:t xml:space="preserve">obilehome </w:t>
      </w:r>
      <w:r w:rsidR="007E3713">
        <w:rPr>
          <w:bCs/>
        </w:rPr>
        <w:t>p</w:t>
      </w:r>
      <w:r w:rsidRPr="007E3713" w:rsidR="007E3713">
        <w:rPr>
          <w:bCs/>
        </w:rPr>
        <w:t>ark</w:t>
      </w:r>
      <w:r w:rsidRPr="005B6B1B" w:rsidR="005B6B1B">
        <w:rPr>
          <w:bCs/>
        </w:rPr>
        <w:t>s</w:t>
      </w:r>
      <w:r w:rsidR="002339BD">
        <w:rPr>
          <w:bCs/>
        </w:rPr>
        <w:t>, representing approximatel</w:t>
      </w:r>
      <w:r w:rsidR="00093820">
        <w:rPr>
          <w:bCs/>
        </w:rPr>
        <w:t>y</w:t>
      </w:r>
      <w:r w:rsidRPr="005B6B1B" w:rsidR="005B6B1B">
        <w:rPr>
          <w:bCs/>
        </w:rPr>
        <w:t xml:space="preserve"> 395 spaces</w:t>
      </w:r>
      <w:r w:rsidR="00093820">
        <w:rPr>
          <w:bCs/>
        </w:rPr>
        <w:t>,</w:t>
      </w:r>
      <w:r w:rsidRPr="005B6B1B" w:rsidR="005B6B1B">
        <w:rPr>
          <w:bCs/>
        </w:rPr>
        <w:t xml:space="preserve"> that have yet to submit a formal application for </w:t>
      </w:r>
      <w:r w:rsidR="000E07A2">
        <w:rPr>
          <w:bCs/>
        </w:rPr>
        <w:t>the Rebuild Program</w:t>
      </w:r>
      <w:r w:rsidRPr="005B6B1B" w:rsidR="005B6B1B">
        <w:rPr>
          <w:bCs/>
        </w:rPr>
        <w:t>.</w:t>
      </w:r>
      <w:r w:rsidR="00492007">
        <w:rPr>
          <w:rStyle w:val="FootnoteReference"/>
          <w:bCs/>
        </w:rPr>
        <w:footnoteReference w:id="169"/>
      </w:r>
      <w:r w:rsidRPr="005B6B1B" w:rsidR="005B6B1B">
        <w:rPr>
          <w:bCs/>
        </w:rPr>
        <w:t xml:space="preserve">  </w:t>
      </w:r>
    </w:p>
    <w:p w:rsidRPr="004D249C" w:rsidR="0079536E" w:rsidP="00B6099B" w:rsidRDefault="0079536E" w14:paraId="563E1AF5" w14:textId="77777777">
      <w:pPr>
        <w:pStyle w:val="ListParagraph"/>
        <w:rPr>
          <w:bCs/>
        </w:rPr>
      </w:pPr>
    </w:p>
    <w:p w:rsidRPr="0067735C" w:rsidR="0079536E" w:rsidP="009A2015" w:rsidRDefault="00693B21" w14:paraId="1DA4CC4B" w14:textId="207FABD6">
      <w:pPr>
        <w:numPr>
          <w:ilvl w:val="0"/>
          <w:numId w:val="60"/>
        </w:numPr>
        <w:rPr>
          <w:bCs/>
        </w:rPr>
      </w:pPr>
      <w:r>
        <w:rPr>
          <w:bCs/>
          <w:iCs/>
        </w:rPr>
        <w:t xml:space="preserve">The </w:t>
      </w:r>
      <w:r w:rsidRPr="00693B21">
        <w:rPr>
          <w:bCs/>
          <w:iCs/>
        </w:rPr>
        <w:t>Rebuild Program</w:t>
      </w:r>
      <w:r w:rsidRPr="00693B21">
        <w:rPr>
          <w:bCs/>
        </w:rPr>
        <w:t xml:space="preserve"> </w:t>
      </w:r>
      <w:r w:rsidRPr="004D249C" w:rsidR="0079536E">
        <w:rPr>
          <w:bCs/>
        </w:rPr>
        <w:t xml:space="preserve">does not cover </w:t>
      </w:r>
      <w:r w:rsidR="007E3713">
        <w:rPr>
          <w:bCs/>
        </w:rPr>
        <w:t>beyond-the-meter</w:t>
      </w:r>
      <w:r w:rsidRPr="004D249C" w:rsidR="007E3713">
        <w:rPr>
          <w:bCs/>
        </w:rPr>
        <w:t xml:space="preserve"> </w:t>
      </w:r>
      <w:r w:rsidRPr="004D249C" w:rsidR="0079536E">
        <w:rPr>
          <w:bCs/>
        </w:rPr>
        <w:t>convers</w:t>
      </w:r>
      <w:r w:rsidRPr="0067735C" w:rsidR="0079536E">
        <w:rPr>
          <w:bCs/>
        </w:rPr>
        <w:t>ions</w:t>
      </w:r>
      <w:r w:rsidR="002660D5">
        <w:rPr>
          <w:bCs/>
        </w:rPr>
        <w:t xml:space="preserve"> except the electric pedestals</w:t>
      </w:r>
      <w:r w:rsidRPr="0067735C" w:rsidR="0079536E">
        <w:rPr>
          <w:bCs/>
        </w:rPr>
        <w:t>.</w:t>
      </w:r>
    </w:p>
    <w:p w:rsidRPr="0067735C" w:rsidR="007358BF" w:rsidP="00B6099B" w:rsidRDefault="007358BF" w14:paraId="211903F8" w14:textId="77777777">
      <w:pPr>
        <w:pStyle w:val="ListParagraph"/>
        <w:rPr>
          <w:bCs/>
        </w:rPr>
      </w:pPr>
    </w:p>
    <w:p w:rsidR="00BA4497" w:rsidP="009A2015" w:rsidRDefault="003A2817" w14:paraId="1968389D" w14:textId="567D5BC0">
      <w:pPr>
        <w:numPr>
          <w:ilvl w:val="0"/>
          <w:numId w:val="60"/>
        </w:numPr>
        <w:rPr>
          <w:bCs/>
        </w:rPr>
      </w:pPr>
      <w:r w:rsidRPr="003A2817">
        <w:rPr>
          <w:bCs/>
        </w:rPr>
        <w:t xml:space="preserve">PG&amp;E </w:t>
      </w:r>
      <w:r w:rsidR="00216E2B">
        <w:rPr>
          <w:bCs/>
        </w:rPr>
        <w:t xml:space="preserve">stated that </w:t>
      </w:r>
      <w:r w:rsidR="004C7FF4">
        <w:rPr>
          <w:bCs/>
        </w:rPr>
        <w:t>c</w:t>
      </w:r>
      <w:r w:rsidRPr="00A24BEF" w:rsidR="00A24BEF">
        <w:rPr>
          <w:bCs/>
        </w:rPr>
        <w:t>onstruction</w:t>
      </w:r>
      <w:r w:rsidR="00A24BEF">
        <w:rPr>
          <w:bCs/>
        </w:rPr>
        <w:t xml:space="preserve"> was </w:t>
      </w:r>
      <w:r w:rsidRPr="00A24BEF" w:rsidR="00A24BEF">
        <w:rPr>
          <w:bCs/>
        </w:rPr>
        <w:t xml:space="preserve">in </w:t>
      </w:r>
      <w:r w:rsidRPr="00A24BEF" w:rsidR="00AF1495">
        <w:rPr>
          <w:bCs/>
        </w:rPr>
        <w:t>progress,</w:t>
      </w:r>
      <w:r w:rsidRPr="00A24BEF" w:rsidR="00A24BEF">
        <w:rPr>
          <w:bCs/>
        </w:rPr>
        <w:t xml:space="preserve"> but no space</w:t>
      </w:r>
      <w:r w:rsidR="005D1AC3">
        <w:rPr>
          <w:bCs/>
        </w:rPr>
        <w:t>s</w:t>
      </w:r>
      <w:r w:rsidRPr="00A24BEF" w:rsidR="00A24BEF">
        <w:rPr>
          <w:bCs/>
        </w:rPr>
        <w:t xml:space="preserve"> </w:t>
      </w:r>
      <w:r w:rsidR="00733932">
        <w:rPr>
          <w:bCs/>
        </w:rPr>
        <w:t>were</w:t>
      </w:r>
      <w:r w:rsidRPr="00A24BEF" w:rsidR="00733932">
        <w:rPr>
          <w:bCs/>
        </w:rPr>
        <w:t xml:space="preserve"> </w:t>
      </w:r>
      <w:r w:rsidRPr="00A24BEF" w:rsidR="00A24BEF">
        <w:rPr>
          <w:bCs/>
        </w:rPr>
        <w:t>completed in 2019</w:t>
      </w:r>
      <w:r w:rsidR="00DF7F34">
        <w:rPr>
          <w:bCs/>
        </w:rPr>
        <w:t>.  PG&amp;E stated that they had</w:t>
      </w:r>
      <w:r w:rsidR="005D6B5F">
        <w:rPr>
          <w:bCs/>
        </w:rPr>
        <w:t xml:space="preserve"> </w:t>
      </w:r>
      <w:r w:rsidRPr="005D6B5F" w:rsidR="005D6B5F">
        <w:rPr>
          <w:bCs/>
        </w:rPr>
        <w:t xml:space="preserve">incurred a total cost </w:t>
      </w:r>
      <w:r w:rsidR="006A4081">
        <w:rPr>
          <w:bCs/>
        </w:rPr>
        <w:t>in 2019 of</w:t>
      </w:r>
      <w:r w:rsidRPr="005D6B5F" w:rsidR="006A4081">
        <w:rPr>
          <w:bCs/>
        </w:rPr>
        <w:t xml:space="preserve"> </w:t>
      </w:r>
      <w:r w:rsidRPr="005D6B5F" w:rsidR="005D6B5F">
        <w:rPr>
          <w:bCs/>
        </w:rPr>
        <w:t>$</w:t>
      </w:r>
      <w:r w:rsidRPr="00813DC5" w:rsidR="00813DC5">
        <w:rPr>
          <w:bCs/>
        </w:rPr>
        <w:t>2,751,424.80</w:t>
      </w:r>
      <w:r w:rsidRPr="005D6B5F" w:rsidR="005D6B5F">
        <w:rPr>
          <w:bCs/>
        </w:rPr>
        <w:t xml:space="preserve"> </w:t>
      </w:r>
      <w:r w:rsidR="006A4081">
        <w:rPr>
          <w:bCs/>
        </w:rPr>
        <w:t xml:space="preserve">for design and construction work </w:t>
      </w:r>
      <w:r w:rsidRPr="005D6B5F" w:rsidR="005D6B5F">
        <w:rPr>
          <w:bCs/>
        </w:rPr>
        <w:t xml:space="preserve">in </w:t>
      </w:r>
      <w:r w:rsidR="00693B21">
        <w:rPr>
          <w:bCs/>
        </w:rPr>
        <w:t xml:space="preserve">the </w:t>
      </w:r>
      <w:r w:rsidRPr="00693B21" w:rsidR="00693B21">
        <w:rPr>
          <w:bCs/>
          <w:iCs/>
        </w:rPr>
        <w:t>Rebuild Program</w:t>
      </w:r>
      <w:r w:rsidRPr="005D6B5F" w:rsidR="005D6B5F">
        <w:rPr>
          <w:bCs/>
        </w:rPr>
        <w:t xml:space="preserve">. </w:t>
      </w:r>
      <w:r w:rsidR="00F635E0">
        <w:rPr>
          <w:bCs/>
        </w:rPr>
        <w:t xml:space="preserve"> </w:t>
      </w:r>
      <w:r w:rsidR="0017146C">
        <w:rPr>
          <w:bCs/>
        </w:rPr>
        <w:t xml:space="preserve"> </w:t>
      </w:r>
    </w:p>
    <w:p w:rsidR="00BA4497" w:rsidP="00B6099B" w:rsidRDefault="00BA4497" w14:paraId="4E50ACBC" w14:textId="77777777">
      <w:pPr>
        <w:pStyle w:val="ListParagraph"/>
        <w:rPr>
          <w:bCs/>
        </w:rPr>
      </w:pPr>
    </w:p>
    <w:p w:rsidRPr="00F945ED" w:rsidR="006D4FB6" w:rsidP="009A2015" w:rsidRDefault="00E66E05" w14:paraId="231A39DB" w14:textId="45121541">
      <w:pPr>
        <w:numPr>
          <w:ilvl w:val="0"/>
          <w:numId w:val="60"/>
        </w:numPr>
        <w:rPr>
          <w:bCs/>
        </w:rPr>
      </w:pPr>
      <w:r w:rsidRPr="0067735C">
        <w:rPr>
          <w:bCs/>
        </w:rPr>
        <w:t xml:space="preserve">PG&amp;E </w:t>
      </w:r>
      <w:r w:rsidR="00D73F16">
        <w:rPr>
          <w:bCs/>
        </w:rPr>
        <w:t>indicated that it</w:t>
      </w:r>
      <w:r w:rsidRPr="0067735C">
        <w:rPr>
          <w:bCs/>
        </w:rPr>
        <w:t xml:space="preserve"> complete</w:t>
      </w:r>
      <w:r w:rsidR="00C4105F">
        <w:rPr>
          <w:bCs/>
        </w:rPr>
        <w:t>d</w:t>
      </w:r>
      <w:r w:rsidRPr="0067735C">
        <w:rPr>
          <w:bCs/>
        </w:rPr>
        <w:t xml:space="preserve"> </w:t>
      </w:r>
      <w:r w:rsidR="00C4105F">
        <w:rPr>
          <w:bCs/>
        </w:rPr>
        <w:t>110</w:t>
      </w:r>
      <w:r w:rsidRPr="0067735C" w:rsidR="00C4105F">
        <w:rPr>
          <w:bCs/>
        </w:rPr>
        <w:t xml:space="preserve"> </w:t>
      </w:r>
      <w:r w:rsidRPr="0067735C">
        <w:rPr>
          <w:bCs/>
        </w:rPr>
        <w:t xml:space="preserve">spaces in 2020 </w:t>
      </w:r>
      <w:r w:rsidRPr="00B67553" w:rsidR="00B67553">
        <w:rPr>
          <w:bCs/>
        </w:rPr>
        <w:t xml:space="preserve">with a total expenditure </w:t>
      </w:r>
      <w:r w:rsidRPr="0067735C">
        <w:rPr>
          <w:bCs/>
        </w:rPr>
        <w:t>of $</w:t>
      </w:r>
      <w:r w:rsidRPr="00785A0E" w:rsidR="00785A0E">
        <w:rPr>
          <w:bCs/>
        </w:rPr>
        <w:t>13,301,768.89</w:t>
      </w:r>
      <w:r w:rsidR="00931C97">
        <w:rPr>
          <w:bCs/>
        </w:rPr>
        <w:t xml:space="preserve">.  </w:t>
      </w:r>
      <w:r w:rsidRPr="00931C97" w:rsidR="00931C97">
        <w:rPr>
          <w:bCs/>
        </w:rPr>
        <w:t>PG&amp;E plans to complete 478 spaces in 2021 at a projected cost of $18,013,233, 244 spaces in 2022 and 103 spaces in 2023</w:t>
      </w:r>
      <w:r w:rsidR="0052622F">
        <w:rPr>
          <w:bCs/>
        </w:rPr>
        <w:t xml:space="preserve">.  </w:t>
      </w:r>
      <w:r w:rsidRPr="00931C97" w:rsidR="00931C97">
        <w:rPr>
          <w:bCs/>
        </w:rPr>
        <w:t xml:space="preserve"> </w:t>
      </w:r>
      <w:r w:rsidRPr="0052622F" w:rsidR="0052622F">
        <w:rPr>
          <w:bCs/>
        </w:rPr>
        <w:t>PG&amp;E anticipates spending approximately $34 million for 2022 and beyond</w:t>
      </w:r>
      <w:r w:rsidRPr="0067735C">
        <w:rPr>
          <w:bCs/>
        </w:rPr>
        <w:t>.  The total expenditure is projected to be $</w:t>
      </w:r>
      <w:bookmarkStart w:name="_Hlk41062947" w:id="44"/>
      <w:r w:rsidRPr="00CA4E55" w:rsidR="00CA4E55">
        <w:rPr>
          <w:bCs/>
        </w:rPr>
        <w:t>68,066,426.69</w:t>
      </w:r>
      <w:bookmarkEnd w:id="44"/>
      <w:r w:rsidRPr="0067735C">
        <w:rPr>
          <w:bCs/>
        </w:rPr>
        <w:t>.</w:t>
      </w:r>
      <w:r w:rsidRPr="00F945ED" w:rsidR="006D4FB6">
        <w:rPr>
          <w:bCs/>
        </w:rPr>
        <w:t xml:space="preserve"> </w:t>
      </w:r>
    </w:p>
    <w:p w:rsidRPr="00F945ED" w:rsidR="006D4FB6" w:rsidP="009A2015" w:rsidRDefault="006D4FB6" w14:paraId="402A5070" w14:textId="77777777">
      <w:pPr>
        <w:ind w:left="720"/>
        <w:rPr>
          <w:bCs/>
        </w:rPr>
      </w:pPr>
      <w:r w:rsidRPr="00F945ED">
        <w:rPr>
          <w:bCs/>
        </w:rPr>
        <w:t xml:space="preserve"> </w:t>
      </w:r>
    </w:p>
    <w:p w:rsidRPr="00D64128" w:rsidR="007358BF" w:rsidP="009A2015" w:rsidRDefault="007358BF" w14:paraId="053035BC" w14:textId="268CD716">
      <w:pPr>
        <w:numPr>
          <w:ilvl w:val="0"/>
          <w:numId w:val="60"/>
        </w:numPr>
        <w:rPr>
          <w:bCs/>
        </w:rPr>
      </w:pPr>
      <w:r w:rsidRPr="00525E02">
        <w:rPr>
          <w:bCs/>
        </w:rPr>
        <w:t>PG&amp;E’s projection indicates</w:t>
      </w:r>
      <w:r w:rsidR="00165DA4">
        <w:rPr>
          <w:bCs/>
        </w:rPr>
        <w:t xml:space="preserve"> that </w:t>
      </w:r>
      <w:r w:rsidR="001D2B2E">
        <w:rPr>
          <w:bCs/>
        </w:rPr>
        <w:t xml:space="preserve">the </w:t>
      </w:r>
      <w:r w:rsidRPr="00693B21" w:rsidR="00693B21">
        <w:rPr>
          <w:bCs/>
          <w:iCs/>
        </w:rPr>
        <w:t>Rebuild Program</w:t>
      </w:r>
      <w:r w:rsidRPr="00525E02">
        <w:rPr>
          <w:bCs/>
        </w:rPr>
        <w:t xml:space="preserve"> per space cost </w:t>
      </w:r>
      <w:r w:rsidR="00715EAF">
        <w:rPr>
          <w:bCs/>
        </w:rPr>
        <w:t>is expected to</w:t>
      </w:r>
      <w:r w:rsidRPr="00525E02" w:rsidR="00715EAF">
        <w:rPr>
          <w:bCs/>
        </w:rPr>
        <w:t xml:space="preserve"> </w:t>
      </w:r>
      <w:r w:rsidRPr="00525E02">
        <w:rPr>
          <w:bCs/>
        </w:rPr>
        <w:t xml:space="preserve">be </w:t>
      </w:r>
      <w:r w:rsidR="00F938D6">
        <w:rPr>
          <w:bCs/>
        </w:rPr>
        <w:t>more than 50</w:t>
      </w:r>
      <w:r w:rsidRPr="00525E02">
        <w:rPr>
          <w:bCs/>
        </w:rPr>
        <w:t xml:space="preserve">% higher than PG&amp;E’s </w:t>
      </w:r>
      <w:r w:rsidR="003B23F1">
        <w:rPr>
          <w:bCs/>
        </w:rPr>
        <w:t>to-the-meter</w:t>
      </w:r>
      <w:r w:rsidRPr="00525E02" w:rsidR="003B23F1">
        <w:rPr>
          <w:bCs/>
        </w:rPr>
        <w:t xml:space="preserve"> </w:t>
      </w:r>
      <w:r w:rsidRPr="00525E02">
        <w:rPr>
          <w:bCs/>
        </w:rPr>
        <w:t xml:space="preserve">per space cost in the </w:t>
      </w:r>
      <w:r w:rsidR="004940D0">
        <w:rPr>
          <w:bCs/>
        </w:rPr>
        <w:t>MHP</w:t>
      </w:r>
      <w:r w:rsidRPr="00525E02" w:rsidR="003B23F1">
        <w:rPr>
          <w:bCs/>
        </w:rPr>
        <w:t xml:space="preserve"> </w:t>
      </w:r>
      <w:r w:rsidRPr="00525E02">
        <w:rPr>
          <w:bCs/>
        </w:rPr>
        <w:t>Pilot.</w:t>
      </w:r>
    </w:p>
    <w:p w:rsidR="007358BF" w:rsidP="00B6099B" w:rsidRDefault="007358BF" w14:paraId="258A3082" w14:textId="77777777">
      <w:pPr>
        <w:pStyle w:val="ListParagraph"/>
      </w:pPr>
    </w:p>
    <w:p w:rsidR="00E35AAE" w:rsidP="009A2015" w:rsidRDefault="00E35AAE" w14:paraId="07E74729" w14:textId="7890F9D5">
      <w:pPr>
        <w:numPr>
          <w:ilvl w:val="0"/>
          <w:numId w:val="60"/>
        </w:numPr>
        <w:rPr>
          <w:bCs/>
        </w:rPr>
      </w:pPr>
      <w:r w:rsidRPr="00525E02">
        <w:rPr>
          <w:bCs/>
        </w:rPr>
        <w:t>PG&amp;E proposes to use 3</w:t>
      </w:r>
      <w:r w:rsidR="002F3DA5">
        <w:rPr>
          <w:bCs/>
        </w:rPr>
        <w:t>-inch</w:t>
      </w:r>
      <w:r w:rsidRPr="00525E02">
        <w:rPr>
          <w:bCs/>
        </w:rPr>
        <w:t xml:space="preserve"> Polyvinyl Chloride (PVC) conduits instead of its standard 2</w:t>
      </w:r>
      <w:r w:rsidR="002F3DA5">
        <w:rPr>
          <w:bCs/>
        </w:rPr>
        <w:t>-inch</w:t>
      </w:r>
      <w:r w:rsidRPr="00525E02">
        <w:rPr>
          <w:bCs/>
        </w:rPr>
        <w:t xml:space="preserve"> PVC conduits for MHP </w:t>
      </w:r>
      <w:r>
        <w:rPr>
          <w:bCs/>
        </w:rPr>
        <w:t>100 amp</w:t>
      </w:r>
      <w:r w:rsidRPr="00525E02">
        <w:rPr>
          <w:bCs/>
        </w:rPr>
        <w:t xml:space="preserve"> service.  </w:t>
      </w:r>
      <w:r>
        <w:rPr>
          <w:bCs/>
        </w:rPr>
        <w:t>PG&amp;E states that this</w:t>
      </w:r>
      <w:r w:rsidRPr="00525E02">
        <w:rPr>
          <w:bCs/>
        </w:rPr>
        <w:t xml:space="preserve"> is to </w:t>
      </w:r>
      <w:r>
        <w:rPr>
          <w:bCs/>
        </w:rPr>
        <w:t>enable a future</w:t>
      </w:r>
      <w:r w:rsidRPr="00525E02">
        <w:rPr>
          <w:bCs/>
        </w:rPr>
        <w:t xml:space="preserve"> </w:t>
      </w:r>
      <w:r w:rsidRPr="00F945ED">
        <w:rPr>
          <w:bCs/>
        </w:rPr>
        <w:t>upgrad</w:t>
      </w:r>
      <w:r>
        <w:rPr>
          <w:bCs/>
        </w:rPr>
        <w:t>e</w:t>
      </w:r>
      <w:r w:rsidRPr="00F945ED">
        <w:rPr>
          <w:bCs/>
        </w:rPr>
        <w:t xml:space="preserve"> to </w:t>
      </w:r>
      <w:r>
        <w:rPr>
          <w:bCs/>
        </w:rPr>
        <w:t>200 amp</w:t>
      </w:r>
      <w:r w:rsidRPr="00F945ED">
        <w:rPr>
          <w:bCs/>
        </w:rPr>
        <w:t xml:space="preserve"> service</w:t>
      </w:r>
      <w:r>
        <w:rPr>
          <w:bCs/>
        </w:rPr>
        <w:t xml:space="preserve"> without having to install new conduit</w:t>
      </w:r>
      <w:r w:rsidRPr="00F945ED">
        <w:rPr>
          <w:bCs/>
        </w:rPr>
        <w:t>.</w:t>
      </w:r>
    </w:p>
    <w:p w:rsidR="00E35AAE" w:rsidP="00B6099B" w:rsidRDefault="00E35AAE" w14:paraId="704B966F" w14:textId="77777777">
      <w:pPr>
        <w:pStyle w:val="ListParagraph"/>
        <w:rPr>
          <w:bCs/>
        </w:rPr>
      </w:pPr>
    </w:p>
    <w:p w:rsidR="00E35AAE" w:rsidP="009A2015" w:rsidRDefault="00E35AAE" w14:paraId="6AFC1F99" w14:textId="091457A0">
      <w:pPr>
        <w:pStyle w:val="ListParagraph"/>
        <w:numPr>
          <w:ilvl w:val="0"/>
          <w:numId w:val="60"/>
        </w:numPr>
        <w:rPr>
          <w:bCs/>
        </w:rPr>
      </w:pPr>
      <w:r w:rsidRPr="00A75B4E">
        <w:rPr>
          <w:bCs/>
        </w:rPr>
        <w:t xml:space="preserve">There were approximately 4,000 manufactured housing units delivered across the state of California in 2019 and approximately 50% of them </w:t>
      </w:r>
      <w:r w:rsidR="009C3374">
        <w:rPr>
          <w:bCs/>
        </w:rPr>
        <w:t xml:space="preserve">were </w:t>
      </w:r>
      <w:r w:rsidRPr="00A75B4E">
        <w:rPr>
          <w:bCs/>
        </w:rPr>
        <w:t xml:space="preserve"> all electric.  </w:t>
      </w:r>
    </w:p>
    <w:p w:rsidR="00E35AAE" w:rsidP="009A2015" w:rsidRDefault="00E35AAE" w14:paraId="09CC41EA" w14:textId="77777777">
      <w:pPr>
        <w:ind w:left="420"/>
        <w:rPr>
          <w:bCs/>
        </w:rPr>
      </w:pPr>
    </w:p>
    <w:p w:rsidR="00A94776" w:rsidP="009A2015" w:rsidRDefault="00A94776" w14:paraId="2E75976B" w14:textId="61AF4DE5">
      <w:pPr>
        <w:numPr>
          <w:ilvl w:val="0"/>
          <w:numId w:val="60"/>
        </w:numPr>
        <w:rPr>
          <w:bCs/>
        </w:rPr>
      </w:pPr>
      <w:r w:rsidRPr="00A94776">
        <w:rPr>
          <w:bCs/>
        </w:rPr>
        <w:t xml:space="preserve">The CPUC concludes that the </w:t>
      </w:r>
      <w:r w:rsidR="001643BC">
        <w:rPr>
          <w:bCs/>
        </w:rPr>
        <w:t xml:space="preserve">potential </w:t>
      </w:r>
      <w:r w:rsidRPr="00A94776">
        <w:rPr>
          <w:bCs/>
        </w:rPr>
        <w:t xml:space="preserve">benefits outweigh the incremental cost for PG&amp;E to provide underground </w:t>
      </w:r>
      <w:r w:rsidR="00704567">
        <w:rPr>
          <w:bCs/>
        </w:rPr>
        <w:t xml:space="preserve">service </w:t>
      </w:r>
      <w:r w:rsidR="00DC2420">
        <w:rPr>
          <w:bCs/>
        </w:rPr>
        <w:t>cable</w:t>
      </w:r>
      <w:r w:rsidRPr="00A94776">
        <w:rPr>
          <w:bCs/>
        </w:rPr>
        <w:t xml:space="preserve"> rated to serve a minimum of 200 amps from the splice boxes to </w:t>
      </w:r>
      <w:r w:rsidR="00DA04D7">
        <w:rPr>
          <w:bCs/>
        </w:rPr>
        <w:t xml:space="preserve">the electric pedestal of </w:t>
      </w:r>
      <w:r w:rsidRPr="00A94776">
        <w:rPr>
          <w:bCs/>
        </w:rPr>
        <w:t>each mobilehome.</w:t>
      </w:r>
      <w:r w:rsidR="00FA1B87">
        <w:rPr>
          <w:bCs/>
        </w:rPr>
        <w:t xml:space="preserve">  </w:t>
      </w:r>
      <w:r w:rsidR="00204FCB">
        <w:rPr>
          <w:bCs/>
        </w:rPr>
        <w:t>Potential b</w:t>
      </w:r>
      <w:r w:rsidRPr="00FA1B87" w:rsidR="00FA1B87">
        <w:rPr>
          <w:bCs/>
        </w:rPr>
        <w:t xml:space="preserve">enefits </w:t>
      </w:r>
      <w:r w:rsidR="00F9383B">
        <w:rPr>
          <w:bCs/>
        </w:rPr>
        <w:t xml:space="preserve">to enabling modern mobilehomes through the Replacement Program </w:t>
      </w:r>
      <w:r w:rsidRPr="00FA1B87" w:rsidR="00FA1B87">
        <w:rPr>
          <w:bCs/>
        </w:rPr>
        <w:t>include</w:t>
      </w:r>
      <w:r w:rsidR="00D05397">
        <w:rPr>
          <w:bCs/>
        </w:rPr>
        <w:t xml:space="preserve"> a reduction in </w:t>
      </w:r>
      <w:r w:rsidR="00DB677B">
        <w:rPr>
          <w:bCs/>
        </w:rPr>
        <w:t>operating cost</w:t>
      </w:r>
      <w:r w:rsidR="00D05397">
        <w:rPr>
          <w:bCs/>
        </w:rPr>
        <w:t>s for</w:t>
      </w:r>
      <w:r w:rsidRPr="00FA1B87" w:rsidR="00FA1B87">
        <w:rPr>
          <w:bCs/>
        </w:rPr>
        <w:t xml:space="preserve"> the mobilehome owners</w:t>
      </w:r>
      <w:r w:rsidR="00A534ED">
        <w:rPr>
          <w:bCs/>
        </w:rPr>
        <w:t xml:space="preserve">, </w:t>
      </w:r>
      <w:r w:rsidR="0094218B">
        <w:rPr>
          <w:bCs/>
        </w:rPr>
        <w:t>avoid</w:t>
      </w:r>
      <w:r w:rsidR="006C7808">
        <w:rPr>
          <w:bCs/>
        </w:rPr>
        <w:t>ing</w:t>
      </w:r>
      <w:r w:rsidR="0094218B">
        <w:rPr>
          <w:bCs/>
        </w:rPr>
        <w:t xml:space="preserve"> costs</w:t>
      </w:r>
      <w:r w:rsidR="004F00E2">
        <w:rPr>
          <w:bCs/>
        </w:rPr>
        <w:t xml:space="preserve"> that would be </w:t>
      </w:r>
      <w:r w:rsidR="009716AC">
        <w:rPr>
          <w:bCs/>
        </w:rPr>
        <w:t>incurred</w:t>
      </w:r>
      <w:r w:rsidRPr="00FA1B87" w:rsidR="00FA1B87">
        <w:rPr>
          <w:bCs/>
        </w:rPr>
        <w:t xml:space="preserve"> for </w:t>
      </w:r>
      <w:r w:rsidR="00FE248E">
        <w:rPr>
          <w:bCs/>
        </w:rPr>
        <w:t xml:space="preserve">post-program </w:t>
      </w:r>
      <w:r w:rsidR="00FE248E">
        <w:rPr>
          <w:bCs/>
        </w:rPr>
        <w:lastRenderedPageBreak/>
        <w:t>electric service</w:t>
      </w:r>
      <w:r w:rsidRPr="00FA1B87" w:rsidR="00FA1B87">
        <w:rPr>
          <w:bCs/>
        </w:rPr>
        <w:t xml:space="preserve"> upgrades, reduction of greenhouse gas emission</w:t>
      </w:r>
      <w:r w:rsidR="00845673">
        <w:rPr>
          <w:bCs/>
        </w:rPr>
        <w:t>s</w:t>
      </w:r>
      <w:r w:rsidRPr="00FA1B87" w:rsidR="00FA1B87">
        <w:rPr>
          <w:bCs/>
        </w:rPr>
        <w:t xml:space="preserve"> and air pollution, and </w:t>
      </w:r>
      <w:r w:rsidR="009D2ECE">
        <w:rPr>
          <w:bCs/>
        </w:rPr>
        <w:t xml:space="preserve">enabling the </w:t>
      </w:r>
      <w:r w:rsidRPr="00126CCC" w:rsidR="00126CCC">
        <w:rPr>
          <w:bCs/>
        </w:rPr>
        <w:t>mobilehome owner</w:t>
      </w:r>
      <w:r w:rsidR="009D2ECE">
        <w:rPr>
          <w:bCs/>
        </w:rPr>
        <w:t xml:space="preserve"> to participate in demand response programs </w:t>
      </w:r>
      <w:r w:rsidRPr="00126CCC" w:rsidR="00126CCC">
        <w:rPr>
          <w:bCs/>
        </w:rPr>
        <w:t>to support grid needs</w:t>
      </w:r>
      <w:r w:rsidRPr="00FA1B87" w:rsidR="00FA1B87">
        <w:rPr>
          <w:bCs/>
        </w:rPr>
        <w:t>.</w:t>
      </w:r>
    </w:p>
    <w:p w:rsidR="00A82784" w:rsidP="00B6099B" w:rsidRDefault="00A82784" w14:paraId="1203FD95" w14:textId="77777777">
      <w:pPr>
        <w:pStyle w:val="ListParagraph"/>
        <w:rPr>
          <w:bCs/>
        </w:rPr>
      </w:pPr>
    </w:p>
    <w:p w:rsidR="00A82784" w:rsidP="009A2015" w:rsidRDefault="00296142" w14:paraId="5946F3CE" w14:textId="1D4C423B">
      <w:pPr>
        <w:numPr>
          <w:ilvl w:val="0"/>
          <w:numId w:val="60"/>
        </w:numPr>
        <w:rPr>
          <w:bCs/>
        </w:rPr>
      </w:pPr>
      <w:r>
        <w:rPr>
          <w:bCs/>
        </w:rPr>
        <w:t>T</w:t>
      </w:r>
      <w:r w:rsidRPr="00A82784" w:rsidR="00A82784">
        <w:rPr>
          <w:bCs/>
        </w:rPr>
        <w:t>he C</w:t>
      </w:r>
      <w:r w:rsidR="009D2ECE">
        <w:rPr>
          <w:bCs/>
        </w:rPr>
        <w:t>PUC</w:t>
      </w:r>
      <w:r w:rsidRPr="00A82784" w:rsidR="00A82784">
        <w:rPr>
          <w:bCs/>
        </w:rPr>
        <w:t xml:space="preserve"> should anticipate demand for 200 amp service</w:t>
      </w:r>
      <w:r w:rsidR="009D2ECE">
        <w:rPr>
          <w:bCs/>
        </w:rPr>
        <w:t>s to increase</w:t>
      </w:r>
      <w:r w:rsidRPr="00A82784" w:rsidR="00A82784">
        <w:rPr>
          <w:bCs/>
        </w:rPr>
        <w:t xml:space="preserve"> due to the increased load imposed by electric space conditioning, water heating, and cooking equipment found in modern mobilehomes.</w:t>
      </w:r>
    </w:p>
    <w:p w:rsidR="00737D65" w:rsidP="00B6099B" w:rsidRDefault="00737D65" w14:paraId="3DF5B22D" w14:textId="77777777">
      <w:pPr>
        <w:pStyle w:val="ListParagraph"/>
        <w:rPr>
          <w:bCs/>
        </w:rPr>
      </w:pPr>
    </w:p>
    <w:p w:rsidR="00737D65" w:rsidP="009A2015" w:rsidRDefault="00737D65" w14:paraId="7853B28D" w14:textId="67D45CF6">
      <w:pPr>
        <w:numPr>
          <w:ilvl w:val="0"/>
          <w:numId w:val="60"/>
        </w:numPr>
        <w:rPr>
          <w:bCs/>
        </w:rPr>
      </w:pPr>
      <w:r>
        <w:rPr>
          <w:bCs/>
        </w:rPr>
        <w:t>The CPUC concludes that the potential benefits of providing 200 amp service justify directing PG&amp;E to e</w:t>
      </w:r>
      <w:r w:rsidR="003B3EE7">
        <w:rPr>
          <w:bCs/>
        </w:rPr>
        <w:t>valuate</w:t>
      </w:r>
      <w:r>
        <w:rPr>
          <w:bCs/>
        </w:rPr>
        <w:t xml:space="preserve"> </w:t>
      </w:r>
      <w:r w:rsidR="003B3EE7">
        <w:rPr>
          <w:bCs/>
        </w:rPr>
        <w:t xml:space="preserve">pedestal and secondary system </w:t>
      </w:r>
      <w:r w:rsidR="006512F1">
        <w:rPr>
          <w:bCs/>
        </w:rPr>
        <w:t xml:space="preserve">configurations </w:t>
      </w:r>
      <w:r>
        <w:rPr>
          <w:bCs/>
        </w:rPr>
        <w:t>that would provide additional 200 amp services at low or no additional cost.</w:t>
      </w:r>
    </w:p>
    <w:p w:rsidR="00A94776" w:rsidP="00B6099B" w:rsidRDefault="00A94776" w14:paraId="703EC01B" w14:textId="77777777">
      <w:pPr>
        <w:pStyle w:val="ListParagraph"/>
        <w:rPr>
          <w:bCs/>
        </w:rPr>
      </w:pPr>
    </w:p>
    <w:p w:rsidRPr="00903B5D" w:rsidR="006D4FB6" w:rsidP="009A2015" w:rsidRDefault="00693B21" w14:paraId="325CB646" w14:textId="35FAD213">
      <w:pPr>
        <w:numPr>
          <w:ilvl w:val="0"/>
          <w:numId w:val="60"/>
        </w:numPr>
        <w:rPr>
          <w:bCs/>
        </w:rPr>
      </w:pPr>
      <w:r>
        <w:rPr>
          <w:bCs/>
        </w:rPr>
        <w:t xml:space="preserve">The </w:t>
      </w:r>
      <w:r w:rsidRPr="00693B21">
        <w:rPr>
          <w:bCs/>
          <w:iCs/>
        </w:rPr>
        <w:t>Rebuild Program</w:t>
      </w:r>
      <w:r w:rsidR="003B23F1">
        <w:rPr>
          <w:bCs/>
        </w:rPr>
        <w:t xml:space="preserve"> </w:t>
      </w:r>
      <w:r w:rsidRPr="00D64128" w:rsidR="00672336">
        <w:rPr>
          <w:bCs/>
        </w:rPr>
        <w:t xml:space="preserve">is modeled after the MHP </w:t>
      </w:r>
      <w:r w:rsidR="007B62C6">
        <w:rPr>
          <w:bCs/>
        </w:rPr>
        <w:t xml:space="preserve">Pilot </w:t>
      </w:r>
      <w:r w:rsidRPr="00D64128" w:rsidR="00672336">
        <w:rPr>
          <w:bCs/>
        </w:rPr>
        <w:t>, but there are some differences that have been incorporated to</w:t>
      </w:r>
      <w:r w:rsidRPr="00903B5D" w:rsidR="00672336">
        <w:rPr>
          <w:bCs/>
        </w:rPr>
        <w:t xml:space="preserve"> </w:t>
      </w:r>
      <w:r w:rsidR="00006911">
        <w:rPr>
          <w:bCs/>
        </w:rPr>
        <w:t>tailor</w:t>
      </w:r>
      <w:r w:rsidRPr="00903B5D" w:rsidR="00006911">
        <w:rPr>
          <w:bCs/>
        </w:rPr>
        <w:t xml:space="preserve"> </w:t>
      </w:r>
      <w:r w:rsidRPr="00903B5D" w:rsidR="00672336">
        <w:rPr>
          <w:bCs/>
        </w:rPr>
        <w:t xml:space="preserve">and expedite the </w:t>
      </w:r>
      <w:r w:rsidR="00006911">
        <w:rPr>
          <w:bCs/>
        </w:rPr>
        <w:t xml:space="preserve">needs of the </w:t>
      </w:r>
      <w:r w:rsidRPr="00693B21">
        <w:rPr>
          <w:bCs/>
          <w:iCs/>
        </w:rPr>
        <w:t>Rebuild Program</w:t>
      </w:r>
      <w:r w:rsidR="00517339">
        <w:rPr>
          <w:bCs/>
        </w:rPr>
        <w:t xml:space="preserve"> such as </w:t>
      </w:r>
      <w:r w:rsidR="006C49F0">
        <w:rPr>
          <w:bCs/>
        </w:rPr>
        <w:t>re</w:t>
      </w:r>
      <w:r w:rsidR="00A0164B">
        <w:rPr>
          <w:bCs/>
        </w:rPr>
        <w:t>moving the requirement for</w:t>
      </w:r>
      <w:r w:rsidR="00937602">
        <w:rPr>
          <w:bCs/>
        </w:rPr>
        <w:t xml:space="preserve"> </w:t>
      </w:r>
      <w:r w:rsidR="004A1A47">
        <w:rPr>
          <w:bCs/>
        </w:rPr>
        <w:t>applicant</w:t>
      </w:r>
      <w:r w:rsidR="00517339">
        <w:rPr>
          <w:bCs/>
        </w:rPr>
        <w:t xml:space="preserve"> prioritization</w:t>
      </w:r>
      <w:r w:rsidR="00D32F22">
        <w:rPr>
          <w:bCs/>
        </w:rPr>
        <w:t xml:space="preserve"> and </w:t>
      </w:r>
      <w:r w:rsidR="00C15E31">
        <w:rPr>
          <w:bCs/>
        </w:rPr>
        <w:t xml:space="preserve">the </w:t>
      </w:r>
      <w:r w:rsidR="0069711A">
        <w:rPr>
          <w:bCs/>
        </w:rPr>
        <w:t>cover</w:t>
      </w:r>
      <w:r w:rsidR="00C15E31">
        <w:rPr>
          <w:bCs/>
        </w:rPr>
        <w:t>age of</w:t>
      </w:r>
      <w:r w:rsidR="0069711A">
        <w:rPr>
          <w:bCs/>
        </w:rPr>
        <w:t xml:space="preserve"> </w:t>
      </w:r>
      <w:r w:rsidR="00336A0D">
        <w:rPr>
          <w:bCs/>
        </w:rPr>
        <w:t xml:space="preserve">service to </w:t>
      </w:r>
      <w:r w:rsidRPr="0069711A" w:rsidR="0069711A">
        <w:rPr>
          <w:bCs/>
        </w:rPr>
        <w:t xml:space="preserve">any habitable or useable structure on the </w:t>
      </w:r>
      <w:r w:rsidR="0069711A">
        <w:rPr>
          <w:bCs/>
        </w:rPr>
        <w:t xml:space="preserve">MHP </w:t>
      </w:r>
      <w:r w:rsidRPr="0069711A" w:rsidR="0069711A">
        <w:rPr>
          <w:bCs/>
        </w:rPr>
        <w:t>property</w:t>
      </w:r>
      <w:r w:rsidRPr="00903B5D" w:rsidR="00BE5375">
        <w:rPr>
          <w:bCs/>
        </w:rPr>
        <w:t>.</w:t>
      </w:r>
      <w:r w:rsidRPr="00903B5D" w:rsidR="006D4FB6">
        <w:rPr>
          <w:bCs/>
        </w:rPr>
        <w:t xml:space="preserve"> </w:t>
      </w:r>
    </w:p>
    <w:p w:rsidR="006D4FB6" w:rsidP="009A2015" w:rsidRDefault="006D4FB6" w14:paraId="29C97040" w14:textId="77777777">
      <w:pPr>
        <w:ind w:left="720"/>
      </w:pPr>
      <w:r>
        <w:t xml:space="preserve"> </w:t>
      </w:r>
    </w:p>
    <w:p w:rsidRPr="00F945ED" w:rsidR="007358BF" w:rsidP="009A2015" w:rsidRDefault="007358BF" w14:paraId="4FD2489F" w14:textId="0E46C351">
      <w:pPr>
        <w:numPr>
          <w:ilvl w:val="0"/>
          <w:numId w:val="60"/>
        </w:numPr>
        <w:rPr>
          <w:bCs/>
        </w:rPr>
      </w:pPr>
      <w:r w:rsidRPr="00D64128">
        <w:rPr>
          <w:bCs/>
        </w:rPr>
        <w:t xml:space="preserve">There were ten protested issues by </w:t>
      </w:r>
      <w:r w:rsidR="003B23F1">
        <w:rPr>
          <w:bCs/>
        </w:rPr>
        <w:t>MHP</w:t>
      </w:r>
      <w:r w:rsidRPr="00F945ED" w:rsidR="003B23F1">
        <w:rPr>
          <w:bCs/>
        </w:rPr>
        <w:t xml:space="preserve"> </w:t>
      </w:r>
      <w:r w:rsidR="00D20D3E">
        <w:rPr>
          <w:bCs/>
        </w:rPr>
        <w:t>owners and operators</w:t>
      </w:r>
      <w:r w:rsidRPr="00F945ED">
        <w:rPr>
          <w:bCs/>
        </w:rPr>
        <w:t xml:space="preserve">.  </w:t>
      </w:r>
      <w:r w:rsidRPr="00F945ED" w:rsidR="00BD1BF0">
        <w:rPr>
          <w:bCs/>
        </w:rPr>
        <w:t>These i</w:t>
      </w:r>
      <w:r w:rsidRPr="00F945ED" w:rsidR="0079536E">
        <w:rPr>
          <w:bCs/>
        </w:rPr>
        <w:t>ssues</w:t>
      </w:r>
      <w:r w:rsidR="008C6738">
        <w:rPr>
          <w:bCs/>
        </w:rPr>
        <w:t xml:space="preserve"> are</w:t>
      </w:r>
      <w:r w:rsidRPr="00F945ED" w:rsidR="0079536E">
        <w:rPr>
          <w:bCs/>
        </w:rPr>
        <w:t xml:space="preserve"> related to utility configuration, electric capacity, </w:t>
      </w:r>
      <w:r w:rsidRPr="00F945ED" w:rsidR="00993B1A">
        <w:rPr>
          <w:bCs/>
        </w:rPr>
        <w:t>preservation of existing underground sewage systems, removal of legacy infrastructure,</w:t>
      </w:r>
      <w:r w:rsidR="00A852BE">
        <w:rPr>
          <w:bCs/>
        </w:rPr>
        <w:t xml:space="preserve"> and</w:t>
      </w:r>
      <w:r w:rsidRPr="00F945ED" w:rsidR="00993B1A">
        <w:rPr>
          <w:bCs/>
        </w:rPr>
        <w:t xml:space="preserve"> </w:t>
      </w:r>
      <w:r w:rsidRPr="00F945ED" w:rsidR="00E66E05">
        <w:rPr>
          <w:bCs/>
        </w:rPr>
        <w:t xml:space="preserve">language </w:t>
      </w:r>
      <w:r w:rsidR="00884CEA">
        <w:rPr>
          <w:bCs/>
        </w:rPr>
        <w:t>withi</w:t>
      </w:r>
      <w:r w:rsidRPr="00F945ED" w:rsidR="00993B1A">
        <w:rPr>
          <w:bCs/>
        </w:rPr>
        <w:t xml:space="preserve">n the Butte County </w:t>
      </w:r>
      <w:bookmarkStart w:name="_Hlk57129759" w:id="45"/>
      <w:r w:rsidRPr="000068A2" w:rsidR="000068A2">
        <w:rPr>
          <w:bCs/>
        </w:rPr>
        <w:t>Mobilehome Park</w:t>
      </w:r>
      <w:r w:rsidRPr="00F945ED" w:rsidR="00993B1A">
        <w:rPr>
          <w:bCs/>
        </w:rPr>
        <w:t xml:space="preserve"> Rebuild Program Agreement</w:t>
      </w:r>
      <w:bookmarkEnd w:id="45"/>
      <w:r w:rsidRPr="00F945ED" w:rsidR="00993B1A">
        <w:rPr>
          <w:bCs/>
        </w:rPr>
        <w:t xml:space="preserve">. </w:t>
      </w:r>
      <w:r w:rsidR="00C118FC">
        <w:rPr>
          <w:bCs/>
        </w:rPr>
        <w:t xml:space="preserve">The CPUC finds that there is a need to modify the </w:t>
      </w:r>
      <w:r w:rsidRPr="00C118FC" w:rsidR="00C118FC">
        <w:rPr>
          <w:bCs/>
        </w:rPr>
        <w:t xml:space="preserve">Butte County </w:t>
      </w:r>
      <w:r w:rsidRPr="000068A2" w:rsidR="000068A2">
        <w:rPr>
          <w:bCs/>
        </w:rPr>
        <w:t>Mobilehome Park</w:t>
      </w:r>
      <w:r w:rsidRPr="00C118FC" w:rsidR="00C118FC">
        <w:rPr>
          <w:bCs/>
        </w:rPr>
        <w:t xml:space="preserve"> Rebuild Program Agreement </w:t>
      </w:r>
      <w:r w:rsidR="00C118FC">
        <w:rPr>
          <w:bCs/>
        </w:rPr>
        <w:t xml:space="preserve">to address the protests.  </w:t>
      </w:r>
    </w:p>
    <w:p w:rsidRPr="009F38F2" w:rsidR="005F7266" w:rsidP="009A2015" w:rsidRDefault="005F7266" w14:paraId="0EAEFE79" w14:textId="77777777">
      <w:pPr>
        <w:rPr>
          <w:bCs/>
        </w:rPr>
      </w:pPr>
    </w:p>
    <w:p w:rsidRPr="00872A33" w:rsidR="00585774" w:rsidP="00872A33" w:rsidRDefault="00D57F2C" w14:paraId="6663967F" w14:textId="2BBB95FD">
      <w:pPr>
        <w:pStyle w:val="ListParagraph"/>
        <w:numPr>
          <w:ilvl w:val="0"/>
          <w:numId w:val="60"/>
        </w:numPr>
      </w:pPr>
      <w:r w:rsidRPr="00D57F2C">
        <w:rPr>
          <w:bCs/>
        </w:rPr>
        <w:t>PG&amp;E, Ridgewood MHP, and Forest Glen MHP filed comments on the Resolution.</w:t>
      </w:r>
      <w:r>
        <w:rPr>
          <w:bCs/>
        </w:rPr>
        <w:t xml:space="preserve">  </w:t>
      </w:r>
      <w:r w:rsidRPr="00D57F2C">
        <w:rPr>
          <w:bCs/>
        </w:rPr>
        <w:t>Comments were primarily related to 1) the relevancy between the Rebuild Program and the MHP Pilot</w:t>
      </w:r>
      <w:r w:rsidR="003753FC">
        <w:rPr>
          <w:bCs/>
        </w:rPr>
        <w:t>;</w:t>
      </w:r>
      <w:r w:rsidRPr="00D57F2C">
        <w:rPr>
          <w:bCs/>
        </w:rPr>
        <w:t xml:space="preserve"> 2) extending to-the-meter eligibility to permanent fixed foundation residential structures</w:t>
      </w:r>
      <w:r w:rsidR="003753FC">
        <w:rPr>
          <w:bCs/>
        </w:rPr>
        <w:t>;</w:t>
      </w:r>
      <w:r w:rsidRPr="00D57F2C">
        <w:rPr>
          <w:bCs/>
        </w:rPr>
        <w:t xml:space="preserve"> 3) pedestal installment</w:t>
      </w:r>
      <w:r w:rsidRPr="00D57F2C">
        <w:rPr>
          <w:b/>
          <w:bCs/>
        </w:rPr>
        <w:t xml:space="preserve"> </w:t>
      </w:r>
      <w:r w:rsidRPr="00D57F2C">
        <w:rPr>
          <w:bCs/>
        </w:rPr>
        <w:t>ahead of Mobilehome repopulation</w:t>
      </w:r>
      <w:r w:rsidR="003753FC">
        <w:rPr>
          <w:bCs/>
        </w:rPr>
        <w:t>;</w:t>
      </w:r>
      <w:r w:rsidRPr="00D57F2C">
        <w:rPr>
          <w:bCs/>
        </w:rPr>
        <w:t xml:space="preserve"> 4) </w:t>
      </w:r>
      <w:r w:rsidRPr="00E96AFD" w:rsidR="0024599E">
        <w:rPr>
          <w:bCs/>
        </w:rPr>
        <w:t>remit</w:t>
      </w:r>
      <w:r w:rsidR="0024599E">
        <w:rPr>
          <w:bCs/>
        </w:rPr>
        <w:t>m</w:t>
      </w:r>
      <w:r w:rsidRPr="00E96AFD" w:rsidR="0024599E">
        <w:rPr>
          <w:bCs/>
        </w:rPr>
        <w:t>ent</w:t>
      </w:r>
      <w:r w:rsidRPr="00D57F2C">
        <w:rPr>
          <w:bCs/>
        </w:rPr>
        <w:t xml:space="preserve"> of insurance claim payment to the Rebuild Program</w:t>
      </w:r>
      <w:r w:rsidR="003753FC">
        <w:rPr>
          <w:bCs/>
        </w:rPr>
        <w:t>;</w:t>
      </w:r>
      <w:r w:rsidRPr="00D57F2C">
        <w:rPr>
          <w:bCs/>
        </w:rPr>
        <w:t xml:space="preserve"> 5) coordination with non-energy service providers on rebuild and upgrade participations</w:t>
      </w:r>
      <w:r w:rsidR="00A1447E">
        <w:rPr>
          <w:bCs/>
        </w:rPr>
        <w:t>;</w:t>
      </w:r>
      <w:r w:rsidRPr="00D57F2C">
        <w:rPr>
          <w:bCs/>
        </w:rPr>
        <w:t xml:space="preserve"> </w:t>
      </w:r>
      <w:r w:rsidR="003753FC">
        <w:rPr>
          <w:bCs/>
        </w:rPr>
        <w:t>6</w:t>
      </w:r>
      <w:r w:rsidRPr="00D57F2C">
        <w:rPr>
          <w:bCs/>
        </w:rPr>
        <w:t>) providing 200 amp service</w:t>
      </w:r>
      <w:r w:rsidR="00A1447E">
        <w:rPr>
          <w:bCs/>
        </w:rPr>
        <w:t>;</w:t>
      </w:r>
      <w:r w:rsidRPr="00D57F2C">
        <w:rPr>
          <w:bCs/>
        </w:rPr>
        <w:t xml:space="preserve"> </w:t>
      </w:r>
      <w:r w:rsidR="003753FC">
        <w:rPr>
          <w:bCs/>
        </w:rPr>
        <w:t>7</w:t>
      </w:r>
      <w:r w:rsidRPr="00D57F2C">
        <w:rPr>
          <w:bCs/>
        </w:rPr>
        <w:t>) abandonment of underground PG&amp;E’s assets</w:t>
      </w:r>
      <w:r w:rsidR="00A1447E">
        <w:rPr>
          <w:bCs/>
        </w:rPr>
        <w:t>;</w:t>
      </w:r>
      <w:r w:rsidRPr="00D57F2C">
        <w:rPr>
          <w:bCs/>
        </w:rPr>
        <w:t xml:space="preserve"> </w:t>
      </w:r>
      <w:r w:rsidR="003753FC">
        <w:rPr>
          <w:bCs/>
        </w:rPr>
        <w:t>8</w:t>
      </w:r>
      <w:r w:rsidRPr="00D57F2C">
        <w:rPr>
          <w:bCs/>
        </w:rPr>
        <w:t>) placement of the electric and gas utility with consideration for alternate routes, setback requirements,</w:t>
      </w:r>
      <w:r w:rsidRPr="00D57F2C">
        <w:rPr>
          <w:b/>
          <w:bCs/>
        </w:rPr>
        <w:t xml:space="preserve"> </w:t>
      </w:r>
      <w:r w:rsidRPr="00D57F2C">
        <w:rPr>
          <w:bCs/>
        </w:rPr>
        <w:t>and strategy to avoid damage of non-energy utilities</w:t>
      </w:r>
      <w:r w:rsidR="00A1447E">
        <w:rPr>
          <w:bCs/>
        </w:rPr>
        <w:t>;</w:t>
      </w:r>
      <w:r w:rsidRPr="00D57F2C">
        <w:rPr>
          <w:bCs/>
        </w:rPr>
        <w:t xml:space="preserve"> </w:t>
      </w:r>
      <w:r w:rsidR="003753FC">
        <w:rPr>
          <w:bCs/>
        </w:rPr>
        <w:t>9</w:t>
      </w:r>
      <w:r w:rsidRPr="00D57F2C">
        <w:rPr>
          <w:bCs/>
        </w:rPr>
        <w:t>) approval of excavation plan</w:t>
      </w:r>
      <w:r w:rsidR="00A1447E">
        <w:rPr>
          <w:bCs/>
        </w:rPr>
        <w:t>;</w:t>
      </w:r>
      <w:r w:rsidRPr="00D57F2C">
        <w:rPr>
          <w:bCs/>
        </w:rPr>
        <w:t xml:space="preserve"> </w:t>
      </w:r>
      <w:r w:rsidR="003753FC">
        <w:rPr>
          <w:bCs/>
        </w:rPr>
        <w:t>10</w:t>
      </w:r>
      <w:r w:rsidRPr="00D57F2C">
        <w:rPr>
          <w:bCs/>
        </w:rPr>
        <w:t>) indemnification of PG&amp;E on negligence and misconduct</w:t>
      </w:r>
      <w:r w:rsidR="00A1447E">
        <w:rPr>
          <w:bCs/>
        </w:rPr>
        <w:t>;</w:t>
      </w:r>
      <w:r w:rsidRPr="00D57F2C">
        <w:rPr>
          <w:bCs/>
        </w:rPr>
        <w:t xml:space="preserve"> 1</w:t>
      </w:r>
      <w:r w:rsidR="003753FC">
        <w:rPr>
          <w:bCs/>
        </w:rPr>
        <w:t>1</w:t>
      </w:r>
      <w:r w:rsidRPr="00D57F2C">
        <w:rPr>
          <w:bCs/>
        </w:rPr>
        <w:t>) direct-metered versus master-metered service</w:t>
      </w:r>
      <w:r w:rsidR="00A1447E">
        <w:rPr>
          <w:bCs/>
        </w:rPr>
        <w:t>;</w:t>
      </w:r>
      <w:r w:rsidRPr="00D57F2C">
        <w:rPr>
          <w:bCs/>
        </w:rPr>
        <w:t xml:space="preserve"> 1</w:t>
      </w:r>
      <w:r w:rsidR="003753FC">
        <w:rPr>
          <w:bCs/>
        </w:rPr>
        <w:t>2</w:t>
      </w:r>
      <w:r w:rsidRPr="00D57F2C">
        <w:rPr>
          <w:bCs/>
        </w:rPr>
        <w:t xml:space="preserve">) reply to </w:t>
      </w:r>
      <w:r w:rsidRPr="00D57F2C">
        <w:rPr>
          <w:bCs/>
        </w:rPr>
        <w:lastRenderedPageBreak/>
        <w:t>comment procedure</w:t>
      </w:r>
      <w:r w:rsidR="00A1447E">
        <w:rPr>
          <w:bCs/>
        </w:rPr>
        <w:t>;</w:t>
      </w:r>
      <w:r w:rsidRPr="00D57F2C">
        <w:rPr>
          <w:bCs/>
        </w:rPr>
        <w:t xml:space="preserve"> and 1</w:t>
      </w:r>
      <w:r w:rsidR="00A1447E">
        <w:rPr>
          <w:bCs/>
        </w:rPr>
        <w:t>3</w:t>
      </w:r>
      <w:r w:rsidRPr="00D57F2C">
        <w:rPr>
          <w:bCs/>
        </w:rPr>
        <w:t>) implementation of Resolution requirement in the existing Rebuild Program.</w:t>
      </w:r>
    </w:p>
    <w:p w:rsidRPr="0080125E" w:rsidR="00585774" w:rsidP="00D2684E" w:rsidRDefault="00585774" w14:paraId="159162FA" w14:textId="77777777">
      <w:pPr>
        <w:pStyle w:val="ListParagraph"/>
      </w:pPr>
    </w:p>
    <w:p w:rsidRPr="00525E02" w:rsidR="0079536E" w:rsidP="009A2015" w:rsidRDefault="0079536E" w14:paraId="3A44B72C" w14:textId="39F0CFE0">
      <w:pPr>
        <w:pStyle w:val="ListParagraph"/>
        <w:numPr>
          <w:ilvl w:val="0"/>
          <w:numId w:val="60"/>
        </w:numPr>
        <w:rPr>
          <w:bCs/>
        </w:rPr>
      </w:pPr>
      <w:r w:rsidRPr="00525E02">
        <w:rPr>
          <w:bCs/>
        </w:rPr>
        <w:t xml:space="preserve">PG&amp;E indicates that </w:t>
      </w:r>
      <w:r w:rsidRPr="006739C0" w:rsidR="00117575">
        <w:rPr>
          <w:bCs/>
        </w:rPr>
        <w:t xml:space="preserve">there is </w:t>
      </w:r>
      <w:r w:rsidRPr="003D1409" w:rsidR="00117575">
        <w:rPr>
          <w:bCs/>
        </w:rPr>
        <w:t xml:space="preserve">currently adequate management and overhead staff, and civil resources are </w:t>
      </w:r>
      <w:r w:rsidR="00BA635C">
        <w:rPr>
          <w:bCs/>
        </w:rPr>
        <w:t xml:space="preserve">being </w:t>
      </w:r>
      <w:r w:rsidRPr="003D1409" w:rsidR="00117575">
        <w:rPr>
          <w:bCs/>
        </w:rPr>
        <w:t>add</w:t>
      </w:r>
      <w:r w:rsidR="00BA635C">
        <w:rPr>
          <w:bCs/>
        </w:rPr>
        <w:t>ed</w:t>
      </w:r>
      <w:r w:rsidRPr="003D1409" w:rsidR="00117575">
        <w:rPr>
          <w:bCs/>
        </w:rPr>
        <w:t xml:space="preserve"> or reallocat</w:t>
      </w:r>
      <w:r w:rsidR="00BA635C">
        <w:rPr>
          <w:bCs/>
        </w:rPr>
        <w:t>ed</w:t>
      </w:r>
      <w:r w:rsidRPr="003D1409" w:rsidR="00117575">
        <w:rPr>
          <w:bCs/>
        </w:rPr>
        <w:t xml:space="preserve"> as necessary to simultaneously support both </w:t>
      </w:r>
      <w:r w:rsidR="00693B21">
        <w:rPr>
          <w:bCs/>
        </w:rPr>
        <w:t xml:space="preserve">the </w:t>
      </w:r>
      <w:r w:rsidRPr="00693B21" w:rsidR="00693B21">
        <w:rPr>
          <w:bCs/>
          <w:iCs/>
        </w:rPr>
        <w:t>Rebuild Program</w:t>
      </w:r>
      <w:r w:rsidR="003B23F1">
        <w:rPr>
          <w:bCs/>
        </w:rPr>
        <w:t xml:space="preserve"> </w:t>
      </w:r>
      <w:r w:rsidR="006D06E9">
        <w:rPr>
          <w:bCs/>
        </w:rPr>
        <w:t>and</w:t>
      </w:r>
      <w:r w:rsidRPr="00525E02">
        <w:rPr>
          <w:bCs/>
        </w:rPr>
        <w:t xml:space="preserve"> the </w:t>
      </w:r>
      <w:r w:rsidR="003361B4">
        <w:rPr>
          <w:bCs/>
        </w:rPr>
        <w:t>MHP</w:t>
      </w:r>
      <w:r w:rsidRPr="00525E02">
        <w:rPr>
          <w:bCs/>
        </w:rPr>
        <w:t xml:space="preserve"> </w:t>
      </w:r>
      <w:r w:rsidR="005817A0">
        <w:rPr>
          <w:bCs/>
        </w:rPr>
        <w:t>Conversion</w:t>
      </w:r>
      <w:r w:rsidRPr="00525E02">
        <w:rPr>
          <w:bCs/>
        </w:rPr>
        <w:t xml:space="preserve"> Program</w:t>
      </w:r>
      <w:r w:rsidRPr="006D06E9" w:rsidR="006D06E9">
        <w:rPr>
          <w:bCs/>
        </w:rPr>
        <w:t xml:space="preserve"> </w:t>
      </w:r>
      <w:r w:rsidRPr="003D1409" w:rsidR="006D06E9">
        <w:rPr>
          <w:bCs/>
        </w:rPr>
        <w:t>at full capacity</w:t>
      </w:r>
      <w:r w:rsidRPr="00525E02">
        <w:rPr>
          <w:bCs/>
        </w:rPr>
        <w:t>.</w:t>
      </w:r>
    </w:p>
    <w:p w:rsidRPr="00525E02" w:rsidR="0079536E" w:rsidP="00B6099B" w:rsidRDefault="0079536E" w14:paraId="0F65432E" w14:textId="77777777">
      <w:pPr>
        <w:pStyle w:val="ListParagraph"/>
        <w:rPr>
          <w:bCs/>
        </w:rPr>
      </w:pPr>
    </w:p>
    <w:p w:rsidRPr="00525E02" w:rsidR="00811C01" w:rsidP="009A2015" w:rsidRDefault="00811C01" w14:paraId="6B62A149" w14:textId="7D62893D">
      <w:pPr>
        <w:pStyle w:val="ListParagraph"/>
        <w:numPr>
          <w:ilvl w:val="0"/>
          <w:numId w:val="60"/>
        </w:numPr>
        <w:rPr>
          <w:bCs/>
        </w:rPr>
      </w:pPr>
      <w:r w:rsidRPr="00525E02">
        <w:rPr>
          <w:bCs/>
        </w:rPr>
        <w:t xml:space="preserve">PG&amp;E should continue to notify and coordinate with </w:t>
      </w:r>
      <w:r w:rsidRPr="00204B6A" w:rsidR="00204B6A">
        <w:rPr>
          <w:bCs/>
        </w:rPr>
        <w:t>primary jurisdiction (</w:t>
      </w:r>
      <w:r w:rsidRPr="00204B6A" w:rsidR="00723CC2">
        <w:rPr>
          <w:bCs/>
          <w:i/>
          <w:iCs/>
        </w:rPr>
        <w:t>e.g.,</w:t>
      </w:r>
      <w:r w:rsidRPr="00204B6A" w:rsidR="00204B6A">
        <w:rPr>
          <w:bCs/>
        </w:rPr>
        <w:t xml:space="preserve"> city or county) and </w:t>
      </w:r>
      <w:r w:rsidRPr="00331AF5" w:rsidR="00775971">
        <w:rPr>
          <w:bCs/>
        </w:rPr>
        <w:t xml:space="preserve">non-energy service providers </w:t>
      </w:r>
      <w:r w:rsidRPr="00525E02">
        <w:rPr>
          <w:bCs/>
        </w:rPr>
        <w:t xml:space="preserve">who serve MHPs </w:t>
      </w:r>
      <w:r w:rsidR="00BF0BCD">
        <w:rPr>
          <w:bCs/>
        </w:rPr>
        <w:t>scheduled</w:t>
      </w:r>
      <w:r w:rsidRPr="00525E02" w:rsidR="00BF0BCD">
        <w:rPr>
          <w:bCs/>
        </w:rPr>
        <w:t xml:space="preserve"> </w:t>
      </w:r>
      <w:r w:rsidRPr="00525E02">
        <w:rPr>
          <w:bCs/>
        </w:rPr>
        <w:t xml:space="preserve">for utility </w:t>
      </w:r>
      <w:r w:rsidR="00BF0BCD">
        <w:rPr>
          <w:bCs/>
        </w:rPr>
        <w:t>rebuild</w:t>
      </w:r>
      <w:r w:rsidRPr="00525E02" w:rsidR="00BF0BCD">
        <w:rPr>
          <w:bCs/>
        </w:rPr>
        <w:t xml:space="preserve"> </w:t>
      </w:r>
      <w:r w:rsidRPr="00525E02">
        <w:rPr>
          <w:bCs/>
        </w:rPr>
        <w:t xml:space="preserve">and who could participate in installing or upgrading their facilities in conjunction with </w:t>
      </w:r>
      <w:r w:rsidR="00693B21">
        <w:rPr>
          <w:bCs/>
        </w:rPr>
        <w:t xml:space="preserve">the </w:t>
      </w:r>
      <w:r w:rsidRPr="00693B21" w:rsidR="00693B21">
        <w:rPr>
          <w:bCs/>
          <w:iCs/>
        </w:rPr>
        <w:t>Rebuild Program</w:t>
      </w:r>
      <w:r w:rsidR="003B23F1">
        <w:rPr>
          <w:bCs/>
        </w:rPr>
        <w:t xml:space="preserve"> </w:t>
      </w:r>
      <w:r w:rsidRPr="00525E02">
        <w:rPr>
          <w:bCs/>
        </w:rPr>
        <w:t>work</w:t>
      </w:r>
      <w:r w:rsidR="007A3EED">
        <w:rPr>
          <w:bCs/>
        </w:rPr>
        <w:t>.  Coordination should be done</w:t>
      </w:r>
      <w:r w:rsidRPr="00525E02">
        <w:rPr>
          <w:bCs/>
        </w:rPr>
        <w:t xml:space="preserve"> in a manner which benefits </w:t>
      </w:r>
      <w:r w:rsidR="00F86910">
        <w:rPr>
          <w:bCs/>
        </w:rPr>
        <w:t>CPUC</w:t>
      </w:r>
      <w:r w:rsidRPr="00525E02">
        <w:rPr>
          <w:bCs/>
        </w:rPr>
        <w:t xml:space="preserve"> regulated gas and/or electric utility customers.</w:t>
      </w:r>
      <w:r w:rsidR="00ED5A30">
        <w:rPr>
          <w:bCs/>
        </w:rPr>
        <w:t xml:space="preserve">  </w:t>
      </w:r>
    </w:p>
    <w:p w:rsidRPr="00525E02" w:rsidR="00811C01" w:rsidP="00B6099B" w:rsidRDefault="00811C01" w14:paraId="41D25765" w14:textId="77777777">
      <w:pPr>
        <w:pStyle w:val="ListParagraph"/>
        <w:rPr>
          <w:bCs/>
        </w:rPr>
      </w:pPr>
    </w:p>
    <w:p w:rsidR="00BE780F" w:rsidP="00A76704" w:rsidRDefault="00BE780F" w14:paraId="6B9E5742" w14:textId="682AD9D6">
      <w:pPr>
        <w:pStyle w:val="ListParagraph"/>
        <w:numPr>
          <w:ilvl w:val="0"/>
          <w:numId w:val="60"/>
        </w:numPr>
        <w:rPr>
          <w:bCs/>
        </w:rPr>
      </w:pPr>
      <w:r w:rsidRPr="00901840">
        <w:rPr>
          <w:bCs/>
        </w:rPr>
        <w:t xml:space="preserve">PG&amp;E has not indicated whether it will seek rate recovery for </w:t>
      </w:r>
      <w:r w:rsidR="00693B21">
        <w:rPr>
          <w:bCs/>
        </w:rPr>
        <w:t xml:space="preserve">the </w:t>
      </w:r>
      <w:r w:rsidRPr="00693B21" w:rsidR="00693B21">
        <w:rPr>
          <w:bCs/>
          <w:iCs/>
        </w:rPr>
        <w:t>Rebuild Program</w:t>
      </w:r>
      <w:r w:rsidRPr="003B23F1">
        <w:rPr>
          <w:bCs/>
        </w:rPr>
        <w:t xml:space="preserve"> </w:t>
      </w:r>
      <w:r w:rsidRPr="00901840">
        <w:rPr>
          <w:bCs/>
        </w:rPr>
        <w:t>costs</w:t>
      </w:r>
      <w:r w:rsidR="001760E7">
        <w:rPr>
          <w:bCs/>
        </w:rPr>
        <w:t>.</w:t>
      </w:r>
    </w:p>
    <w:p w:rsidRPr="00327183" w:rsidR="00327183" w:rsidP="00AA600A" w:rsidRDefault="00327183" w14:paraId="0EFD5FCE" w14:textId="77777777">
      <w:pPr>
        <w:pStyle w:val="ListParagraph"/>
        <w:rPr>
          <w:bCs/>
        </w:rPr>
      </w:pPr>
    </w:p>
    <w:p w:rsidR="00327183" w:rsidRDefault="00327183" w14:paraId="62591812" w14:textId="10EFAF18">
      <w:pPr>
        <w:pStyle w:val="ListParagraph"/>
        <w:numPr>
          <w:ilvl w:val="0"/>
          <w:numId w:val="60"/>
        </w:numPr>
        <w:rPr>
          <w:bCs/>
        </w:rPr>
      </w:pPr>
      <w:r>
        <w:rPr>
          <w:bCs/>
        </w:rPr>
        <w:t xml:space="preserve">Given the uncertainty in cost recovery, PG&amp;E should track costs in a </w:t>
      </w:r>
      <w:r w:rsidR="009E6C5D">
        <w:rPr>
          <w:bCs/>
        </w:rPr>
        <w:t>manner similar to that used by</w:t>
      </w:r>
      <w:r>
        <w:rPr>
          <w:bCs/>
        </w:rPr>
        <w:t xml:space="preserve"> the MHP Upgrade program</w:t>
      </w:r>
      <w:r w:rsidR="001760E7">
        <w:rPr>
          <w:bCs/>
        </w:rPr>
        <w:t>.</w:t>
      </w:r>
    </w:p>
    <w:p w:rsidRPr="00BE780F" w:rsidR="00BE780F" w:rsidRDefault="00BE780F" w14:paraId="34866149" w14:textId="77777777">
      <w:pPr>
        <w:pStyle w:val="ListParagraph"/>
        <w:rPr>
          <w:bCs/>
        </w:rPr>
      </w:pPr>
    </w:p>
    <w:p w:rsidR="00DE0C2E" w:rsidRDefault="007B6512" w14:paraId="6B7B086E" w14:textId="1600FC02">
      <w:pPr>
        <w:pStyle w:val="ListParagraph"/>
        <w:numPr>
          <w:ilvl w:val="0"/>
          <w:numId w:val="60"/>
        </w:numPr>
        <w:rPr>
          <w:bCs/>
        </w:rPr>
      </w:pPr>
      <w:r>
        <w:rPr>
          <w:bCs/>
        </w:rPr>
        <w:t>A</w:t>
      </w:r>
      <w:r w:rsidR="004319B8">
        <w:rPr>
          <w:bCs/>
        </w:rPr>
        <w:t>s t</w:t>
      </w:r>
      <w:r w:rsidRPr="00DE0C2E" w:rsidR="00DE0C2E">
        <w:rPr>
          <w:bCs/>
        </w:rPr>
        <w:t>his Resolution</w:t>
      </w:r>
      <w:r w:rsidR="00E51819">
        <w:rPr>
          <w:bCs/>
        </w:rPr>
        <w:t xml:space="preserve"> </w:t>
      </w:r>
      <w:r w:rsidRPr="00DE0C2E" w:rsidR="00DE0C2E">
        <w:rPr>
          <w:bCs/>
        </w:rPr>
        <w:t>respon</w:t>
      </w:r>
      <w:r w:rsidR="00E51819">
        <w:rPr>
          <w:bCs/>
        </w:rPr>
        <w:t>ds</w:t>
      </w:r>
      <w:r w:rsidRPr="00DE0C2E" w:rsidR="00DE0C2E">
        <w:rPr>
          <w:bCs/>
        </w:rPr>
        <w:t xml:space="preserve"> to a Tier 2 Advice Letter </w:t>
      </w:r>
      <w:r w:rsidR="00E51819">
        <w:rPr>
          <w:bCs/>
        </w:rPr>
        <w:t xml:space="preserve">filing, it </w:t>
      </w:r>
      <w:r w:rsidRPr="00DE0C2E" w:rsidR="00DE0C2E">
        <w:rPr>
          <w:bCs/>
        </w:rPr>
        <w:t xml:space="preserve">does not </w:t>
      </w:r>
      <w:r w:rsidR="00E51819">
        <w:rPr>
          <w:bCs/>
        </w:rPr>
        <w:t>grant</w:t>
      </w:r>
      <w:r w:rsidRPr="00DE0C2E" w:rsidR="00E51819">
        <w:rPr>
          <w:bCs/>
        </w:rPr>
        <w:t xml:space="preserve"> </w:t>
      </w:r>
      <w:r w:rsidRPr="00DE0C2E" w:rsidR="00DE0C2E">
        <w:rPr>
          <w:bCs/>
        </w:rPr>
        <w:t xml:space="preserve">any </w:t>
      </w:r>
      <w:r w:rsidR="00E51819">
        <w:rPr>
          <w:bCs/>
        </w:rPr>
        <w:t>authority</w:t>
      </w:r>
      <w:r w:rsidRPr="00DE0C2E" w:rsidR="00E51819">
        <w:rPr>
          <w:bCs/>
        </w:rPr>
        <w:t xml:space="preserve"> </w:t>
      </w:r>
      <w:r w:rsidRPr="00DE0C2E" w:rsidR="00DE0C2E">
        <w:rPr>
          <w:bCs/>
        </w:rPr>
        <w:t xml:space="preserve">to track </w:t>
      </w:r>
      <w:r w:rsidR="00693B21">
        <w:rPr>
          <w:bCs/>
        </w:rPr>
        <w:t xml:space="preserve">the </w:t>
      </w:r>
      <w:r w:rsidRPr="00693B21" w:rsidR="00693B21">
        <w:rPr>
          <w:bCs/>
          <w:iCs/>
        </w:rPr>
        <w:t>Rebuild Program</w:t>
      </w:r>
      <w:r w:rsidRPr="00693B21" w:rsidR="00693B21">
        <w:rPr>
          <w:bCs/>
        </w:rPr>
        <w:t xml:space="preserve"> </w:t>
      </w:r>
      <w:r w:rsidRPr="00DE0C2E" w:rsidR="00DE0C2E">
        <w:rPr>
          <w:bCs/>
        </w:rPr>
        <w:t xml:space="preserve"> expenditures within existing memoranda accounts or to establish any new memoranda accounts.</w:t>
      </w:r>
    </w:p>
    <w:p w:rsidRPr="00DE0C2E" w:rsidR="00DE0C2E" w:rsidRDefault="00DE0C2E" w14:paraId="28B9FC9F" w14:textId="77777777">
      <w:pPr>
        <w:rPr>
          <w:bCs/>
        </w:rPr>
      </w:pPr>
    </w:p>
    <w:p w:rsidRPr="000315B5" w:rsidR="00901840" w:rsidP="009A2015" w:rsidRDefault="00D50C7C" w14:paraId="6BA79AA0" w14:textId="28AEBE80">
      <w:pPr>
        <w:pStyle w:val="ListParagraph"/>
        <w:numPr>
          <w:ilvl w:val="0"/>
          <w:numId w:val="60"/>
        </w:numPr>
        <w:rPr>
          <w:bCs/>
        </w:rPr>
      </w:pPr>
      <w:r>
        <w:rPr>
          <w:bCs/>
        </w:rPr>
        <w:t>T</w:t>
      </w:r>
      <w:r w:rsidRPr="000315B5" w:rsidR="00E66E05">
        <w:rPr>
          <w:bCs/>
        </w:rPr>
        <w:t xml:space="preserve">he </w:t>
      </w:r>
      <w:r w:rsidR="00F86910">
        <w:rPr>
          <w:bCs/>
        </w:rPr>
        <w:t>CPUC</w:t>
      </w:r>
      <w:r w:rsidRPr="000315B5" w:rsidR="00E66E05">
        <w:rPr>
          <w:bCs/>
        </w:rPr>
        <w:t xml:space="preserve"> should</w:t>
      </w:r>
      <w:r w:rsidRPr="000315B5" w:rsidR="0079536E">
        <w:rPr>
          <w:bCs/>
        </w:rPr>
        <w:t xml:space="preserve"> approv</w:t>
      </w:r>
      <w:r w:rsidRPr="000315B5" w:rsidR="00E66E05">
        <w:rPr>
          <w:bCs/>
        </w:rPr>
        <w:t>e</w:t>
      </w:r>
      <w:r w:rsidRPr="000315B5" w:rsidR="0079536E">
        <w:rPr>
          <w:bCs/>
        </w:rPr>
        <w:t xml:space="preserve"> PG&amp;E’</w:t>
      </w:r>
      <w:r>
        <w:rPr>
          <w:bCs/>
        </w:rPr>
        <w:t>s</w:t>
      </w:r>
      <w:r w:rsidRPr="000315B5" w:rsidR="0079536E">
        <w:rPr>
          <w:bCs/>
        </w:rPr>
        <w:t xml:space="preserve"> Advice Letter </w:t>
      </w:r>
      <w:r w:rsidRPr="000315B5" w:rsidR="00E84341">
        <w:rPr>
          <w:bCs/>
        </w:rPr>
        <w:t xml:space="preserve">4116-G/5581-E </w:t>
      </w:r>
      <w:r w:rsidRPr="000315B5" w:rsidR="0079536E">
        <w:rPr>
          <w:bCs/>
        </w:rPr>
        <w:t xml:space="preserve">with </w:t>
      </w:r>
      <w:r w:rsidRPr="000315B5" w:rsidR="00BD1BF0">
        <w:rPr>
          <w:bCs/>
        </w:rPr>
        <w:t>modifications</w:t>
      </w:r>
      <w:r w:rsidRPr="000315B5" w:rsidR="00CD44AE">
        <w:rPr>
          <w:bCs/>
        </w:rPr>
        <w:t xml:space="preserve"> to allow PG&amp;E to continue the current effort to expeditiously rebuild the utility infrastructure and allow the </w:t>
      </w:r>
      <w:r w:rsidR="00DA04D7">
        <w:rPr>
          <w:bCs/>
        </w:rPr>
        <w:t>residents</w:t>
      </w:r>
      <w:r w:rsidRPr="000315B5" w:rsidR="00DA04D7">
        <w:rPr>
          <w:bCs/>
        </w:rPr>
        <w:t xml:space="preserve"> </w:t>
      </w:r>
      <w:r w:rsidRPr="000315B5" w:rsidR="00CD44AE">
        <w:rPr>
          <w:bCs/>
        </w:rPr>
        <w:t xml:space="preserve">to move back into the </w:t>
      </w:r>
      <w:r w:rsidR="003B23F1">
        <w:rPr>
          <w:bCs/>
        </w:rPr>
        <w:t>mobilehome parks</w:t>
      </w:r>
      <w:r w:rsidRPr="000315B5" w:rsidR="00CD44AE">
        <w:rPr>
          <w:bCs/>
        </w:rPr>
        <w:t>.</w:t>
      </w:r>
    </w:p>
    <w:p w:rsidRPr="006561E3" w:rsidR="00901840" w:rsidP="006561E3" w:rsidRDefault="00901840" w14:paraId="651A4301" w14:textId="67CB7BC7">
      <w:pPr>
        <w:spacing w:line="276" w:lineRule="auto"/>
        <w:rPr>
          <w:bCs/>
        </w:rPr>
      </w:pPr>
    </w:p>
    <w:p w:rsidR="00CF17DE" w:rsidRDefault="00CF17DE" w14:paraId="18C97720" w14:textId="77777777">
      <w:pPr>
        <w:rPr>
          <w:b/>
        </w:rPr>
      </w:pPr>
    </w:p>
    <w:p w:rsidR="00CF17DE" w:rsidRDefault="00CF17DE" w14:paraId="03EBB768" w14:textId="2283A08A">
      <w:pPr>
        <w:pStyle w:val="Heading1"/>
      </w:pPr>
      <w:r>
        <w:t>Therefore it is ordered that:</w:t>
      </w:r>
    </w:p>
    <w:p w:rsidR="00CF17DE" w:rsidP="00CA0899" w:rsidRDefault="00CF17DE" w14:paraId="04E7CDC7" w14:textId="29677CF1">
      <w:pPr>
        <w:numPr>
          <w:ilvl w:val="0"/>
          <w:numId w:val="39"/>
        </w:numPr>
        <w:rPr>
          <w:snapToGrid w:val="0"/>
        </w:rPr>
      </w:pPr>
      <w:r>
        <w:rPr>
          <w:snapToGrid w:val="0"/>
        </w:rPr>
        <w:t xml:space="preserve">The request of </w:t>
      </w:r>
      <w:r w:rsidR="0081675F">
        <w:rPr>
          <w:snapToGrid w:val="0"/>
        </w:rPr>
        <w:t xml:space="preserve">Pacific Gas and Electric Company </w:t>
      </w:r>
      <w:r>
        <w:rPr>
          <w:snapToGrid w:val="0"/>
        </w:rPr>
        <w:t xml:space="preserve">to </w:t>
      </w:r>
      <w:r w:rsidRPr="00672336" w:rsidR="007C68BB">
        <w:rPr>
          <w:bCs/>
        </w:rPr>
        <w:t xml:space="preserve">establish a Butte County Mobilehome Park Rebuild Program Agreement (Form 79-1201) for </w:t>
      </w:r>
      <w:r w:rsidR="000D238B">
        <w:rPr>
          <w:bCs/>
        </w:rPr>
        <w:t>m</w:t>
      </w:r>
      <w:r w:rsidRPr="00672336" w:rsidR="000D238B">
        <w:rPr>
          <w:bCs/>
        </w:rPr>
        <w:t xml:space="preserve">obilehome </w:t>
      </w:r>
      <w:r w:rsidR="000D238B">
        <w:rPr>
          <w:bCs/>
        </w:rPr>
        <w:t>p</w:t>
      </w:r>
      <w:r w:rsidRPr="00672336" w:rsidR="000D238B">
        <w:rPr>
          <w:bCs/>
        </w:rPr>
        <w:t xml:space="preserve">ark </w:t>
      </w:r>
      <w:r w:rsidR="00E250C2">
        <w:rPr>
          <w:bCs/>
        </w:rPr>
        <w:t>o</w:t>
      </w:r>
      <w:r w:rsidRPr="00672336" w:rsidR="00E250C2">
        <w:rPr>
          <w:bCs/>
        </w:rPr>
        <w:t>wners</w:t>
      </w:r>
      <w:r w:rsidR="00E250C2">
        <w:rPr>
          <w:bCs/>
        </w:rPr>
        <w:t xml:space="preserve"> </w:t>
      </w:r>
      <w:r w:rsidR="00D20D3E">
        <w:rPr>
          <w:bCs/>
        </w:rPr>
        <w:t xml:space="preserve">and </w:t>
      </w:r>
      <w:r w:rsidR="00E250C2">
        <w:rPr>
          <w:bCs/>
        </w:rPr>
        <w:t>o</w:t>
      </w:r>
      <w:r w:rsidRPr="00672336" w:rsidR="007C68BB">
        <w:rPr>
          <w:bCs/>
        </w:rPr>
        <w:t>perators in Butte County</w:t>
      </w:r>
      <w:r>
        <w:rPr>
          <w:snapToGrid w:val="0"/>
        </w:rPr>
        <w:t xml:space="preserve"> as requested in </w:t>
      </w:r>
      <w:r w:rsidR="000A6D20">
        <w:rPr>
          <w:snapToGrid w:val="0"/>
        </w:rPr>
        <w:t xml:space="preserve">Advice Letter </w:t>
      </w:r>
      <w:r w:rsidR="00673A01">
        <w:rPr>
          <w:snapToGrid w:val="0"/>
        </w:rPr>
        <w:t>4116-G/5581-E</w:t>
      </w:r>
      <w:r>
        <w:t xml:space="preserve"> </w:t>
      </w:r>
      <w:r w:rsidR="000A6D20">
        <w:rPr>
          <w:snapToGrid w:val="0"/>
        </w:rPr>
        <w:t>is</w:t>
      </w:r>
      <w:r>
        <w:rPr>
          <w:snapToGrid w:val="0"/>
        </w:rPr>
        <w:t xml:space="preserve"> approved</w:t>
      </w:r>
      <w:r w:rsidR="007C68BB">
        <w:rPr>
          <w:snapToGrid w:val="0"/>
        </w:rPr>
        <w:t xml:space="preserve"> with modifications</w:t>
      </w:r>
      <w:r w:rsidR="0081675F">
        <w:rPr>
          <w:snapToGrid w:val="0"/>
        </w:rPr>
        <w:t>.</w:t>
      </w:r>
    </w:p>
    <w:p w:rsidRPr="00525E02" w:rsidR="00CA0899" w:rsidP="00D2684E" w:rsidRDefault="00801949" w14:paraId="1E5A2D4A" w14:textId="5675D144">
      <w:pPr>
        <w:numPr>
          <w:ilvl w:val="0"/>
          <w:numId w:val="39"/>
        </w:numPr>
        <w:tabs>
          <w:tab w:val="clear" w:pos="360"/>
          <w:tab w:val="num" w:pos="180"/>
        </w:tabs>
        <w:rPr>
          <w:bCs/>
        </w:rPr>
      </w:pPr>
      <w:r w:rsidRPr="005A2575">
        <w:rPr>
          <w:snapToGrid w:val="0"/>
        </w:rPr>
        <w:t>PG</w:t>
      </w:r>
      <w:r w:rsidRPr="00801949">
        <w:rPr>
          <w:bCs/>
        </w:rPr>
        <w:t xml:space="preserve">&amp;E shall have discretion to place </w:t>
      </w:r>
      <w:r>
        <w:rPr>
          <w:bCs/>
        </w:rPr>
        <w:t>e</w:t>
      </w:r>
      <w:r w:rsidRPr="00525E02" w:rsidR="00CA0899">
        <w:rPr>
          <w:bCs/>
        </w:rPr>
        <w:t xml:space="preserve">lectric and gas utilities </w:t>
      </w:r>
      <w:r w:rsidRPr="00CD5E46" w:rsidR="00CD5E46">
        <w:rPr>
          <w:bCs/>
        </w:rPr>
        <w:t xml:space="preserve">routes according to the needs of this </w:t>
      </w:r>
      <w:r w:rsidRPr="00CD5E46" w:rsidR="00BA7CB5">
        <w:rPr>
          <w:bCs/>
        </w:rPr>
        <w:t>program and</w:t>
      </w:r>
      <w:r w:rsidRPr="00CD5E46" w:rsidR="00CD5E46">
        <w:rPr>
          <w:bCs/>
        </w:rPr>
        <w:t xml:space="preserve"> are</w:t>
      </w:r>
      <w:r w:rsidRPr="00525E02" w:rsidR="00DA0A3F">
        <w:rPr>
          <w:bCs/>
        </w:rPr>
        <w:t xml:space="preserve"> not</w:t>
      </w:r>
      <w:r w:rsidRPr="00525E02" w:rsidR="00CA0899">
        <w:rPr>
          <w:bCs/>
        </w:rPr>
        <w:t xml:space="preserve"> </w:t>
      </w:r>
      <w:r w:rsidRPr="003343BF" w:rsidR="003343BF">
        <w:rPr>
          <w:bCs/>
        </w:rPr>
        <w:t xml:space="preserve">required </w:t>
      </w:r>
      <w:r w:rsidRPr="00525E02" w:rsidR="00CA0899">
        <w:rPr>
          <w:bCs/>
        </w:rPr>
        <w:t xml:space="preserve">to place </w:t>
      </w:r>
      <w:r w:rsidRPr="00E94739" w:rsidR="00E94739">
        <w:rPr>
          <w:bCs/>
        </w:rPr>
        <w:t xml:space="preserve">them </w:t>
      </w:r>
      <w:r w:rsidRPr="00525E02" w:rsidR="00CA0899">
        <w:rPr>
          <w:bCs/>
        </w:rPr>
        <w:t>in the streets</w:t>
      </w:r>
      <w:r w:rsidRPr="00375841" w:rsidR="00375841">
        <w:rPr>
          <w:bCs/>
        </w:rPr>
        <w:t xml:space="preserve">. </w:t>
      </w:r>
      <w:r w:rsidRPr="00375841" w:rsidDel="00375841" w:rsidR="00375841">
        <w:rPr>
          <w:bCs/>
        </w:rPr>
        <w:t xml:space="preserve"> </w:t>
      </w:r>
      <w:r w:rsidRPr="00525E02" w:rsidR="00CA0899">
        <w:rPr>
          <w:bCs/>
        </w:rPr>
        <w:lastRenderedPageBreak/>
        <w:t>PG&amp;E shall take into consideration the most economic, convenient, and efficient service route</w:t>
      </w:r>
      <w:r w:rsidR="00375841">
        <w:rPr>
          <w:bCs/>
        </w:rPr>
        <w:t xml:space="preserve"> </w:t>
      </w:r>
      <w:r w:rsidRPr="00375841" w:rsidR="00375841">
        <w:rPr>
          <w:bCs/>
        </w:rPr>
        <w:t xml:space="preserve">in which utilities could be </w:t>
      </w:r>
      <w:r w:rsidRPr="003327C7" w:rsidR="003327C7">
        <w:rPr>
          <w:bCs/>
        </w:rPr>
        <w:t>better positioned with respect to the mobile homes, considering the park’s other constraints</w:t>
      </w:r>
      <w:r w:rsidRPr="00D2684E" w:rsidR="003327C7">
        <w:rPr>
          <w:bCs/>
        </w:rPr>
        <w:t>,</w:t>
      </w:r>
      <w:r w:rsidRPr="00825578" w:rsidR="00375841">
        <w:t xml:space="preserve"> </w:t>
      </w:r>
      <w:r w:rsidRPr="00375841" w:rsidR="00375841">
        <w:rPr>
          <w:bCs/>
        </w:rPr>
        <w:t>and away from the street</w:t>
      </w:r>
      <w:r w:rsidRPr="00525E02" w:rsidR="00CA0899">
        <w:rPr>
          <w:bCs/>
        </w:rPr>
        <w:t>.</w:t>
      </w:r>
    </w:p>
    <w:p w:rsidRPr="00525E02" w:rsidR="00CA0899" w:rsidP="005A2575" w:rsidRDefault="00CA0899" w14:paraId="048827C9" w14:textId="10793E2A">
      <w:pPr>
        <w:numPr>
          <w:ilvl w:val="0"/>
          <w:numId w:val="39"/>
        </w:numPr>
        <w:rPr>
          <w:bCs/>
        </w:rPr>
      </w:pPr>
      <w:r w:rsidRPr="00127A60">
        <w:rPr>
          <w:snapToGrid w:val="0"/>
        </w:rPr>
        <w:t>PG</w:t>
      </w:r>
      <w:r w:rsidRPr="00525E02">
        <w:rPr>
          <w:bCs/>
        </w:rPr>
        <w:t xml:space="preserve">&amp;E shall develop a strategy to avoid service routes that might damage salvageable </w:t>
      </w:r>
      <w:r w:rsidRPr="00292114" w:rsidR="00292114">
        <w:rPr>
          <w:bCs/>
        </w:rPr>
        <w:t xml:space="preserve">non-energy </w:t>
      </w:r>
      <w:r w:rsidRPr="00525E02">
        <w:rPr>
          <w:bCs/>
        </w:rPr>
        <w:t xml:space="preserve">utilities, </w:t>
      </w:r>
      <w:r w:rsidRPr="00525E02" w:rsidR="00C03B06">
        <w:rPr>
          <w:bCs/>
        </w:rPr>
        <w:t xml:space="preserve">such as </w:t>
      </w:r>
      <w:r w:rsidRPr="00826F29" w:rsidR="00826F29">
        <w:rPr>
          <w:bCs/>
        </w:rPr>
        <w:t xml:space="preserve">by crossing </w:t>
      </w:r>
      <w:r w:rsidRPr="00525E02">
        <w:rPr>
          <w:bCs/>
        </w:rPr>
        <w:t>septic system leach fields.</w:t>
      </w:r>
      <w:r w:rsidR="006E3678">
        <w:rPr>
          <w:bCs/>
        </w:rPr>
        <w:t xml:space="preserve">  </w:t>
      </w:r>
      <w:r w:rsidRPr="006E3678" w:rsidR="006E3678">
        <w:rPr>
          <w:bCs/>
        </w:rPr>
        <w:t xml:space="preserve">PG&amp;E shall implement the minimum measures as discussed under the </w:t>
      </w:r>
      <w:r w:rsidR="007D0F8A">
        <w:rPr>
          <w:bCs/>
        </w:rPr>
        <w:t>heading “</w:t>
      </w:r>
      <w:r w:rsidRPr="00871428" w:rsidR="007D0F8A">
        <w:rPr>
          <w:bCs/>
          <w:i/>
          <w:iCs/>
        </w:rPr>
        <w:t>Damage</w:t>
      </w:r>
      <w:r w:rsidR="007D0F8A">
        <w:rPr>
          <w:bCs/>
        </w:rPr>
        <w:t xml:space="preserve"> </w:t>
      </w:r>
      <w:r w:rsidRPr="006E3678" w:rsidR="006E3678">
        <w:rPr>
          <w:bCs/>
          <w:i/>
        </w:rPr>
        <w:t xml:space="preserve">to Existing Salvageable Utilities and Underground Facilities </w:t>
      </w:r>
      <w:r w:rsidR="00A75A52">
        <w:rPr>
          <w:bCs/>
        </w:rPr>
        <w:t>“</w:t>
      </w:r>
      <w:r w:rsidRPr="006E3678" w:rsidR="006E3678">
        <w:rPr>
          <w:bCs/>
        </w:rPr>
        <w:t>in the Discussion section of this resolution.</w:t>
      </w:r>
    </w:p>
    <w:p w:rsidR="004A2D98" w:rsidP="004A2D98" w:rsidRDefault="004A2D98" w14:paraId="26277C4B" w14:textId="15FC13DA">
      <w:pPr>
        <w:numPr>
          <w:ilvl w:val="0"/>
          <w:numId w:val="39"/>
        </w:numPr>
        <w:rPr>
          <w:bCs/>
        </w:rPr>
      </w:pPr>
      <w:r w:rsidRPr="00D8633F">
        <w:rPr>
          <w:snapToGrid w:val="0"/>
        </w:rPr>
        <w:t>Section</w:t>
      </w:r>
      <w:r w:rsidRPr="00F90DEB">
        <w:rPr>
          <w:bCs/>
        </w:rPr>
        <w:t xml:space="preserve"> 6.5.4 of the Butte County </w:t>
      </w:r>
      <w:r>
        <w:rPr>
          <w:bCs/>
        </w:rPr>
        <w:t>Mobilehome Park</w:t>
      </w:r>
      <w:r w:rsidRPr="00F90DEB">
        <w:rPr>
          <w:bCs/>
        </w:rPr>
        <w:t xml:space="preserve"> Rebuild Program Agreement </w:t>
      </w:r>
      <w:r w:rsidR="00D43BF9">
        <w:rPr>
          <w:bCs/>
        </w:rPr>
        <w:t>shall</w:t>
      </w:r>
      <w:r w:rsidRPr="00F90DEB">
        <w:rPr>
          <w:bCs/>
        </w:rPr>
        <w:t xml:space="preserve"> be revised to read: “PG&amp;E shall not remove the existing legacy system owned by the MHPs</w:t>
      </w:r>
      <w:r w:rsidR="003E1982">
        <w:rPr>
          <w:bCs/>
        </w:rPr>
        <w:t xml:space="preserve"> </w:t>
      </w:r>
      <w:r w:rsidRPr="00F90DEB" w:rsidR="003E1982">
        <w:rPr>
          <w:bCs/>
        </w:rPr>
        <w:t>and the system shall be abandoned in place</w:t>
      </w:r>
      <w:r w:rsidRPr="00F90DEB">
        <w:rPr>
          <w:bCs/>
        </w:rPr>
        <w:t xml:space="preserve"> unless </w:t>
      </w:r>
      <w:r w:rsidR="003E1982">
        <w:rPr>
          <w:bCs/>
        </w:rPr>
        <w:t xml:space="preserve">removal is </w:t>
      </w:r>
      <w:r w:rsidRPr="00F90DEB">
        <w:rPr>
          <w:bCs/>
        </w:rPr>
        <w:t xml:space="preserve">necessary and </w:t>
      </w:r>
      <w:r w:rsidR="003E1982">
        <w:rPr>
          <w:bCs/>
        </w:rPr>
        <w:t xml:space="preserve">the </w:t>
      </w:r>
      <w:r w:rsidRPr="00F90DEB">
        <w:rPr>
          <w:bCs/>
        </w:rPr>
        <w:t>MHP owner’s permission</w:t>
      </w:r>
      <w:r w:rsidR="003E1982">
        <w:rPr>
          <w:bCs/>
        </w:rPr>
        <w:t xml:space="preserve"> has been obtained</w:t>
      </w:r>
      <w:r w:rsidRPr="00F90DEB">
        <w:rPr>
          <w:bCs/>
        </w:rPr>
        <w:t xml:space="preserve">. PG&amp;E shall ensure that the new and the existing legacy systems are </w:t>
      </w:r>
      <w:r>
        <w:rPr>
          <w:bCs/>
        </w:rPr>
        <w:t xml:space="preserve">both </w:t>
      </w:r>
      <w:r w:rsidRPr="00F90DEB">
        <w:rPr>
          <w:bCs/>
        </w:rPr>
        <w:t xml:space="preserve">electrically and physically isolated from each other.  PG&amp;E shall not incur any expenses associated with the removal or retirement of the existing system </w:t>
      </w:r>
      <w:r w:rsidRPr="00053510">
        <w:rPr>
          <w:bCs/>
        </w:rPr>
        <w:t xml:space="preserve">owned by the MHP owners </w:t>
      </w:r>
      <w:r w:rsidRPr="00F90DEB">
        <w:rPr>
          <w:bCs/>
        </w:rPr>
        <w:t xml:space="preserve">under the MHP Rebuild program.  Should removal of the legacy distribution system </w:t>
      </w:r>
      <w:r w:rsidRPr="00F6792B" w:rsidR="00F6792B">
        <w:rPr>
          <w:bCs/>
        </w:rPr>
        <w:t xml:space="preserve">owned by the MHP owners </w:t>
      </w:r>
      <w:r w:rsidRPr="00F90DEB">
        <w:rPr>
          <w:bCs/>
        </w:rPr>
        <w:t>be necessary to complete the MHP Rebuild program, such costs may at PG&amp;E’s discretion be included in the MHP Rebuild Program if it is necessary and can be done so efficiently</w:t>
      </w:r>
      <w:r>
        <w:rPr>
          <w:bCs/>
        </w:rPr>
        <w:t>.”</w:t>
      </w:r>
    </w:p>
    <w:p w:rsidRPr="00525E02" w:rsidR="004A2D98" w:rsidP="004A2D98" w:rsidRDefault="004A2D98" w14:paraId="53D8190B" w14:textId="77777777">
      <w:pPr>
        <w:numPr>
          <w:ilvl w:val="0"/>
          <w:numId w:val="39"/>
        </w:numPr>
        <w:rPr>
          <w:bCs/>
        </w:rPr>
      </w:pPr>
      <w:r w:rsidRPr="00A77142">
        <w:rPr>
          <w:bCs/>
          <w:iCs/>
        </w:rPr>
        <w:t xml:space="preserve">PG&amp;E </w:t>
      </w:r>
      <w:r>
        <w:rPr>
          <w:bCs/>
          <w:iCs/>
        </w:rPr>
        <w:t>shall</w:t>
      </w:r>
      <w:r w:rsidRPr="00A77142">
        <w:rPr>
          <w:bCs/>
          <w:iCs/>
        </w:rPr>
        <w:t xml:space="preserve"> remove section 9.1.1.3 of the </w:t>
      </w:r>
      <w:r w:rsidRPr="000D238B">
        <w:rPr>
          <w:bCs/>
          <w:iCs/>
        </w:rPr>
        <w:t>Butte County Mobilehome Park</w:t>
      </w:r>
      <w:r w:rsidRPr="00AE689A">
        <w:rPr>
          <w:bCs/>
          <w:iCs/>
        </w:rPr>
        <w:t xml:space="preserve"> Rebuild Program Agreement </w:t>
      </w:r>
      <w:r w:rsidRPr="00A77142">
        <w:rPr>
          <w:bCs/>
          <w:iCs/>
        </w:rPr>
        <w:t xml:space="preserve">which currently </w:t>
      </w:r>
      <w:r>
        <w:rPr>
          <w:bCs/>
          <w:iCs/>
        </w:rPr>
        <w:t>reads</w:t>
      </w:r>
      <w:r w:rsidRPr="00A77142">
        <w:rPr>
          <w:bCs/>
          <w:iCs/>
        </w:rPr>
        <w:t>: “The failure or inability of the MHP Owner/Operator to complete the work and be ready to receive service from PG&amp;E within twelve (12) months of the execution of this Agreement; or”.</w:t>
      </w:r>
    </w:p>
    <w:p w:rsidRPr="00825578" w:rsidR="00A056EA" w:rsidP="00D2684E" w:rsidRDefault="00AE7BD5" w14:paraId="00FF4AE4" w14:textId="3459243C">
      <w:pPr>
        <w:numPr>
          <w:ilvl w:val="0"/>
          <w:numId w:val="39"/>
        </w:numPr>
        <w:rPr>
          <w:snapToGrid w:val="0"/>
        </w:rPr>
      </w:pPr>
      <w:r w:rsidRPr="00CF37EA">
        <w:t xml:space="preserve">PG&amp;E shall revise section 10.6 of the </w:t>
      </w:r>
      <w:r w:rsidRPr="00CF37EA">
        <w:rPr>
          <w:snapToGrid w:val="0"/>
        </w:rPr>
        <w:t xml:space="preserve">Butte County Mobilehome Park </w:t>
      </w:r>
      <w:r w:rsidRPr="0080125E">
        <w:rPr>
          <w:snapToGrid w:val="0"/>
        </w:rPr>
        <w:t xml:space="preserve">Rebuild Program </w:t>
      </w:r>
      <w:r w:rsidRPr="00825578">
        <w:t>Agreement to clearly show that beyond</w:t>
      </w:r>
      <w:r w:rsidRPr="00825578" w:rsidR="00700F55">
        <w:t>-</w:t>
      </w:r>
      <w:r w:rsidRPr="00825578">
        <w:t>the</w:t>
      </w:r>
      <w:r w:rsidRPr="00825578" w:rsidR="00700F55">
        <w:t>-</w:t>
      </w:r>
      <w:r w:rsidRPr="00825578">
        <w:t>meter work is not reimbursable except for installation of the electric pedestal.</w:t>
      </w:r>
      <w:r w:rsidRPr="00825578" w:rsidR="00D37BCD">
        <w:t xml:space="preserve">  Given the ability to complete the gas meter and electrical pedestal work ahead of mobilehome repopulation, the </w:t>
      </w:r>
      <w:r w:rsidRPr="00825578" w:rsidR="00693B21">
        <w:t xml:space="preserve">Butte County Mobilehome Park Rebuild Program </w:t>
      </w:r>
      <w:r w:rsidRPr="00825578" w:rsidR="00D37BCD">
        <w:t>does not need to be extended for a decade or more.</w:t>
      </w:r>
      <w:r w:rsidRPr="00825578" w:rsidR="00A056EA">
        <w:rPr>
          <w:snapToGrid w:val="0"/>
        </w:rPr>
        <w:t xml:space="preserve">  </w:t>
      </w:r>
    </w:p>
    <w:p w:rsidRPr="00AB54A0" w:rsidR="00AE7BD5" w:rsidP="00AE7BD5" w:rsidRDefault="00AE7BD5" w14:paraId="5C4EEE0F" w14:textId="77777777">
      <w:pPr>
        <w:numPr>
          <w:ilvl w:val="0"/>
          <w:numId w:val="39"/>
        </w:numPr>
        <w:rPr>
          <w:bCs/>
        </w:rPr>
      </w:pPr>
      <w:r w:rsidRPr="00E57416">
        <w:rPr>
          <w:snapToGrid w:val="0"/>
        </w:rPr>
        <w:t>The</w:t>
      </w:r>
      <w:r w:rsidRPr="00707334">
        <w:rPr>
          <w:bCs/>
        </w:rPr>
        <w:t xml:space="preserve"> Butte County </w:t>
      </w:r>
      <w:r w:rsidRPr="000D238B">
        <w:rPr>
          <w:bCs/>
          <w:iCs/>
        </w:rPr>
        <w:t>Mobilehome Park</w:t>
      </w:r>
      <w:r w:rsidRPr="00707334">
        <w:rPr>
          <w:bCs/>
        </w:rPr>
        <w:t xml:space="preserve"> Rebuild Program Agreement shall require each participating </w:t>
      </w:r>
      <w:r>
        <w:rPr>
          <w:bCs/>
          <w:iCs/>
        </w:rPr>
        <w:t>m</w:t>
      </w:r>
      <w:r w:rsidRPr="000D238B">
        <w:rPr>
          <w:bCs/>
          <w:iCs/>
        </w:rPr>
        <w:t xml:space="preserve">obilehome </w:t>
      </w:r>
      <w:r>
        <w:rPr>
          <w:bCs/>
          <w:iCs/>
        </w:rPr>
        <w:t>p</w:t>
      </w:r>
      <w:r w:rsidRPr="000D238B">
        <w:rPr>
          <w:bCs/>
          <w:iCs/>
        </w:rPr>
        <w:t>ark</w:t>
      </w:r>
      <w:r w:rsidRPr="000D238B">
        <w:rPr>
          <w:bCs/>
        </w:rPr>
        <w:t xml:space="preserve"> </w:t>
      </w:r>
      <w:r w:rsidRPr="00707334">
        <w:rPr>
          <w:bCs/>
        </w:rPr>
        <w:t xml:space="preserve">owner who operates on leased real property to submit proof of a valid lease for a minimum of 20 years from the date that the </w:t>
      </w:r>
      <w:r w:rsidRPr="000D238B">
        <w:rPr>
          <w:bCs/>
        </w:rPr>
        <w:t xml:space="preserve">Butte County </w:t>
      </w:r>
      <w:r w:rsidRPr="000D238B">
        <w:rPr>
          <w:bCs/>
          <w:iCs/>
        </w:rPr>
        <w:t>Mobilehome Park</w:t>
      </w:r>
      <w:r w:rsidRPr="000D238B">
        <w:rPr>
          <w:bCs/>
        </w:rPr>
        <w:t xml:space="preserve"> </w:t>
      </w:r>
      <w:r w:rsidRPr="00707334">
        <w:rPr>
          <w:bCs/>
        </w:rPr>
        <w:t>Rebuild Program Agreement is executed by PG&amp;E</w:t>
      </w:r>
      <w:r>
        <w:rPr>
          <w:bCs/>
        </w:rPr>
        <w:t>.</w:t>
      </w:r>
    </w:p>
    <w:p w:rsidRPr="00525E02" w:rsidR="00F76AAB" w:rsidP="00F76AAB" w:rsidRDefault="00F76AAB" w14:paraId="6B798ACB" w14:textId="1A051613">
      <w:pPr>
        <w:numPr>
          <w:ilvl w:val="0"/>
          <w:numId w:val="39"/>
        </w:numPr>
        <w:rPr>
          <w:bCs/>
        </w:rPr>
      </w:pPr>
      <w:r w:rsidRPr="00525E02">
        <w:rPr>
          <w:bCs/>
        </w:rPr>
        <w:t xml:space="preserve">PG&amp;E shall include </w:t>
      </w:r>
      <w:r w:rsidR="000A102C">
        <w:rPr>
          <w:bCs/>
        </w:rPr>
        <w:t xml:space="preserve">all </w:t>
      </w:r>
      <w:r w:rsidRPr="00525E02">
        <w:rPr>
          <w:bCs/>
        </w:rPr>
        <w:t xml:space="preserve">applicable changes </w:t>
      </w:r>
      <w:r w:rsidR="00584DB5">
        <w:rPr>
          <w:bCs/>
        </w:rPr>
        <w:t>of</w:t>
      </w:r>
      <w:r w:rsidRPr="00525E02">
        <w:rPr>
          <w:bCs/>
        </w:rPr>
        <w:t xml:space="preserve"> the </w:t>
      </w:r>
      <w:r>
        <w:rPr>
          <w:bCs/>
        </w:rPr>
        <w:t>Mobilehome Park</w:t>
      </w:r>
      <w:r w:rsidRPr="00525E02">
        <w:rPr>
          <w:bCs/>
        </w:rPr>
        <w:t xml:space="preserve"> Utility Upgrade Program </w:t>
      </w:r>
      <w:r>
        <w:rPr>
          <w:bCs/>
        </w:rPr>
        <w:t>Agreement</w:t>
      </w:r>
      <w:r w:rsidRPr="00525E02">
        <w:rPr>
          <w:bCs/>
        </w:rPr>
        <w:t xml:space="preserve"> (Form 79-116</w:t>
      </w:r>
      <w:r>
        <w:rPr>
          <w:bCs/>
        </w:rPr>
        <w:t>5</w:t>
      </w:r>
      <w:r w:rsidRPr="00525E02">
        <w:rPr>
          <w:bCs/>
        </w:rPr>
        <w:t>) specifie</w:t>
      </w:r>
      <w:r>
        <w:rPr>
          <w:bCs/>
        </w:rPr>
        <w:t>d</w:t>
      </w:r>
      <w:r w:rsidRPr="00525E02">
        <w:rPr>
          <w:bCs/>
        </w:rPr>
        <w:t xml:space="preserve"> in D.20-04-004 of R.18-</w:t>
      </w:r>
      <w:r w:rsidRPr="00525E02">
        <w:rPr>
          <w:bCs/>
        </w:rPr>
        <w:lastRenderedPageBreak/>
        <w:t xml:space="preserve">04-018 to the Butte County </w:t>
      </w:r>
      <w:r w:rsidRPr="007E3713">
        <w:rPr>
          <w:bCs/>
          <w:iCs/>
        </w:rPr>
        <w:t>Mobilehome Park</w:t>
      </w:r>
      <w:r w:rsidRPr="00525E02">
        <w:rPr>
          <w:bCs/>
        </w:rPr>
        <w:t xml:space="preserve"> Rebuild Program Agreement (Form 79-1201)</w:t>
      </w:r>
      <w:r w:rsidRPr="00D43BF9" w:rsidR="00D43BF9">
        <w:rPr>
          <w:snapToGrid w:val="0"/>
        </w:rPr>
        <w:t xml:space="preserve"> </w:t>
      </w:r>
      <w:r w:rsidRPr="00D43BF9" w:rsidR="00D43BF9">
        <w:rPr>
          <w:bCs/>
        </w:rPr>
        <w:t xml:space="preserve">as discussed under the heading </w:t>
      </w:r>
      <w:r w:rsidR="00A75A52">
        <w:rPr>
          <w:bCs/>
        </w:rPr>
        <w:t>“</w:t>
      </w:r>
      <w:r w:rsidRPr="00566B5A" w:rsidR="00A75A52">
        <w:rPr>
          <w:bCs/>
          <w:i/>
          <w:iCs/>
        </w:rPr>
        <w:t>A</w:t>
      </w:r>
      <w:r w:rsidRPr="00D43BF9" w:rsidR="00D43BF9">
        <w:rPr>
          <w:bCs/>
          <w:i/>
        </w:rPr>
        <w:t>lignment with the MHP Decision (D.) 20-04-004</w:t>
      </w:r>
      <w:r w:rsidR="007D69A1">
        <w:rPr>
          <w:bCs/>
          <w:i/>
        </w:rPr>
        <w:t xml:space="preserve">” </w:t>
      </w:r>
      <w:r w:rsidRPr="00D43BF9" w:rsidR="00D43BF9">
        <w:rPr>
          <w:bCs/>
        </w:rPr>
        <w:t>in the “Discussion” section of this resolution</w:t>
      </w:r>
      <w:r w:rsidRPr="00525E02">
        <w:rPr>
          <w:bCs/>
        </w:rPr>
        <w:t xml:space="preserve">. </w:t>
      </w:r>
    </w:p>
    <w:p w:rsidRPr="00C42B66" w:rsidR="00AE7BD5" w:rsidP="00AE7BD5" w:rsidRDefault="00AE7BD5" w14:paraId="48E6949F" w14:textId="2BE4F2CE">
      <w:pPr>
        <w:pStyle w:val="ListParagraph"/>
        <w:numPr>
          <w:ilvl w:val="0"/>
          <w:numId w:val="39"/>
        </w:numPr>
        <w:rPr>
          <w:snapToGrid w:val="0"/>
        </w:rPr>
      </w:pPr>
      <w:r w:rsidRPr="00C42B66">
        <w:rPr>
          <w:snapToGrid w:val="0"/>
        </w:rPr>
        <w:t>PG&amp;E shall extend to</w:t>
      </w:r>
      <w:r w:rsidR="00FC6CA7">
        <w:rPr>
          <w:snapToGrid w:val="0"/>
        </w:rPr>
        <w:t>-</w:t>
      </w:r>
      <w:r w:rsidRPr="00C42B66">
        <w:rPr>
          <w:snapToGrid w:val="0"/>
        </w:rPr>
        <w:t>the</w:t>
      </w:r>
      <w:r w:rsidR="00FC6CA7">
        <w:rPr>
          <w:snapToGrid w:val="0"/>
        </w:rPr>
        <w:t>-</w:t>
      </w:r>
      <w:r w:rsidRPr="00C42B66">
        <w:rPr>
          <w:snapToGrid w:val="0"/>
        </w:rPr>
        <w:t>meter eligibility to common use buildings</w:t>
      </w:r>
      <w:r w:rsidR="00D538E2">
        <w:rPr>
          <w:snapToGrid w:val="0"/>
        </w:rPr>
        <w:t xml:space="preserve"> and</w:t>
      </w:r>
      <w:r w:rsidR="00715E16">
        <w:rPr>
          <w:snapToGrid w:val="0"/>
        </w:rPr>
        <w:t xml:space="preserve"> </w:t>
      </w:r>
      <w:r w:rsidRPr="00C42B66">
        <w:rPr>
          <w:snapToGrid w:val="0"/>
        </w:rPr>
        <w:t xml:space="preserve">permanent fixed foundation residential structures.  </w:t>
      </w:r>
      <w:r w:rsidRPr="004522B6" w:rsidR="004522B6">
        <w:rPr>
          <w:snapToGrid w:val="0"/>
        </w:rPr>
        <w:t xml:space="preserve">PG&amp;E also is not prohibited </w:t>
      </w:r>
      <w:r w:rsidR="00C4662A">
        <w:rPr>
          <w:snapToGrid w:val="0"/>
        </w:rPr>
        <w:t>from</w:t>
      </w:r>
      <w:r w:rsidRPr="004522B6" w:rsidR="004522B6">
        <w:rPr>
          <w:snapToGrid w:val="0"/>
        </w:rPr>
        <w:t xml:space="preserve"> perform</w:t>
      </w:r>
      <w:r w:rsidR="00C4662A">
        <w:rPr>
          <w:snapToGrid w:val="0"/>
        </w:rPr>
        <w:t>ing</w:t>
      </w:r>
      <w:r w:rsidRPr="004522B6" w:rsidR="004522B6">
        <w:rPr>
          <w:snapToGrid w:val="0"/>
        </w:rPr>
        <w:t xml:space="preserve"> rebuild work beyond the scope specified in D.20-04-004.  However, this work will not be recoverable through rates.</w:t>
      </w:r>
    </w:p>
    <w:p w:rsidRPr="00C42B66" w:rsidR="00AE7BD5" w:rsidP="00AE7BD5" w:rsidRDefault="00AE7BD5" w14:paraId="50E07FE9" w14:textId="11F9DDAF">
      <w:pPr>
        <w:pStyle w:val="ListParagraph"/>
        <w:numPr>
          <w:ilvl w:val="0"/>
          <w:numId w:val="39"/>
        </w:numPr>
        <w:rPr>
          <w:snapToGrid w:val="0"/>
        </w:rPr>
      </w:pPr>
      <w:r w:rsidRPr="00C42B66">
        <w:rPr>
          <w:snapToGrid w:val="0"/>
        </w:rPr>
        <w:t xml:space="preserve">PG&amp;E shall not extend </w:t>
      </w:r>
      <w:r w:rsidRPr="000D238B">
        <w:rPr>
          <w:snapToGrid w:val="0"/>
        </w:rPr>
        <w:t>to</w:t>
      </w:r>
      <w:r w:rsidR="006A29CC">
        <w:rPr>
          <w:snapToGrid w:val="0"/>
        </w:rPr>
        <w:t>-</w:t>
      </w:r>
      <w:r w:rsidRPr="000D238B">
        <w:rPr>
          <w:snapToGrid w:val="0"/>
        </w:rPr>
        <w:t>the</w:t>
      </w:r>
      <w:r w:rsidR="006A29CC">
        <w:rPr>
          <w:snapToGrid w:val="0"/>
        </w:rPr>
        <w:t>-</w:t>
      </w:r>
      <w:r w:rsidRPr="000D238B">
        <w:rPr>
          <w:snapToGrid w:val="0"/>
        </w:rPr>
        <w:t xml:space="preserve">meter </w:t>
      </w:r>
      <w:r w:rsidRPr="00C42B66">
        <w:rPr>
          <w:snapToGrid w:val="0"/>
        </w:rPr>
        <w:t>eligibility to recreational vehicle (RV) spaces.</w:t>
      </w:r>
    </w:p>
    <w:p w:rsidRPr="00C42B66" w:rsidR="00C42B66" w:rsidP="00C42B66" w:rsidRDefault="00C42B66" w14:paraId="5EB11D10" w14:textId="21A71F75">
      <w:pPr>
        <w:pStyle w:val="ListParagraph"/>
        <w:numPr>
          <w:ilvl w:val="0"/>
          <w:numId w:val="39"/>
        </w:numPr>
        <w:rPr>
          <w:snapToGrid w:val="0"/>
        </w:rPr>
      </w:pPr>
      <w:r w:rsidRPr="00C42B66">
        <w:rPr>
          <w:snapToGrid w:val="0"/>
        </w:rPr>
        <w:t>PG&amp;E shall provide underground service cable and conduit rated to serve a minimum of 200 amps from the splice boxes to the electric pedestal of each mobilehome</w:t>
      </w:r>
      <w:r w:rsidR="00F65EC9">
        <w:rPr>
          <w:snapToGrid w:val="0"/>
        </w:rPr>
        <w:t xml:space="preserve"> and </w:t>
      </w:r>
      <w:r w:rsidR="00ED274D">
        <w:rPr>
          <w:snapToGrid w:val="0"/>
        </w:rPr>
        <w:t>update</w:t>
      </w:r>
      <w:r w:rsidR="0023524F">
        <w:rPr>
          <w:snapToGrid w:val="0"/>
        </w:rPr>
        <w:t xml:space="preserve"> the </w:t>
      </w:r>
      <w:r w:rsidRPr="00F65EC9" w:rsidR="00F65EC9">
        <w:rPr>
          <w:bCs/>
          <w:iCs/>
          <w:snapToGrid w:val="0"/>
        </w:rPr>
        <w:t>Mobilehome Park</w:t>
      </w:r>
      <w:r w:rsidRPr="00F65EC9" w:rsidR="00F65EC9">
        <w:rPr>
          <w:bCs/>
          <w:snapToGrid w:val="0"/>
        </w:rPr>
        <w:t xml:space="preserve"> Rebuild Program Agreement </w:t>
      </w:r>
      <w:r w:rsidR="0023524F">
        <w:rPr>
          <w:snapToGrid w:val="0"/>
        </w:rPr>
        <w:t xml:space="preserve">to </w:t>
      </w:r>
      <w:r w:rsidR="0020512B">
        <w:rPr>
          <w:snapToGrid w:val="0"/>
        </w:rPr>
        <w:t>reflect</w:t>
      </w:r>
      <w:r w:rsidR="00102F80">
        <w:rPr>
          <w:snapToGrid w:val="0"/>
        </w:rPr>
        <w:t xml:space="preserve"> this requirement</w:t>
      </w:r>
      <w:r w:rsidRPr="00C42B66">
        <w:rPr>
          <w:snapToGrid w:val="0"/>
        </w:rPr>
        <w:t>.</w:t>
      </w:r>
    </w:p>
    <w:p w:rsidR="00C42B66" w:rsidP="00C42B66" w:rsidRDefault="00C42B66" w14:paraId="4BB4E1D4" w14:textId="2E329439">
      <w:pPr>
        <w:pStyle w:val="ListParagraph"/>
        <w:numPr>
          <w:ilvl w:val="0"/>
          <w:numId w:val="39"/>
        </w:numPr>
        <w:rPr>
          <w:snapToGrid w:val="0"/>
        </w:rPr>
      </w:pPr>
      <w:r w:rsidRPr="00C42B66">
        <w:rPr>
          <w:snapToGrid w:val="0"/>
        </w:rPr>
        <w:t xml:space="preserve">PG&amp;E shall evaluate the </w:t>
      </w:r>
      <w:r w:rsidRPr="00094EA4" w:rsidR="00094EA4">
        <w:rPr>
          <w:bCs/>
          <w:snapToGrid w:val="0"/>
        </w:rPr>
        <w:t>maximum</w:t>
      </w:r>
      <w:r w:rsidRPr="00C42B66">
        <w:rPr>
          <w:snapToGrid w:val="0"/>
        </w:rPr>
        <w:t xml:space="preserve"> number of 200 amp services that can be supported by the contemplated transformer and distribution infrastructure, work with </w:t>
      </w:r>
      <w:r>
        <w:rPr>
          <w:snapToGrid w:val="0"/>
        </w:rPr>
        <w:t>mobilehome park</w:t>
      </w:r>
      <w:r w:rsidRPr="00C42B66">
        <w:rPr>
          <w:snapToGrid w:val="0"/>
        </w:rPr>
        <w:t xml:space="preserve"> owners and operators to the extent feasible to determine which spaces would most benefit from a 200 amp service, and </w:t>
      </w:r>
      <w:r w:rsidR="009821D2">
        <w:rPr>
          <w:snapToGrid w:val="0"/>
        </w:rPr>
        <w:t xml:space="preserve">allow for the </w:t>
      </w:r>
      <w:r w:rsidRPr="00C42B66">
        <w:rPr>
          <w:snapToGrid w:val="0"/>
        </w:rPr>
        <w:t>install</w:t>
      </w:r>
      <w:r w:rsidR="009821D2">
        <w:rPr>
          <w:snapToGrid w:val="0"/>
        </w:rPr>
        <w:t>ation of</w:t>
      </w:r>
      <w:r w:rsidRPr="00C42B66">
        <w:rPr>
          <w:snapToGrid w:val="0"/>
        </w:rPr>
        <w:t xml:space="preserve"> 200 amp rated pedestals </w:t>
      </w:r>
      <w:r w:rsidRPr="00403F32" w:rsidR="00403F32">
        <w:rPr>
          <w:bCs/>
          <w:snapToGrid w:val="0"/>
        </w:rPr>
        <w:t xml:space="preserve">and configuration of the secondary distribution system according to Rule 2 and Rule 16 </w:t>
      </w:r>
      <w:r w:rsidRPr="00C42B66">
        <w:rPr>
          <w:snapToGrid w:val="0"/>
        </w:rPr>
        <w:t>to those spaces</w:t>
      </w:r>
      <w:r w:rsidR="00E46213">
        <w:rPr>
          <w:snapToGrid w:val="0"/>
        </w:rPr>
        <w:t>,</w:t>
      </w:r>
      <w:r w:rsidRPr="00C42B66">
        <w:rPr>
          <w:snapToGrid w:val="0"/>
        </w:rPr>
        <w:t xml:space="preserve"> to the extent feasible.</w:t>
      </w:r>
    </w:p>
    <w:p w:rsidRPr="00C42B66" w:rsidR="00805867" w:rsidP="00805867" w:rsidRDefault="00805867" w14:paraId="656D2852" w14:textId="54E5A1AE">
      <w:pPr>
        <w:pStyle w:val="ListParagraph"/>
        <w:numPr>
          <w:ilvl w:val="0"/>
          <w:numId w:val="39"/>
        </w:numPr>
        <w:rPr>
          <w:rFonts w:eastAsia="Palatino" w:cs="Palatino"/>
        </w:rPr>
      </w:pPr>
      <w:bookmarkStart w:name="_Hlk61358006" w:id="46"/>
      <w:r>
        <w:t>PG</w:t>
      </w:r>
      <w:r w:rsidR="00F6792B">
        <w:t>&amp;</w:t>
      </w:r>
      <w:r>
        <w:t>E</w:t>
      </w:r>
      <w:r>
        <w:rPr>
          <w:snapToGrid w:val="0"/>
        </w:rPr>
        <w:t xml:space="preserve"> shall evaluate whether u</w:t>
      </w:r>
      <w:r>
        <w:rPr>
          <w:bCs/>
        </w:rPr>
        <w:t>pgrades to the secondary distribution system would enable a greater number of 200 amp services without necessitating a transformer upgrade</w:t>
      </w:r>
      <w:r w:rsidR="00EE3561">
        <w:rPr>
          <w:bCs/>
        </w:rPr>
        <w:t xml:space="preserve"> and present </w:t>
      </w:r>
      <w:r w:rsidR="00CA2CD2">
        <w:rPr>
          <w:bCs/>
        </w:rPr>
        <w:t xml:space="preserve">feasible </w:t>
      </w:r>
      <w:r w:rsidR="00EE3561">
        <w:rPr>
          <w:bCs/>
        </w:rPr>
        <w:t>option</w:t>
      </w:r>
      <w:r w:rsidR="004A6E19">
        <w:rPr>
          <w:bCs/>
        </w:rPr>
        <w:t>s</w:t>
      </w:r>
      <w:r>
        <w:rPr>
          <w:bCs/>
        </w:rPr>
        <w:t xml:space="preserve"> to the </w:t>
      </w:r>
      <w:r w:rsidR="000068A2">
        <w:rPr>
          <w:bCs/>
        </w:rPr>
        <w:t>mobilehome park</w:t>
      </w:r>
      <w:r>
        <w:rPr>
          <w:bCs/>
        </w:rPr>
        <w:t xml:space="preserve"> </w:t>
      </w:r>
      <w:r w:rsidR="000920DB">
        <w:rPr>
          <w:bCs/>
        </w:rPr>
        <w:t>o</w:t>
      </w:r>
      <w:r>
        <w:rPr>
          <w:bCs/>
        </w:rPr>
        <w:t>wner</w:t>
      </w:r>
      <w:r w:rsidRPr="73A9EB9D" w:rsidR="03C88929">
        <w:t xml:space="preserve"> </w:t>
      </w:r>
      <w:r w:rsidR="03C88929">
        <w:t>and discuss in the annual report</w:t>
      </w:r>
      <w:r w:rsidR="57028DE7">
        <w:t>s</w:t>
      </w:r>
      <w:r w:rsidR="0001331B">
        <w:rPr>
          <w:bCs/>
        </w:rPr>
        <w:t>.</w:t>
      </w:r>
    </w:p>
    <w:bookmarkEnd w:id="46"/>
    <w:p w:rsidR="004B4774" w:rsidP="004B4774" w:rsidRDefault="004B4774" w14:paraId="51007DD8" w14:textId="588E1995">
      <w:pPr>
        <w:pStyle w:val="ListParagraph"/>
        <w:numPr>
          <w:ilvl w:val="0"/>
          <w:numId w:val="39"/>
        </w:numPr>
        <w:rPr>
          <w:snapToGrid w:val="0"/>
        </w:rPr>
      </w:pPr>
      <w:r w:rsidRPr="00C42B66">
        <w:rPr>
          <w:snapToGrid w:val="0"/>
        </w:rPr>
        <w:t xml:space="preserve">PG&amp;E shall continue to notify and coordinate with </w:t>
      </w:r>
      <w:r w:rsidR="00204B6A">
        <w:t>primary jurisdiction (</w:t>
      </w:r>
      <w:r w:rsidRPr="73A9EB9D" w:rsidR="00723CC2">
        <w:rPr>
          <w:i/>
        </w:rPr>
        <w:t>e.g.,</w:t>
      </w:r>
      <w:r w:rsidR="00204B6A">
        <w:t xml:space="preserve"> city or county) and </w:t>
      </w:r>
      <w:r w:rsidRPr="00C42B66">
        <w:rPr>
          <w:snapToGrid w:val="0"/>
        </w:rPr>
        <w:t xml:space="preserve">non-energy service providers who serve </w:t>
      </w:r>
      <w:r w:rsidRPr="000D238B">
        <w:rPr>
          <w:bCs/>
          <w:snapToGrid w:val="0"/>
        </w:rPr>
        <w:t>mobilehome park</w:t>
      </w:r>
      <w:r w:rsidRPr="00C42B66">
        <w:rPr>
          <w:snapToGrid w:val="0"/>
        </w:rPr>
        <w:t xml:space="preserve">s scheduled for utility rebuild and who could participate in installing or upgrading their facilities in conjunction with </w:t>
      </w:r>
      <w:r>
        <w:rPr>
          <w:snapToGrid w:val="0"/>
        </w:rPr>
        <w:t>t</w:t>
      </w:r>
      <w:r w:rsidRPr="000D238B">
        <w:rPr>
          <w:snapToGrid w:val="0"/>
        </w:rPr>
        <w:t xml:space="preserve">he Butte County </w:t>
      </w:r>
      <w:r w:rsidRPr="000D238B">
        <w:rPr>
          <w:bCs/>
          <w:snapToGrid w:val="0"/>
        </w:rPr>
        <w:t>Mobilehome Park</w:t>
      </w:r>
      <w:r w:rsidRPr="000D238B">
        <w:rPr>
          <w:snapToGrid w:val="0"/>
        </w:rPr>
        <w:t xml:space="preserve"> Rebuild Program </w:t>
      </w:r>
      <w:r w:rsidRPr="00C42B66">
        <w:rPr>
          <w:snapToGrid w:val="0"/>
        </w:rPr>
        <w:t xml:space="preserve">work.  Coordination should be </w:t>
      </w:r>
      <w:r w:rsidR="003849CE">
        <w:t>performed</w:t>
      </w:r>
      <w:r w:rsidRPr="00C42B66">
        <w:rPr>
          <w:snapToGrid w:val="0"/>
        </w:rPr>
        <w:t xml:space="preserve"> in a manner which benefits CPUC regulated gas and/or electric utility customers.</w:t>
      </w:r>
      <w:r w:rsidR="00602510">
        <w:t xml:space="preserve">  </w:t>
      </w:r>
      <w:r w:rsidR="00571FB3">
        <w:t> </w:t>
      </w:r>
    </w:p>
    <w:p w:rsidRPr="00924D60" w:rsidR="007A4AA3" w:rsidP="00F07CFF" w:rsidRDefault="007A4AA3" w14:paraId="34AB013C" w14:textId="07734A86">
      <w:pPr>
        <w:numPr>
          <w:ilvl w:val="0"/>
          <w:numId w:val="39"/>
        </w:numPr>
        <w:rPr>
          <w:snapToGrid w:val="0"/>
        </w:rPr>
      </w:pPr>
      <w:r>
        <w:t xml:space="preserve">PG&amp;E is not required to retrofit </w:t>
      </w:r>
      <w:r w:rsidR="00924D60">
        <w:t xml:space="preserve">construction in progress </w:t>
      </w:r>
      <w:r w:rsidR="00EC744E">
        <w:rPr>
          <w:bCs/>
        </w:rPr>
        <w:t xml:space="preserve">as of the effective date of this resolution </w:t>
      </w:r>
      <w:r w:rsidR="000D5BED">
        <w:t>or</w:t>
      </w:r>
      <w:r w:rsidR="00F136D8">
        <w:t xml:space="preserve"> </w:t>
      </w:r>
      <w:r w:rsidR="009B5B61">
        <w:t>mobilehome parks</w:t>
      </w:r>
      <w:r>
        <w:t xml:space="preserve"> </w:t>
      </w:r>
      <w:r w:rsidR="00AA034F">
        <w:t xml:space="preserve">previously </w:t>
      </w:r>
      <w:r w:rsidR="003162EE">
        <w:t>completed through</w:t>
      </w:r>
      <w:r>
        <w:t xml:space="preserve"> the Butte County Mobilehome Park Rebuild Program to satisfy the requirements set forth in this Resolution.</w:t>
      </w:r>
    </w:p>
    <w:p w:rsidRPr="00CA0899" w:rsidR="00CA0899" w:rsidP="005B6694" w:rsidRDefault="00CA0899" w14:paraId="3BD0BEEE" w14:textId="14052B30">
      <w:pPr>
        <w:numPr>
          <w:ilvl w:val="0"/>
          <w:numId w:val="39"/>
        </w:numPr>
        <w:rPr>
          <w:snapToGrid w:val="0"/>
        </w:rPr>
      </w:pPr>
      <w:r w:rsidRPr="00CA0899">
        <w:rPr>
          <w:snapToGrid w:val="0"/>
        </w:rPr>
        <w:t xml:space="preserve">PG&amp;E shall use the template in Table </w:t>
      </w:r>
      <w:r w:rsidR="00C03B06">
        <w:rPr>
          <w:snapToGrid w:val="0"/>
        </w:rPr>
        <w:t>1</w:t>
      </w:r>
      <w:r w:rsidRPr="00CA0899" w:rsidR="00C03B06">
        <w:rPr>
          <w:snapToGrid w:val="0"/>
        </w:rPr>
        <w:t xml:space="preserve"> </w:t>
      </w:r>
      <w:r w:rsidRPr="00CA0899">
        <w:rPr>
          <w:snapToGrid w:val="0"/>
        </w:rPr>
        <w:t xml:space="preserve">of Appendix A to report </w:t>
      </w:r>
      <w:r w:rsidR="007E3713">
        <w:rPr>
          <w:snapToGrid w:val="0"/>
        </w:rPr>
        <w:t>to-the-meter</w:t>
      </w:r>
      <w:r w:rsidRPr="00CA0899" w:rsidR="007E3713">
        <w:rPr>
          <w:snapToGrid w:val="0"/>
        </w:rPr>
        <w:t xml:space="preserve"> </w:t>
      </w:r>
      <w:r w:rsidR="00383CEA">
        <w:rPr>
          <w:snapToGrid w:val="0"/>
        </w:rPr>
        <w:t xml:space="preserve">and </w:t>
      </w:r>
      <w:r w:rsidR="007E3713">
        <w:rPr>
          <w:snapToGrid w:val="0"/>
        </w:rPr>
        <w:t xml:space="preserve">beyond-the-meter </w:t>
      </w:r>
      <w:r w:rsidRPr="00CA0899">
        <w:rPr>
          <w:snapToGrid w:val="0"/>
        </w:rPr>
        <w:t xml:space="preserve">data of the </w:t>
      </w:r>
      <w:r w:rsidRPr="00DD6910" w:rsidR="00DD6910">
        <w:rPr>
          <w:bCs/>
          <w:snapToGrid w:val="0"/>
        </w:rPr>
        <w:t xml:space="preserve">Butte County </w:t>
      </w:r>
      <w:r w:rsidRPr="007E3713" w:rsidR="007E3713">
        <w:rPr>
          <w:bCs/>
          <w:iCs/>
          <w:snapToGrid w:val="0"/>
        </w:rPr>
        <w:t>Mobilehome Park</w:t>
      </w:r>
      <w:r w:rsidRPr="007E3713" w:rsidR="007E3713">
        <w:rPr>
          <w:bCs/>
          <w:snapToGrid w:val="0"/>
        </w:rPr>
        <w:t xml:space="preserve"> </w:t>
      </w:r>
      <w:r w:rsidRPr="00DD6910" w:rsidR="00DD6910">
        <w:rPr>
          <w:bCs/>
          <w:snapToGrid w:val="0"/>
        </w:rPr>
        <w:t>Rebuild Program</w:t>
      </w:r>
      <w:r w:rsidRPr="00CA0899">
        <w:rPr>
          <w:snapToGrid w:val="0"/>
        </w:rPr>
        <w:t xml:space="preserve">.  </w:t>
      </w:r>
      <w:r w:rsidR="00E57703">
        <w:rPr>
          <w:snapToGrid w:val="0"/>
        </w:rPr>
        <w:t>Both</w:t>
      </w:r>
      <w:r w:rsidRPr="00CA0899">
        <w:rPr>
          <w:snapToGrid w:val="0"/>
        </w:rPr>
        <w:t xml:space="preserve"> </w:t>
      </w:r>
      <w:r w:rsidR="000B17BA">
        <w:rPr>
          <w:snapToGrid w:val="0"/>
        </w:rPr>
        <w:t>public and</w:t>
      </w:r>
      <w:r w:rsidDel="00343B36" w:rsidR="000B17BA">
        <w:rPr>
          <w:snapToGrid w:val="0"/>
        </w:rPr>
        <w:t xml:space="preserve"> </w:t>
      </w:r>
      <w:r w:rsidRPr="00CA0899">
        <w:rPr>
          <w:snapToGrid w:val="0"/>
        </w:rPr>
        <w:t>confidential version</w:t>
      </w:r>
      <w:r w:rsidR="00E57703">
        <w:rPr>
          <w:snapToGrid w:val="0"/>
        </w:rPr>
        <w:t>s</w:t>
      </w:r>
      <w:r w:rsidRPr="00CA0899">
        <w:rPr>
          <w:snapToGrid w:val="0"/>
        </w:rPr>
        <w:t xml:space="preserve"> of the annual report </w:t>
      </w:r>
      <w:r w:rsidR="001738F0">
        <w:rPr>
          <w:snapToGrid w:val="0"/>
        </w:rPr>
        <w:t>shall</w:t>
      </w:r>
      <w:r w:rsidRPr="00CA0899" w:rsidR="001738F0">
        <w:rPr>
          <w:snapToGrid w:val="0"/>
        </w:rPr>
        <w:t xml:space="preserve"> </w:t>
      </w:r>
      <w:r w:rsidRPr="00CA0899">
        <w:rPr>
          <w:snapToGrid w:val="0"/>
        </w:rPr>
        <w:t xml:space="preserve">be submitted to Energy Division (ED) and Safety and Enforcement Division </w:t>
      </w:r>
      <w:r w:rsidRPr="00CA0899">
        <w:rPr>
          <w:snapToGrid w:val="0"/>
        </w:rPr>
        <w:lastRenderedPageBreak/>
        <w:t xml:space="preserve">(SED) </w:t>
      </w:r>
      <w:r w:rsidR="00343B36">
        <w:rPr>
          <w:snapToGrid w:val="0"/>
        </w:rPr>
        <w:t>by</w:t>
      </w:r>
      <w:r w:rsidRPr="00CA0899" w:rsidR="00343B36">
        <w:rPr>
          <w:snapToGrid w:val="0"/>
        </w:rPr>
        <w:t xml:space="preserve"> </w:t>
      </w:r>
      <w:r w:rsidRPr="00CA0899">
        <w:rPr>
          <w:snapToGrid w:val="0"/>
        </w:rPr>
        <w:t>March 1</w:t>
      </w:r>
      <w:r w:rsidRPr="00CA0899">
        <w:rPr>
          <w:snapToGrid w:val="0"/>
          <w:vertAlign w:val="superscript"/>
        </w:rPr>
        <w:t>st</w:t>
      </w:r>
      <w:r w:rsidRPr="00CA0899">
        <w:rPr>
          <w:snapToGrid w:val="0"/>
        </w:rPr>
        <w:t xml:space="preserve"> of each year until </w:t>
      </w:r>
      <w:r w:rsidR="00921DDF">
        <w:rPr>
          <w:snapToGrid w:val="0"/>
        </w:rPr>
        <w:t xml:space="preserve">the </w:t>
      </w:r>
      <w:r w:rsidRPr="00CA0899">
        <w:rPr>
          <w:snapToGrid w:val="0"/>
        </w:rPr>
        <w:t xml:space="preserve">closing of the </w:t>
      </w:r>
      <w:r w:rsidRPr="00B516DD" w:rsidR="00B516DD">
        <w:rPr>
          <w:bCs/>
          <w:snapToGrid w:val="0"/>
        </w:rPr>
        <w:t xml:space="preserve">Butte County </w:t>
      </w:r>
      <w:r w:rsidRPr="007E3713" w:rsidR="007E3713">
        <w:rPr>
          <w:bCs/>
          <w:iCs/>
          <w:snapToGrid w:val="0"/>
        </w:rPr>
        <w:t>Mobilehome Park</w:t>
      </w:r>
      <w:r w:rsidRPr="00B516DD" w:rsidR="00B516DD">
        <w:rPr>
          <w:bCs/>
          <w:snapToGrid w:val="0"/>
        </w:rPr>
        <w:t xml:space="preserve"> Rebuild Program</w:t>
      </w:r>
      <w:r w:rsidRPr="00CA0899">
        <w:rPr>
          <w:snapToGrid w:val="0"/>
        </w:rPr>
        <w:t>.</w:t>
      </w:r>
    </w:p>
    <w:p w:rsidRPr="00CA0899" w:rsidR="00CA0899" w:rsidP="005B6694" w:rsidRDefault="00CA0899" w14:paraId="523972EC" w14:textId="6CFE9BC4">
      <w:pPr>
        <w:numPr>
          <w:ilvl w:val="0"/>
          <w:numId w:val="39"/>
        </w:numPr>
        <w:rPr>
          <w:snapToGrid w:val="0"/>
        </w:rPr>
      </w:pPr>
      <w:r w:rsidRPr="00CA0899">
        <w:rPr>
          <w:snapToGrid w:val="0"/>
        </w:rPr>
        <w:t xml:space="preserve">PG&amp;E shall submit a Tier 1 </w:t>
      </w:r>
      <w:r w:rsidR="005E7B1D">
        <w:t xml:space="preserve">supplemental compliance </w:t>
      </w:r>
      <w:r w:rsidRPr="00CA0899">
        <w:rPr>
          <w:snapToGrid w:val="0"/>
        </w:rPr>
        <w:t xml:space="preserve">Advice Letter </w:t>
      </w:r>
      <w:r w:rsidRPr="00CD2B9E" w:rsidR="00CD2B9E">
        <w:rPr>
          <w:snapToGrid w:val="0"/>
        </w:rPr>
        <w:t xml:space="preserve">within </w:t>
      </w:r>
      <w:r w:rsidRPr="00CA0899">
        <w:rPr>
          <w:snapToGrid w:val="0"/>
        </w:rPr>
        <w:t xml:space="preserve">30 days </w:t>
      </w:r>
      <w:r w:rsidR="00D738C9">
        <w:rPr>
          <w:snapToGrid w:val="0"/>
        </w:rPr>
        <w:t>of</w:t>
      </w:r>
      <w:r w:rsidRPr="00CA0899" w:rsidR="00D738C9">
        <w:rPr>
          <w:snapToGrid w:val="0"/>
        </w:rPr>
        <w:t xml:space="preserve"> </w:t>
      </w:r>
      <w:r w:rsidRPr="00CA0899">
        <w:rPr>
          <w:snapToGrid w:val="0"/>
        </w:rPr>
        <w:t xml:space="preserve">the effective date of this Resolution </w:t>
      </w:r>
      <w:r w:rsidR="00EC4A43">
        <w:t xml:space="preserve">for </w:t>
      </w:r>
      <w:r w:rsidRPr="00383CEA" w:rsidR="00383CEA">
        <w:rPr>
          <w:bCs/>
          <w:snapToGrid w:val="0"/>
        </w:rPr>
        <w:t xml:space="preserve">the updated </w:t>
      </w:r>
      <w:r w:rsidRPr="00CA0899">
        <w:rPr>
          <w:snapToGrid w:val="0"/>
        </w:rPr>
        <w:t xml:space="preserve">Butte County </w:t>
      </w:r>
      <w:r w:rsidRPr="007E3713" w:rsidR="007E3713">
        <w:rPr>
          <w:bCs/>
          <w:iCs/>
          <w:snapToGrid w:val="0"/>
        </w:rPr>
        <w:t>Mobilehome Park</w:t>
      </w:r>
      <w:r w:rsidRPr="00CA0899">
        <w:rPr>
          <w:snapToGrid w:val="0"/>
        </w:rPr>
        <w:t xml:space="preserve"> Rebuild Program Agreement</w:t>
      </w:r>
      <w:r w:rsidR="00383CEA">
        <w:rPr>
          <w:snapToGrid w:val="0"/>
        </w:rPr>
        <w:t xml:space="preserve"> </w:t>
      </w:r>
      <w:r w:rsidRPr="00383CEA" w:rsidR="00383CEA">
        <w:rPr>
          <w:snapToGrid w:val="0"/>
        </w:rPr>
        <w:t>(Form 79-1201) in accordance with the requirements set forth in this Resolution</w:t>
      </w:r>
      <w:r w:rsidRPr="00CA0899">
        <w:rPr>
          <w:snapToGrid w:val="0"/>
        </w:rPr>
        <w:t>.</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864B46" w:rsidRDefault="00864B46" w14:paraId="12BF7E6D" w14:textId="77777777">
      <w:pPr>
        <w:tabs>
          <w:tab w:val="left" w:pos="720"/>
          <w:tab w:val="left" w:pos="1296"/>
          <w:tab w:val="left" w:pos="2016"/>
          <w:tab w:val="left" w:pos="2736"/>
          <w:tab w:val="left" w:pos="3456"/>
          <w:tab w:val="left" w:pos="4176"/>
          <w:tab w:val="left" w:pos="5760"/>
        </w:tabs>
      </w:pPr>
    </w:p>
    <w:p w:rsidR="00CF17DE" w:rsidRDefault="00CF17DE" w14:paraId="37DEE6CF" w14:textId="6620C8AD">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0FA17E3D">
      <w:pPr>
        <w:rPr>
          <w:snapToGrid w:val="0"/>
        </w:rPr>
      </w:pPr>
      <w:r>
        <w:rPr>
          <w:snapToGrid w:val="0"/>
        </w:rPr>
        <w:t>I certify that the foregoing resolution was duly introduced, passed and adopted at a conference of the Public Utilities Commission of the State of California held on</w:t>
      </w:r>
      <w:r w:rsidRPr="00B0130A" w:rsidR="00B0130A">
        <w:rPr>
          <w:b/>
          <w:sz w:val="24"/>
        </w:rPr>
        <w:t xml:space="preserve"> </w:t>
      </w:r>
      <w:r w:rsidR="0072564B">
        <w:rPr>
          <w:bCs/>
          <w:snapToGrid w:val="0"/>
        </w:rPr>
        <w:t>May 20</w:t>
      </w:r>
      <w:r w:rsidRPr="0094273D" w:rsidR="00B0130A">
        <w:rPr>
          <w:bCs/>
          <w:snapToGrid w:val="0"/>
        </w:rPr>
        <w:t>, 2021</w:t>
      </w:r>
      <w:r>
        <w:rPr>
          <w:snapToGrid w:val="0"/>
        </w:rPr>
        <w:t>; the following Commissioners voting favorably thereon:</w:t>
      </w:r>
    </w:p>
    <w:p w:rsidR="00CF17DE" w:rsidRDefault="00CF17DE" w14:paraId="2DA44F60" w14:textId="1051F291">
      <w:pPr>
        <w:tabs>
          <w:tab w:val="left" w:pos="720"/>
          <w:tab w:val="left" w:pos="1152"/>
          <w:tab w:val="left" w:pos="1728"/>
          <w:tab w:val="left" w:pos="3168"/>
          <w:tab w:val="left" w:pos="5040"/>
        </w:tabs>
        <w:ind w:right="144"/>
      </w:pPr>
    </w:p>
    <w:p w:rsidR="00677DB1" w:rsidRDefault="00677DB1" w14:paraId="32D35F59" w14:textId="77777777">
      <w:pPr>
        <w:tabs>
          <w:tab w:val="left" w:pos="720"/>
          <w:tab w:val="left" w:pos="1152"/>
          <w:tab w:val="left" w:pos="1728"/>
          <w:tab w:val="left" w:pos="3168"/>
          <w:tab w:val="left" w:pos="5040"/>
        </w:tabs>
        <w:ind w:right="144"/>
      </w:pPr>
    </w:p>
    <w:p w:rsidR="00677DB1" w:rsidP="00677DB1" w:rsidRDefault="00CF17DE" w14:paraId="254FDC47" w14:textId="77777777">
      <w:pPr>
        <w:tabs>
          <w:tab w:val="left" w:pos="720"/>
          <w:tab w:val="left" w:pos="1152"/>
          <w:tab w:val="left" w:pos="1728"/>
          <w:tab w:val="left" w:pos="3168"/>
          <w:tab w:val="left" w:pos="5040"/>
        </w:tabs>
        <w:ind w:right="144"/>
        <w:jc w:val="both"/>
        <w:rPr>
          <w:rFonts w:ascii="Palatino Linotype" w:hAnsi="Palatino Linotype"/>
          <w:szCs w:val="26"/>
          <w:u w:val="single"/>
        </w:rPr>
      </w:pPr>
      <w:r>
        <w:tab/>
      </w:r>
      <w:r>
        <w:tab/>
      </w:r>
      <w:r>
        <w:tab/>
      </w:r>
      <w:r>
        <w:tab/>
      </w:r>
      <w:r>
        <w:tab/>
      </w:r>
      <w:r>
        <w:tab/>
      </w:r>
      <w:r w:rsidR="00677DB1">
        <w:rPr>
          <w:rFonts w:ascii="Palatino Linotype" w:hAnsi="Palatino Linotype"/>
          <w:szCs w:val="26"/>
          <w:u w:val="single"/>
        </w:rPr>
        <w:t>/s/ Rachel Peterson</w:t>
      </w:r>
    </w:p>
    <w:p w:rsidR="00677DB1" w:rsidP="00677DB1" w:rsidRDefault="00677DB1" w14:paraId="03C2449F"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RACHEL PETERSON</w:t>
      </w:r>
    </w:p>
    <w:p w:rsidR="00677DB1" w:rsidP="00677DB1" w:rsidRDefault="00677DB1" w14:paraId="4ECF3D69"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Executive Director</w:t>
      </w:r>
    </w:p>
    <w:p w:rsidR="00677DB1" w:rsidP="00677DB1" w:rsidRDefault="00677DB1" w14:paraId="7F73C114"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p>
    <w:p w:rsidR="00677DB1" w:rsidP="00677DB1" w:rsidRDefault="00677DB1" w14:paraId="16C3179A" w14:textId="77777777">
      <w:pPr>
        <w:pStyle w:val="Default"/>
        <w:ind w:left="5040" w:firstLine="720"/>
        <w:rPr>
          <w:szCs w:val="26"/>
        </w:rPr>
      </w:pPr>
      <w:r>
        <w:rPr>
          <w:szCs w:val="26"/>
        </w:rPr>
        <w:t>MARYBEL BATJER</w:t>
      </w:r>
    </w:p>
    <w:p w:rsidR="00677DB1" w:rsidP="00677DB1" w:rsidRDefault="00677DB1" w14:paraId="556D21D2" w14:textId="77777777">
      <w:pPr>
        <w:pStyle w:val="Default"/>
        <w:rPr>
          <w:szCs w:val="26"/>
        </w:rPr>
      </w:pPr>
      <w:r>
        <w:rPr>
          <w:szCs w:val="26"/>
        </w:rPr>
        <w:tab/>
      </w:r>
      <w:r>
        <w:rPr>
          <w:szCs w:val="26"/>
        </w:rPr>
        <w:tab/>
      </w:r>
      <w:r>
        <w:rPr>
          <w:szCs w:val="26"/>
        </w:rPr>
        <w:tab/>
      </w:r>
      <w:r>
        <w:rPr>
          <w:szCs w:val="26"/>
        </w:rPr>
        <w:tab/>
      </w:r>
      <w:r>
        <w:rPr>
          <w:szCs w:val="26"/>
        </w:rPr>
        <w:tab/>
        <w:t xml:space="preserve">      </w:t>
      </w:r>
      <w:r>
        <w:rPr>
          <w:szCs w:val="26"/>
        </w:rPr>
        <w:tab/>
      </w:r>
      <w:r>
        <w:rPr>
          <w:szCs w:val="26"/>
        </w:rPr>
        <w:tab/>
      </w:r>
      <w:r>
        <w:rPr>
          <w:szCs w:val="26"/>
        </w:rPr>
        <w:tab/>
      </w:r>
      <w:r>
        <w:rPr>
          <w:szCs w:val="26"/>
        </w:rPr>
        <w:tab/>
        <w:t>President</w:t>
      </w:r>
    </w:p>
    <w:p w:rsidR="00677DB1" w:rsidP="00677DB1" w:rsidRDefault="00677DB1" w14:paraId="56B75BF1"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MARTHA GUZMAN ACEVES </w:t>
      </w:r>
    </w:p>
    <w:p w:rsidR="00677DB1" w:rsidP="00677DB1" w:rsidRDefault="00677DB1" w14:paraId="534F008B" w14:textId="77777777">
      <w:pPr>
        <w:pStyle w:val="Default"/>
        <w:ind w:left="5760"/>
        <w:rPr>
          <w:szCs w:val="26"/>
        </w:rPr>
      </w:pPr>
      <w:r>
        <w:rPr>
          <w:szCs w:val="26"/>
        </w:rPr>
        <w:t>CLIFFORD RECHTSCHAFFEN</w:t>
      </w:r>
    </w:p>
    <w:p w:rsidR="00677DB1" w:rsidP="00677DB1" w:rsidRDefault="00677DB1" w14:paraId="18D4C617" w14:textId="77777777">
      <w:pPr>
        <w:pStyle w:val="Default"/>
        <w:ind w:left="5760"/>
        <w:rPr>
          <w:szCs w:val="26"/>
        </w:rPr>
      </w:pPr>
      <w:r>
        <w:rPr>
          <w:szCs w:val="26"/>
        </w:rPr>
        <w:t>GENEVIEVE SHIROMA</w:t>
      </w:r>
    </w:p>
    <w:p w:rsidR="00677DB1" w:rsidP="00677DB1" w:rsidRDefault="00677DB1" w14:paraId="35C021EB" w14:textId="77777777">
      <w:pPr>
        <w:pStyle w:val="Default"/>
        <w:ind w:left="5760"/>
        <w:rPr>
          <w:szCs w:val="26"/>
        </w:rPr>
      </w:pPr>
      <w:r>
        <w:rPr>
          <w:szCs w:val="26"/>
        </w:rPr>
        <w:t>DARCIE HOUCK</w:t>
      </w:r>
    </w:p>
    <w:p w:rsidR="00677DB1" w:rsidP="00677DB1" w:rsidRDefault="00677DB1" w14:paraId="26E20BBD" w14:textId="77777777">
      <w:pPr>
        <w:pStyle w:val="Default"/>
        <w:rPr>
          <w:sz w:val="26"/>
          <w:szCs w:val="26"/>
        </w:rPr>
      </w:pPr>
      <w:r>
        <w:rPr>
          <w:szCs w:val="26"/>
        </w:rPr>
        <w:tab/>
      </w:r>
      <w:r>
        <w:rPr>
          <w:szCs w:val="26"/>
        </w:rPr>
        <w:tab/>
      </w:r>
      <w:r>
        <w:rPr>
          <w:szCs w:val="26"/>
        </w:rPr>
        <w:tab/>
      </w:r>
      <w:r>
        <w:rPr>
          <w:szCs w:val="26"/>
        </w:rPr>
        <w:tab/>
      </w:r>
      <w:r>
        <w:rPr>
          <w:szCs w:val="26"/>
        </w:rPr>
        <w:tab/>
      </w:r>
      <w:r>
        <w:rPr>
          <w:szCs w:val="26"/>
        </w:rPr>
        <w:tab/>
      </w:r>
      <w:r>
        <w:rPr>
          <w:szCs w:val="26"/>
        </w:rPr>
        <w:tab/>
        <w:t xml:space="preserve">       </w:t>
      </w:r>
      <w:r>
        <w:rPr>
          <w:szCs w:val="26"/>
        </w:rPr>
        <w:tab/>
      </w:r>
      <w:r>
        <w:rPr>
          <w:szCs w:val="26"/>
        </w:rPr>
        <w:tab/>
        <w:t>Commissioners</w:t>
      </w:r>
    </w:p>
    <w:p w:rsidR="00CF17DE" w:rsidP="00677DB1" w:rsidRDefault="00CF17DE" w14:paraId="363F8E7E" w14:textId="48E9238E">
      <w:pPr>
        <w:tabs>
          <w:tab w:val="left" w:pos="720"/>
          <w:tab w:val="left" w:pos="1152"/>
          <w:tab w:val="left" w:pos="1728"/>
          <w:tab w:val="left" w:pos="3168"/>
          <w:tab w:val="left" w:pos="5040"/>
        </w:tabs>
        <w:ind w:right="144"/>
      </w:pPr>
    </w:p>
    <w:p w:rsidR="0034263D" w:rsidRDefault="0034263D" w14:paraId="0E398408" w14:textId="4F8AD62F"/>
    <w:p w:rsidR="0034263D" w:rsidRDefault="0034263D" w14:paraId="07661703" w14:textId="77777777"/>
    <w:p w:rsidR="00C61699" w:rsidRDefault="00C61699" w14:paraId="6377BB4D" w14:textId="77777777"/>
    <w:p w:rsidR="00C61699" w:rsidRDefault="00C61699" w14:paraId="193A3427" w14:textId="77777777"/>
    <w:p w:rsidR="00C61699" w:rsidRDefault="00C61699" w14:paraId="47CE19C1" w14:textId="77777777"/>
    <w:p w:rsidR="00C61699" w:rsidRDefault="00C61699" w14:paraId="4E7D0169" w14:textId="77777777"/>
    <w:p w:rsidR="00C61699" w:rsidRDefault="00C61699" w14:paraId="5E9D9C4D" w14:textId="77777777"/>
    <w:p w:rsidR="00C61699" w:rsidRDefault="00C61699" w14:paraId="1B8E7146" w14:textId="77777777"/>
    <w:p w:rsidR="00C61699" w:rsidRDefault="00C61699" w14:paraId="706B4FD8" w14:textId="77777777"/>
    <w:p w:rsidR="00C61699" w:rsidRDefault="00C61699" w14:paraId="24A2AB3D" w14:textId="77777777"/>
    <w:p w:rsidR="00C61699" w:rsidRDefault="00C61699" w14:paraId="212C3A6F" w14:textId="77777777"/>
    <w:p w:rsidR="00C61699" w:rsidRDefault="00C61699" w14:paraId="47AF58A3" w14:textId="77777777"/>
    <w:p w:rsidR="00C61699" w:rsidRDefault="00C61699" w14:paraId="3E9A852B" w14:textId="77777777"/>
    <w:p w:rsidR="00C61699" w:rsidRDefault="00C61699" w14:paraId="4198B123" w14:textId="77777777"/>
    <w:p w:rsidR="00C61699" w:rsidRDefault="00C61699" w14:paraId="6D10D085" w14:textId="77777777"/>
    <w:p w:rsidR="00C61699" w:rsidRDefault="00C61699" w14:paraId="12F27FBA" w14:textId="77777777"/>
    <w:p w:rsidR="00C61699" w:rsidRDefault="00C61699" w14:paraId="29E043D9" w14:textId="77777777"/>
    <w:p w:rsidR="00C61699" w:rsidRDefault="00C61699" w14:paraId="25919FA0" w14:textId="77777777"/>
    <w:p w:rsidR="00C61699" w:rsidRDefault="00C61699" w14:paraId="0DEE7DD3" w14:textId="77777777"/>
    <w:p w:rsidR="00C61699" w:rsidRDefault="00C61699" w14:paraId="552863EA" w14:textId="77777777"/>
    <w:p w:rsidR="00C61699" w:rsidRDefault="00C61699" w14:paraId="2762625D" w14:textId="77777777"/>
    <w:p w:rsidR="00C61699" w:rsidRDefault="00C61699" w14:paraId="158639E4" w14:textId="77777777"/>
    <w:p w:rsidR="00C61699" w:rsidRDefault="00C61699" w14:paraId="79DAB758" w14:textId="77777777"/>
    <w:p w:rsidR="00C61699" w:rsidRDefault="00C61699" w14:paraId="040A5A11" w14:textId="77777777"/>
    <w:p w:rsidR="00C61699" w:rsidRDefault="00C61699" w14:paraId="271B622E" w14:textId="77777777"/>
    <w:p w:rsidR="00C61699" w:rsidRDefault="00C61699" w14:paraId="3C948429" w14:textId="1C2DE0F2">
      <w:pPr>
        <w:sectPr w:rsidR="00C6169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pPr>
    </w:p>
    <w:p w:rsidRPr="009A7587" w:rsidR="003A681C" w:rsidP="0049161F" w:rsidRDefault="003A681C" w14:paraId="22B870F3" w14:textId="667A95A4">
      <w:pPr>
        <w:keepNext/>
        <w:keepLines/>
        <w:spacing w:before="120"/>
        <w:outlineLvl w:val="0"/>
        <w:rPr>
          <w:rFonts w:ascii="Palatino Linotype" w:hAnsi="Palatino Linotype"/>
          <w:b/>
          <w:bCs/>
          <w:sz w:val="32"/>
          <w:szCs w:val="28"/>
        </w:rPr>
      </w:pPr>
      <w:bookmarkStart w:name="_Toc30160374" w:id="47"/>
      <w:bookmarkStart w:name="_Toc30152244" w:id="48"/>
      <w:bookmarkStart w:name="_Toc31798732" w:id="49"/>
      <w:r w:rsidRPr="009A7587">
        <w:rPr>
          <w:rFonts w:ascii="Palatino Linotype" w:hAnsi="Palatino Linotype"/>
          <w:b/>
          <w:bCs/>
          <w:sz w:val="32"/>
          <w:szCs w:val="28"/>
        </w:rPr>
        <w:lastRenderedPageBreak/>
        <w:t xml:space="preserve">Appendix </w:t>
      </w:r>
      <w:bookmarkEnd w:id="47"/>
      <w:bookmarkEnd w:id="48"/>
      <w:bookmarkEnd w:id="49"/>
      <w:r w:rsidRPr="009A7587">
        <w:rPr>
          <w:rFonts w:ascii="Palatino Linotype" w:hAnsi="Palatino Linotype"/>
          <w:b/>
          <w:bCs/>
          <w:sz w:val="32"/>
          <w:szCs w:val="28"/>
        </w:rPr>
        <w:t>A</w:t>
      </w:r>
    </w:p>
    <w:p w:rsidRPr="009A7587" w:rsidR="003A681C" w:rsidP="003A681C" w:rsidRDefault="003A681C" w14:paraId="18D1DA7E" w14:textId="77777777">
      <w:pPr>
        <w:keepNext/>
        <w:keepLines/>
        <w:outlineLvl w:val="0"/>
        <w:rPr>
          <w:rFonts w:ascii="Palatino Linotype" w:hAnsi="Palatino Linotype"/>
          <w:b/>
          <w:bCs/>
          <w:sz w:val="32"/>
          <w:szCs w:val="28"/>
        </w:rPr>
      </w:pPr>
    </w:p>
    <w:p w:rsidRPr="009A7587" w:rsidR="003A681C" w:rsidP="009A7587" w:rsidRDefault="003A681C" w14:paraId="45B7E0CD" w14:textId="024C47DC">
      <w:pPr>
        <w:keepNext/>
        <w:keepLines/>
        <w:spacing w:before="40" w:line="276" w:lineRule="auto"/>
        <w:outlineLvl w:val="1"/>
        <w:rPr>
          <w:rFonts w:ascii="Palatino Linotype" w:hAnsi="Palatino Linotype"/>
          <w:szCs w:val="26"/>
        </w:rPr>
      </w:pPr>
      <w:bookmarkStart w:name="_Toc30160375" w:id="50"/>
      <w:bookmarkStart w:name="_Toc31798733" w:id="51"/>
      <w:r w:rsidRPr="009A7587">
        <w:rPr>
          <w:rFonts w:ascii="Palatino Linotype" w:hAnsi="Palatino Linotype"/>
          <w:szCs w:val="26"/>
        </w:rPr>
        <w:t xml:space="preserve">Table </w:t>
      </w:r>
      <w:r w:rsidR="00523767">
        <w:rPr>
          <w:rFonts w:ascii="Palatino Linotype" w:hAnsi="Palatino Linotype"/>
          <w:szCs w:val="26"/>
        </w:rPr>
        <w:t>1</w:t>
      </w:r>
      <w:r w:rsidRPr="009A7587">
        <w:rPr>
          <w:rFonts w:ascii="Palatino Linotype" w:hAnsi="Palatino Linotype"/>
          <w:szCs w:val="26"/>
        </w:rPr>
        <w:t>: Annual Report Data Template for 201</w:t>
      </w:r>
      <w:bookmarkEnd w:id="50"/>
      <w:r w:rsidRPr="009A7587">
        <w:rPr>
          <w:rFonts w:ascii="Palatino Linotype" w:hAnsi="Palatino Linotype"/>
          <w:szCs w:val="26"/>
        </w:rPr>
        <w:t>9 – 2024</w:t>
      </w:r>
      <w:bookmarkEnd w:id="51"/>
    </w:p>
    <w:p w:rsidRPr="003A681C" w:rsidR="003A681C" w:rsidP="003A681C" w:rsidRDefault="003A681C" w14:paraId="3A37E7D3" w14:textId="77777777">
      <w:pPr>
        <w:spacing w:line="276" w:lineRule="auto"/>
        <w:rPr>
          <w:rFonts w:ascii="Palatino Linotype" w:hAnsi="Palatino Linotype" w:eastAsia="Calibri"/>
          <w:sz w:val="22"/>
          <w:szCs w:val="22"/>
        </w:rPr>
      </w:pPr>
    </w:p>
    <w:tbl>
      <w:tblPr>
        <w:tblW w:w="11510" w:type="dxa"/>
        <w:tblLayout w:type="fixed"/>
        <w:tblLook w:val="04A0" w:firstRow="1" w:lastRow="0" w:firstColumn="1" w:lastColumn="0" w:noHBand="0" w:noVBand="1"/>
      </w:tblPr>
      <w:tblGrid>
        <w:gridCol w:w="6"/>
        <w:gridCol w:w="3370"/>
        <w:gridCol w:w="18"/>
        <w:gridCol w:w="3758"/>
        <w:gridCol w:w="90"/>
        <w:gridCol w:w="627"/>
        <w:gridCol w:w="90"/>
        <w:gridCol w:w="627"/>
        <w:gridCol w:w="179"/>
        <w:gridCol w:w="537"/>
        <w:gridCol w:w="179"/>
        <w:gridCol w:w="537"/>
        <w:gridCol w:w="179"/>
        <w:gridCol w:w="538"/>
        <w:gridCol w:w="83"/>
        <w:gridCol w:w="236"/>
        <w:gridCol w:w="456"/>
      </w:tblGrid>
      <w:tr w:rsidRPr="003A681C" w:rsidR="001E05A5" w:rsidTr="249DB94A" w14:paraId="7C898A59" w14:textId="77777777">
        <w:trPr>
          <w:gridBefore w:val="1"/>
          <w:wBefore w:w="6" w:type="dxa"/>
          <w:trHeight w:val="420"/>
        </w:trPr>
        <w:tc>
          <w:tcPr>
            <w:tcW w:w="3370" w:type="dxa"/>
            <w:tcBorders>
              <w:top w:val="single" w:color="auto" w:sz="8" w:space="0"/>
              <w:left w:val="single" w:color="auto" w:sz="8" w:space="0"/>
              <w:bottom w:val="nil"/>
              <w:right w:val="double" w:color="auto" w:sz="6" w:space="0"/>
            </w:tcBorders>
            <w:shd w:val="clear" w:color="auto" w:fill="203764"/>
            <w:noWrap/>
            <w:vAlign w:val="center"/>
            <w:hideMark/>
          </w:tcPr>
          <w:p w:rsidRPr="003A681C" w:rsidR="001E05A5" w:rsidP="003A681C" w:rsidRDefault="001E05A5" w14:paraId="0DC54AD8" w14:textId="77777777">
            <w:pPr>
              <w:rPr>
                <w:rFonts w:ascii="Palatino Linotype" w:hAnsi="Palatino Linotype" w:cs="Calibri"/>
                <w:b/>
                <w:bCs/>
                <w:color w:val="FFFFFF"/>
                <w:sz w:val="32"/>
                <w:szCs w:val="32"/>
              </w:rPr>
            </w:pPr>
            <w:r w:rsidRPr="003A681C">
              <w:rPr>
                <w:rFonts w:ascii="Palatino Linotype" w:hAnsi="Palatino Linotype" w:cs="Calibri"/>
                <w:b/>
                <w:bCs/>
                <w:color w:val="FFFFFF"/>
                <w:sz w:val="32"/>
                <w:szCs w:val="32"/>
              </w:rPr>
              <w:t xml:space="preserve">Annual Report Template </w:t>
            </w:r>
            <w:r w:rsidRPr="003A681C">
              <w:rPr>
                <w:rFonts w:ascii="Palatino Linotype" w:hAnsi="Palatino Linotype" w:cs="Calibri"/>
                <w:b/>
                <w:color w:val="FFFFFF"/>
                <w:sz w:val="24"/>
                <w:szCs w:val="24"/>
                <w:vertAlign w:val="superscript"/>
              </w:rPr>
              <w:footnoteReference w:id="170"/>
            </w:r>
          </w:p>
        </w:tc>
        <w:tc>
          <w:tcPr>
            <w:tcW w:w="3776" w:type="dxa"/>
            <w:gridSpan w:val="2"/>
            <w:noWrap/>
            <w:vAlign w:val="bottom"/>
            <w:hideMark/>
          </w:tcPr>
          <w:p w:rsidRPr="003A681C" w:rsidR="001E05A5" w:rsidP="003A681C" w:rsidRDefault="001E05A5" w14:paraId="64D4F4FE" w14:textId="77777777">
            <w:pPr>
              <w:spacing w:after="200" w:line="276" w:lineRule="auto"/>
              <w:rPr>
                <w:rFonts w:ascii="Palatino Linotype" w:hAnsi="Palatino Linotype" w:cs="Calibri"/>
                <w:b/>
                <w:bCs/>
                <w:color w:val="FFFFFF"/>
                <w:sz w:val="32"/>
                <w:szCs w:val="32"/>
              </w:rPr>
            </w:pPr>
          </w:p>
        </w:tc>
        <w:tc>
          <w:tcPr>
            <w:tcW w:w="4358" w:type="dxa"/>
            <w:gridSpan w:val="13"/>
            <w:tcBorders>
              <w:right w:val="double" w:color="000000" w:themeColor="text1" w:sz="6" w:space="0"/>
            </w:tcBorders>
            <w:shd w:val="clear" w:color="auto" w:fill="5B9BD5"/>
            <w:vAlign w:val="center"/>
          </w:tcPr>
          <w:p w:rsidRPr="003A681C" w:rsidR="001E05A5" w:rsidP="003A681C" w:rsidRDefault="001E05A5" w14:paraId="58C79AC6" w14:textId="37D7F5DD">
            <w:pPr>
              <w:jc w:val="center"/>
              <w:rPr>
                <w:rFonts w:ascii="Palatino Linotype" w:hAnsi="Palatino Linotype" w:cs="Calibri"/>
                <w:b/>
                <w:bCs/>
                <w:color w:val="FFFFFF"/>
                <w:sz w:val="22"/>
                <w:szCs w:val="22"/>
              </w:rPr>
            </w:pPr>
            <w:r w:rsidRPr="003A681C">
              <w:rPr>
                <w:rFonts w:ascii="Palatino Linotype" w:hAnsi="Palatino Linotype" w:cs="Calibri"/>
                <w:b/>
                <w:bCs/>
                <w:color w:val="FFFFFF"/>
                <w:sz w:val="22"/>
                <w:szCs w:val="22"/>
              </w:rPr>
              <w:t>Per-year costs (not cumulative)</w:t>
            </w:r>
          </w:p>
        </w:tc>
      </w:tr>
      <w:tr w:rsidRPr="003A681C" w:rsidR="00B31578" w:rsidTr="00F07CFF" w14:paraId="459F379D" w14:textId="77777777">
        <w:trPr>
          <w:gridBefore w:val="1"/>
          <w:wBefore w:w="6" w:type="dxa"/>
          <w:trHeight w:val="315"/>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3A681C" w:rsidRDefault="00B31578" w14:paraId="438D722A"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24619C96" w14:textId="77777777">
            <w:pPr>
              <w:jc w:val="cente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Descriptor</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4FC0EC79" w14:textId="77777777">
            <w:pPr>
              <w:jc w:val="cente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2019</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73CD0D3" w14:textId="77777777">
            <w:pPr>
              <w:jc w:val="cente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2020</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323F396" w14:textId="77777777">
            <w:pPr>
              <w:jc w:val="cente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2021</w:t>
            </w:r>
          </w:p>
        </w:tc>
        <w:tc>
          <w:tcPr>
            <w:tcW w:w="716" w:type="dxa"/>
            <w:gridSpan w:val="2"/>
            <w:tcBorders>
              <w:top w:val="single" w:color="auto" w:sz="4" w:space="0"/>
              <w:left w:val="nil"/>
              <w:bottom w:val="single" w:color="auto" w:sz="4" w:space="0"/>
              <w:right w:val="single" w:color="auto" w:sz="4" w:space="0"/>
            </w:tcBorders>
            <w:hideMark/>
          </w:tcPr>
          <w:p w:rsidRPr="003A681C" w:rsidR="00B31578" w:rsidP="003A681C" w:rsidRDefault="00B31578" w14:paraId="05449F88" w14:textId="77777777">
            <w:pPr>
              <w:jc w:val="cente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2022</w:t>
            </w:r>
          </w:p>
        </w:tc>
        <w:tc>
          <w:tcPr>
            <w:tcW w:w="717" w:type="dxa"/>
            <w:gridSpan w:val="2"/>
            <w:tcBorders>
              <w:top w:val="single" w:color="auto" w:sz="4" w:space="0"/>
              <w:left w:val="nil"/>
              <w:bottom w:val="single" w:color="auto" w:sz="4" w:space="0"/>
              <w:right w:val="single" w:color="auto" w:sz="4" w:space="0"/>
            </w:tcBorders>
            <w:hideMark/>
          </w:tcPr>
          <w:p w:rsidRPr="003A681C" w:rsidR="00B31578" w:rsidP="003A681C" w:rsidRDefault="00B31578" w14:paraId="34A8D64F" w14:textId="77777777">
            <w:pPr>
              <w:jc w:val="cente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2023</w:t>
            </w:r>
          </w:p>
        </w:tc>
        <w:tc>
          <w:tcPr>
            <w:tcW w:w="775" w:type="dxa"/>
            <w:gridSpan w:val="3"/>
            <w:tcBorders>
              <w:top w:val="single" w:color="auto" w:sz="4" w:space="0"/>
              <w:left w:val="nil"/>
              <w:bottom w:val="single" w:color="auto" w:sz="4" w:space="0"/>
              <w:right w:val="single" w:color="auto" w:sz="4" w:space="0"/>
            </w:tcBorders>
          </w:tcPr>
          <w:p w:rsidRPr="003A681C" w:rsidR="00B31578" w:rsidP="00B62E69" w:rsidRDefault="00B31578" w14:paraId="4C326D7D" w14:textId="3B91564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2024</w:t>
            </w:r>
          </w:p>
        </w:tc>
      </w:tr>
      <w:tr w:rsidRPr="003A681C" w:rsidR="00B31578" w:rsidTr="00F07CFF" w14:paraId="1F63A13A" w14:textId="77777777">
        <w:trPr>
          <w:gridBefore w:val="1"/>
          <w:wBefore w:w="6" w:type="dxa"/>
          <w:trHeight w:val="300"/>
        </w:trPr>
        <w:tc>
          <w:tcPr>
            <w:tcW w:w="3370" w:type="dxa"/>
            <w:tcBorders>
              <w:top w:val="nil"/>
              <w:left w:val="nil"/>
              <w:bottom w:val="single" w:color="auto" w:sz="4" w:space="0"/>
              <w:right w:val="nil"/>
            </w:tcBorders>
            <w:noWrap/>
            <w:vAlign w:val="bottom"/>
            <w:hideMark/>
          </w:tcPr>
          <w:p w:rsidRPr="003A681C" w:rsidR="00B31578" w:rsidP="003A681C" w:rsidRDefault="00B31578" w14:paraId="08256EC3" w14:textId="77777777">
            <w:pPr>
              <w:spacing w:after="200" w:line="276" w:lineRule="auto"/>
              <w:rPr>
                <w:rFonts w:ascii="Palatino Linotype" w:hAnsi="Palatino Linotype" w:eastAsia="Calibri"/>
                <w:sz w:val="22"/>
                <w:szCs w:val="22"/>
              </w:rPr>
            </w:pPr>
          </w:p>
        </w:tc>
        <w:tc>
          <w:tcPr>
            <w:tcW w:w="3776" w:type="dxa"/>
            <w:gridSpan w:val="2"/>
            <w:tcBorders>
              <w:top w:val="nil"/>
              <w:left w:val="nil"/>
              <w:bottom w:val="single" w:color="auto" w:sz="4" w:space="0"/>
              <w:right w:val="nil"/>
            </w:tcBorders>
            <w:noWrap/>
            <w:vAlign w:val="bottom"/>
            <w:hideMark/>
          </w:tcPr>
          <w:p w:rsidRPr="003A681C" w:rsidR="00B31578" w:rsidP="003A681C" w:rsidRDefault="00B31578" w14:paraId="1F16D176" w14:textId="77777777">
            <w:pPr>
              <w:spacing w:line="276" w:lineRule="auto"/>
              <w:rPr>
                <w:rFonts w:ascii="Palatino Linotype" w:hAnsi="Palatino Linotype" w:eastAsia="Calibri"/>
                <w:sz w:val="20"/>
              </w:rPr>
            </w:pPr>
          </w:p>
        </w:tc>
        <w:tc>
          <w:tcPr>
            <w:tcW w:w="717" w:type="dxa"/>
            <w:gridSpan w:val="2"/>
            <w:tcBorders>
              <w:top w:val="nil"/>
              <w:left w:val="nil"/>
              <w:bottom w:val="single" w:color="auto" w:sz="4" w:space="0"/>
              <w:right w:val="nil"/>
            </w:tcBorders>
            <w:noWrap/>
            <w:vAlign w:val="bottom"/>
            <w:hideMark/>
          </w:tcPr>
          <w:p w:rsidRPr="003A681C" w:rsidR="00B31578" w:rsidP="003A681C" w:rsidRDefault="00B31578" w14:paraId="496E4C32" w14:textId="77777777">
            <w:pPr>
              <w:spacing w:line="276" w:lineRule="auto"/>
              <w:rPr>
                <w:rFonts w:ascii="Palatino Linotype" w:hAnsi="Palatino Linotype" w:eastAsia="Calibri"/>
                <w:sz w:val="20"/>
              </w:rPr>
            </w:pPr>
          </w:p>
        </w:tc>
        <w:tc>
          <w:tcPr>
            <w:tcW w:w="717" w:type="dxa"/>
            <w:gridSpan w:val="2"/>
            <w:tcBorders>
              <w:top w:val="nil"/>
              <w:left w:val="nil"/>
              <w:bottom w:val="single" w:color="auto" w:sz="4" w:space="0"/>
              <w:right w:val="nil"/>
            </w:tcBorders>
            <w:noWrap/>
            <w:vAlign w:val="bottom"/>
            <w:hideMark/>
          </w:tcPr>
          <w:p w:rsidRPr="003A681C" w:rsidR="00B31578" w:rsidP="003A681C" w:rsidRDefault="00B31578" w14:paraId="276DFA13" w14:textId="77777777">
            <w:pPr>
              <w:spacing w:line="276" w:lineRule="auto"/>
              <w:rPr>
                <w:rFonts w:ascii="Palatino Linotype" w:hAnsi="Palatino Linotype" w:eastAsia="Calibri"/>
                <w:sz w:val="20"/>
              </w:rPr>
            </w:pPr>
          </w:p>
        </w:tc>
        <w:tc>
          <w:tcPr>
            <w:tcW w:w="716" w:type="dxa"/>
            <w:gridSpan w:val="2"/>
            <w:tcBorders>
              <w:top w:val="nil"/>
              <w:left w:val="nil"/>
              <w:bottom w:val="single" w:color="auto" w:sz="4" w:space="0"/>
              <w:right w:val="nil"/>
            </w:tcBorders>
            <w:noWrap/>
            <w:vAlign w:val="bottom"/>
            <w:hideMark/>
          </w:tcPr>
          <w:p w:rsidRPr="003A681C" w:rsidR="00B31578" w:rsidP="003A681C" w:rsidRDefault="00B31578" w14:paraId="411F718F" w14:textId="77777777">
            <w:pPr>
              <w:spacing w:line="276" w:lineRule="auto"/>
              <w:rPr>
                <w:rFonts w:ascii="Palatino Linotype" w:hAnsi="Palatino Linotype" w:eastAsia="Calibri"/>
                <w:sz w:val="20"/>
              </w:rPr>
            </w:pPr>
          </w:p>
        </w:tc>
        <w:tc>
          <w:tcPr>
            <w:tcW w:w="716" w:type="dxa"/>
            <w:gridSpan w:val="2"/>
            <w:tcBorders>
              <w:top w:val="nil"/>
              <w:left w:val="nil"/>
              <w:bottom w:val="single" w:color="auto" w:sz="4" w:space="0"/>
              <w:right w:val="nil"/>
            </w:tcBorders>
          </w:tcPr>
          <w:p w:rsidRPr="003A681C" w:rsidR="00B31578" w:rsidP="003A681C" w:rsidRDefault="00B31578" w14:paraId="6E545FCD" w14:textId="77777777">
            <w:pPr>
              <w:rPr>
                <w:rFonts w:ascii="Palatino Linotype" w:hAnsi="Palatino Linotype"/>
                <w:sz w:val="20"/>
              </w:rPr>
            </w:pPr>
          </w:p>
        </w:tc>
        <w:tc>
          <w:tcPr>
            <w:tcW w:w="717" w:type="dxa"/>
            <w:gridSpan w:val="2"/>
            <w:tcBorders>
              <w:top w:val="nil"/>
              <w:left w:val="nil"/>
              <w:bottom w:val="single" w:color="auto" w:sz="4" w:space="0"/>
              <w:right w:val="nil"/>
            </w:tcBorders>
          </w:tcPr>
          <w:p w:rsidRPr="003A681C" w:rsidR="00B31578" w:rsidP="003A681C" w:rsidRDefault="00B31578" w14:paraId="35EC280B" w14:textId="77777777">
            <w:pPr>
              <w:rPr>
                <w:rFonts w:ascii="Palatino Linotype" w:hAnsi="Palatino Linotype"/>
                <w:sz w:val="20"/>
              </w:rPr>
            </w:pPr>
          </w:p>
        </w:tc>
        <w:tc>
          <w:tcPr>
            <w:tcW w:w="319" w:type="dxa"/>
            <w:gridSpan w:val="2"/>
            <w:tcBorders>
              <w:top w:val="nil"/>
              <w:left w:val="nil"/>
              <w:bottom w:val="single" w:color="auto" w:sz="4" w:space="0"/>
              <w:right w:val="nil"/>
            </w:tcBorders>
          </w:tcPr>
          <w:p w:rsidRPr="003A681C" w:rsidR="00B31578" w:rsidP="003A681C" w:rsidRDefault="00B31578" w14:paraId="62048A90" w14:textId="77777777">
            <w:pPr>
              <w:rPr>
                <w:rFonts w:ascii="Palatino Linotype" w:hAnsi="Palatino Linotype"/>
                <w:sz w:val="20"/>
              </w:rPr>
            </w:pPr>
          </w:p>
        </w:tc>
        <w:tc>
          <w:tcPr>
            <w:tcW w:w="456" w:type="dxa"/>
            <w:tcBorders>
              <w:top w:val="nil"/>
              <w:left w:val="nil"/>
              <w:bottom w:val="single" w:color="auto" w:sz="4" w:space="0"/>
              <w:right w:val="nil"/>
            </w:tcBorders>
          </w:tcPr>
          <w:p w:rsidRPr="003A681C" w:rsidR="00B31578" w:rsidP="003A681C" w:rsidRDefault="00B31578" w14:paraId="3FC90F7A" w14:textId="4E31A7F0">
            <w:pPr>
              <w:rPr>
                <w:rFonts w:ascii="Palatino Linotype" w:hAnsi="Palatino Linotype"/>
                <w:sz w:val="20"/>
              </w:rPr>
            </w:pPr>
          </w:p>
        </w:tc>
      </w:tr>
      <w:tr w:rsidRPr="00066660" w:rsidR="001E05A5" w:rsidTr="00F07CFF" w14:paraId="71038776" w14:textId="77777777">
        <w:trPr>
          <w:gridBefore w:val="1"/>
          <w:wBefore w:w="6" w:type="dxa"/>
          <w:trHeight w:val="315"/>
        </w:trPr>
        <w:tc>
          <w:tcPr>
            <w:tcW w:w="11504" w:type="dxa"/>
            <w:gridSpan w:val="16"/>
            <w:tcBorders>
              <w:top w:val="single" w:color="auto" w:sz="4" w:space="0"/>
              <w:left w:val="single" w:color="auto" w:sz="4" w:space="0"/>
              <w:bottom w:val="single" w:color="auto" w:sz="4" w:space="0"/>
              <w:right w:val="single" w:color="auto" w:sz="4" w:space="0"/>
            </w:tcBorders>
            <w:shd w:val="clear" w:color="auto" w:fill="D9E1F2"/>
          </w:tcPr>
          <w:p w:rsidRPr="00B62E69" w:rsidR="001E05A5" w:rsidP="00696928" w:rsidRDefault="001E05A5" w14:paraId="4C2CE2BF" w14:textId="4EC2E713">
            <w:pPr>
              <w:jc w:val="center"/>
              <w:rPr>
                <w:rFonts w:ascii="Palatino Linotype" w:hAnsi="Palatino Linotype" w:cs="Calibri"/>
                <w:b/>
                <w:bCs/>
                <w:color w:val="000000"/>
                <w:sz w:val="28"/>
                <w:szCs w:val="28"/>
              </w:rPr>
            </w:pPr>
            <w:r w:rsidRPr="00B62E69">
              <w:rPr>
                <w:rFonts w:ascii="Palatino Linotype" w:hAnsi="Palatino Linotype" w:cs="Calibri"/>
                <w:b/>
                <w:bCs/>
                <w:color w:val="000000"/>
                <w:sz w:val="28"/>
                <w:szCs w:val="28"/>
              </w:rPr>
              <w:t>Program Participation</w:t>
            </w:r>
          </w:p>
        </w:tc>
      </w:tr>
      <w:tr w:rsidRPr="003A681C" w:rsidR="00B31578" w:rsidTr="00F07CFF" w14:paraId="1C91830C" w14:textId="77777777">
        <w:trPr>
          <w:gridBefore w:val="1"/>
          <w:wBefore w:w="6" w:type="dxa"/>
          <w:trHeight w:val="945"/>
        </w:trPr>
        <w:tc>
          <w:tcPr>
            <w:tcW w:w="3370" w:type="dxa"/>
            <w:tcBorders>
              <w:top w:val="nil"/>
              <w:left w:val="single" w:color="auto" w:sz="4" w:space="0"/>
              <w:bottom w:val="single" w:color="auto" w:sz="4" w:space="0"/>
              <w:right w:val="single" w:color="auto" w:sz="4" w:space="0"/>
            </w:tcBorders>
            <w:noWrap/>
          </w:tcPr>
          <w:p w:rsidRPr="003A681C" w:rsidR="00B31578" w:rsidP="006E0B57" w:rsidRDefault="00B31578" w14:paraId="250A64C2" w14:textId="6D812B9A">
            <w:pPr>
              <w:rPr>
                <w:rFonts w:ascii="Palatino Linotype" w:hAnsi="Palatino Linotype" w:cs="Calibri"/>
                <w:color w:val="000000"/>
                <w:sz w:val="24"/>
                <w:szCs w:val="24"/>
              </w:rPr>
            </w:pPr>
            <w:r w:rsidRPr="00AA4A7C">
              <w:t>CARE</w:t>
            </w:r>
            <w:r>
              <w:rPr>
                <w:rStyle w:val="FootnoteReference"/>
              </w:rPr>
              <w:footnoteReference w:id="171"/>
            </w:r>
            <w:r w:rsidRPr="00AA4A7C">
              <w:t>/FERA</w:t>
            </w:r>
            <w:r>
              <w:rPr>
                <w:rStyle w:val="FootnoteReference"/>
              </w:rPr>
              <w:footnoteReference w:id="172"/>
            </w:r>
            <w:r w:rsidRPr="00AA4A7C">
              <w:t xml:space="preserve"> enrollment</w:t>
            </w:r>
          </w:p>
        </w:tc>
        <w:tc>
          <w:tcPr>
            <w:tcW w:w="3776" w:type="dxa"/>
            <w:gridSpan w:val="2"/>
            <w:tcBorders>
              <w:top w:val="nil"/>
              <w:left w:val="nil"/>
              <w:bottom w:val="single" w:color="auto" w:sz="4" w:space="0"/>
              <w:right w:val="single" w:color="auto" w:sz="4" w:space="0"/>
            </w:tcBorders>
          </w:tcPr>
          <w:p w:rsidRPr="003A681C" w:rsidR="00B31578" w:rsidP="006E0B57" w:rsidRDefault="00B31578" w14:paraId="1AC832AE" w14:textId="3B09C555">
            <w:pPr>
              <w:rPr>
                <w:rFonts w:ascii="Palatino Linotype" w:hAnsi="Palatino Linotype" w:cs="Calibri"/>
                <w:color w:val="000000"/>
                <w:sz w:val="24"/>
                <w:szCs w:val="24"/>
              </w:rPr>
            </w:pPr>
            <w:r w:rsidRPr="006E0B57">
              <w:rPr>
                <w:rFonts w:ascii="Palatino Linotype" w:hAnsi="Palatino Linotype" w:cs="Calibri"/>
                <w:color w:val="000000"/>
                <w:sz w:val="24"/>
                <w:szCs w:val="24"/>
              </w:rPr>
              <w:t>Number of individuals enrolled in CARE/FERA after the conversion</w:t>
            </w:r>
          </w:p>
        </w:tc>
        <w:tc>
          <w:tcPr>
            <w:tcW w:w="717" w:type="dxa"/>
            <w:gridSpan w:val="2"/>
            <w:tcBorders>
              <w:top w:val="nil"/>
              <w:left w:val="nil"/>
              <w:bottom w:val="single" w:color="auto" w:sz="4" w:space="0"/>
              <w:right w:val="single" w:color="auto" w:sz="4" w:space="0"/>
            </w:tcBorders>
            <w:noWrap/>
          </w:tcPr>
          <w:p w:rsidRPr="003A681C" w:rsidR="00B31578" w:rsidP="006E0B57" w:rsidRDefault="00B31578" w14:paraId="0D4D0CA3" w14:textId="0B581150">
            <w:pPr>
              <w:jc w:val="right"/>
              <w:rPr>
                <w:rFonts w:ascii="Palatino Linotype" w:hAnsi="Palatino Linotype" w:cs="Calibri"/>
                <w:b/>
                <w:bCs/>
                <w:color w:val="000000"/>
                <w:sz w:val="24"/>
                <w:szCs w:val="24"/>
              </w:rPr>
            </w:pPr>
          </w:p>
        </w:tc>
        <w:tc>
          <w:tcPr>
            <w:tcW w:w="717" w:type="dxa"/>
            <w:gridSpan w:val="2"/>
            <w:tcBorders>
              <w:top w:val="nil"/>
              <w:left w:val="nil"/>
              <w:bottom w:val="single" w:color="auto" w:sz="4" w:space="0"/>
              <w:right w:val="single" w:color="auto" w:sz="4" w:space="0"/>
            </w:tcBorders>
            <w:noWrap/>
          </w:tcPr>
          <w:p w:rsidRPr="003A681C" w:rsidR="00B31578" w:rsidP="006E0B57" w:rsidRDefault="00B31578" w14:paraId="5FEA915F" w14:textId="751C0605">
            <w:pPr>
              <w:jc w:val="right"/>
              <w:rPr>
                <w:rFonts w:ascii="Palatino Linotype" w:hAnsi="Palatino Linotype" w:cs="Calibri"/>
                <w:b/>
                <w:bCs/>
                <w:color w:val="000000"/>
                <w:sz w:val="24"/>
                <w:szCs w:val="24"/>
              </w:rPr>
            </w:pPr>
          </w:p>
        </w:tc>
        <w:tc>
          <w:tcPr>
            <w:tcW w:w="716" w:type="dxa"/>
            <w:gridSpan w:val="2"/>
            <w:tcBorders>
              <w:top w:val="nil"/>
              <w:left w:val="nil"/>
              <w:bottom w:val="single" w:color="auto" w:sz="4" w:space="0"/>
              <w:right w:val="single" w:color="auto" w:sz="4" w:space="0"/>
            </w:tcBorders>
            <w:noWrap/>
          </w:tcPr>
          <w:p w:rsidRPr="003A681C" w:rsidR="00B31578" w:rsidP="006E0B57" w:rsidRDefault="00B31578" w14:paraId="44D7C047" w14:textId="72C11A54">
            <w:pPr>
              <w:jc w:val="right"/>
              <w:rPr>
                <w:rFonts w:ascii="Palatino Linotype" w:hAnsi="Palatino Linotype" w:cs="Calibri"/>
                <w:b/>
                <w:bCs/>
                <w:color w:val="000000"/>
                <w:sz w:val="24"/>
                <w:szCs w:val="24"/>
              </w:rPr>
            </w:pPr>
          </w:p>
        </w:tc>
        <w:tc>
          <w:tcPr>
            <w:tcW w:w="716" w:type="dxa"/>
            <w:gridSpan w:val="2"/>
            <w:tcBorders>
              <w:top w:val="nil"/>
              <w:left w:val="nil"/>
              <w:bottom w:val="single" w:color="auto" w:sz="4" w:space="0"/>
              <w:right w:val="single" w:color="auto" w:sz="4" w:space="0"/>
            </w:tcBorders>
          </w:tcPr>
          <w:p w:rsidRPr="003A681C" w:rsidR="00B31578" w:rsidP="006E0B57" w:rsidRDefault="00B31578" w14:paraId="23F84AAC" w14:textId="1AE232BC">
            <w:pPr>
              <w:jc w:val="right"/>
              <w:rPr>
                <w:rFonts w:ascii="Palatino Linotype" w:hAnsi="Palatino Linotype" w:cs="Calibri"/>
                <w:b/>
                <w:bCs/>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6E0B57" w:rsidRDefault="00B31578" w14:paraId="07556B06" w14:textId="557BD99C">
            <w:pPr>
              <w:jc w:val="right"/>
              <w:rPr>
                <w:rFonts w:ascii="Palatino Linotype" w:hAnsi="Palatino Linotype" w:cs="Calibri"/>
                <w:b/>
                <w:bCs/>
                <w:color w:val="000000"/>
                <w:sz w:val="24"/>
                <w:szCs w:val="24"/>
              </w:rPr>
            </w:pPr>
          </w:p>
        </w:tc>
        <w:tc>
          <w:tcPr>
            <w:tcW w:w="319" w:type="dxa"/>
            <w:gridSpan w:val="2"/>
            <w:tcBorders>
              <w:top w:val="nil"/>
              <w:left w:val="nil"/>
              <w:bottom w:val="single" w:color="auto" w:sz="4" w:space="0"/>
              <w:right w:val="nil"/>
            </w:tcBorders>
          </w:tcPr>
          <w:p w:rsidRPr="003A681C" w:rsidR="00B31578" w:rsidP="006E0B57" w:rsidRDefault="00B31578" w14:paraId="4957D19B" w14:textId="77777777">
            <w:pPr>
              <w:jc w:val="right"/>
              <w:rPr>
                <w:rFonts w:ascii="Palatino Linotype" w:hAnsi="Palatino Linotype" w:cs="Calibri"/>
                <w:b/>
                <w:bCs/>
                <w:color w:val="000000"/>
                <w:sz w:val="24"/>
                <w:szCs w:val="24"/>
              </w:rPr>
            </w:pPr>
          </w:p>
        </w:tc>
        <w:tc>
          <w:tcPr>
            <w:tcW w:w="456" w:type="dxa"/>
            <w:tcBorders>
              <w:top w:val="nil"/>
              <w:left w:val="nil"/>
              <w:bottom w:val="single" w:color="auto" w:sz="4" w:space="0"/>
              <w:right w:val="single" w:color="auto" w:sz="4" w:space="0"/>
            </w:tcBorders>
          </w:tcPr>
          <w:p w:rsidRPr="003A681C" w:rsidR="00B31578" w:rsidP="006E0B57" w:rsidRDefault="00B31578" w14:paraId="72F7840B" w14:textId="4AF58E10">
            <w:pPr>
              <w:jc w:val="right"/>
              <w:rPr>
                <w:rFonts w:ascii="Palatino Linotype" w:hAnsi="Palatino Linotype" w:cs="Calibri"/>
                <w:b/>
                <w:bCs/>
                <w:color w:val="000000"/>
                <w:sz w:val="24"/>
                <w:szCs w:val="24"/>
              </w:rPr>
            </w:pPr>
          </w:p>
        </w:tc>
      </w:tr>
      <w:tr w:rsidRPr="003A681C" w:rsidR="00B31578" w:rsidTr="00F07CFF" w14:paraId="119D7525" w14:textId="77777777">
        <w:trPr>
          <w:gridBefore w:val="1"/>
          <w:wBefore w:w="6" w:type="dxa"/>
          <w:trHeight w:val="945"/>
        </w:trPr>
        <w:tc>
          <w:tcPr>
            <w:tcW w:w="3370" w:type="dxa"/>
            <w:tcBorders>
              <w:top w:val="nil"/>
              <w:left w:val="single" w:color="auto" w:sz="4" w:space="0"/>
              <w:bottom w:val="single" w:color="auto" w:sz="4" w:space="0"/>
              <w:right w:val="single" w:color="auto" w:sz="4" w:space="0"/>
            </w:tcBorders>
            <w:noWrap/>
          </w:tcPr>
          <w:p w:rsidRPr="003A681C" w:rsidR="00B31578" w:rsidP="006E0B57" w:rsidRDefault="00B31578" w14:paraId="1DD5C8BE" w14:textId="4BD0DB7C">
            <w:pPr>
              <w:rPr>
                <w:rFonts w:ascii="Palatino Linotype" w:hAnsi="Palatino Linotype" w:cs="Calibri"/>
                <w:color w:val="000000"/>
                <w:sz w:val="24"/>
                <w:szCs w:val="24"/>
              </w:rPr>
            </w:pPr>
            <w:r w:rsidRPr="00AA4A7C">
              <w:t>Medical Baseline</w:t>
            </w:r>
          </w:p>
        </w:tc>
        <w:tc>
          <w:tcPr>
            <w:tcW w:w="3776" w:type="dxa"/>
            <w:gridSpan w:val="2"/>
            <w:tcBorders>
              <w:top w:val="nil"/>
              <w:left w:val="nil"/>
              <w:bottom w:val="single" w:color="auto" w:sz="4" w:space="0"/>
              <w:right w:val="single" w:color="auto" w:sz="4" w:space="0"/>
            </w:tcBorders>
          </w:tcPr>
          <w:p w:rsidRPr="003A681C" w:rsidR="00B31578" w:rsidP="006E0B57" w:rsidRDefault="00B31578" w14:paraId="2D82DFF7" w14:textId="2680F5CC">
            <w:pPr>
              <w:rPr>
                <w:rFonts w:ascii="Palatino Linotype" w:hAnsi="Palatino Linotype" w:cs="Calibri"/>
                <w:color w:val="000000"/>
                <w:sz w:val="24"/>
                <w:szCs w:val="24"/>
              </w:rPr>
            </w:pPr>
            <w:r w:rsidRPr="006E0B57">
              <w:rPr>
                <w:rFonts w:ascii="Palatino Linotype" w:hAnsi="Palatino Linotype" w:cs="Calibri"/>
                <w:color w:val="000000"/>
                <w:sz w:val="24"/>
                <w:szCs w:val="24"/>
              </w:rPr>
              <w:t>Number of individuals enrolled in Medical Baseline after the conversion</w:t>
            </w:r>
          </w:p>
        </w:tc>
        <w:tc>
          <w:tcPr>
            <w:tcW w:w="717" w:type="dxa"/>
            <w:gridSpan w:val="2"/>
            <w:tcBorders>
              <w:top w:val="nil"/>
              <w:left w:val="nil"/>
              <w:bottom w:val="single" w:color="auto" w:sz="4" w:space="0"/>
              <w:right w:val="single" w:color="auto" w:sz="4" w:space="0"/>
            </w:tcBorders>
            <w:noWrap/>
          </w:tcPr>
          <w:p w:rsidRPr="003A681C" w:rsidR="00B31578" w:rsidP="006E0B57" w:rsidRDefault="00B31578" w14:paraId="10D6D063" w14:textId="39C35F1B">
            <w:pPr>
              <w:jc w:val="right"/>
              <w:rPr>
                <w:rFonts w:ascii="Palatino Linotype" w:hAnsi="Palatino Linotype" w:cs="Calibri"/>
                <w:b/>
                <w:bCs/>
                <w:color w:val="000000"/>
                <w:sz w:val="24"/>
                <w:szCs w:val="24"/>
              </w:rPr>
            </w:pPr>
          </w:p>
        </w:tc>
        <w:tc>
          <w:tcPr>
            <w:tcW w:w="717" w:type="dxa"/>
            <w:gridSpan w:val="2"/>
            <w:tcBorders>
              <w:top w:val="nil"/>
              <w:left w:val="nil"/>
              <w:bottom w:val="single" w:color="auto" w:sz="4" w:space="0"/>
              <w:right w:val="single" w:color="auto" w:sz="4" w:space="0"/>
            </w:tcBorders>
            <w:noWrap/>
          </w:tcPr>
          <w:p w:rsidRPr="003A681C" w:rsidR="00B31578" w:rsidP="006E0B57" w:rsidRDefault="00B31578" w14:paraId="1C052EA6" w14:textId="4DBF29A8">
            <w:pPr>
              <w:jc w:val="right"/>
              <w:rPr>
                <w:rFonts w:ascii="Palatino Linotype" w:hAnsi="Palatino Linotype" w:cs="Calibri"/>
                <w:b/>
                <w:bCs/>
                <w:color w:val="000000"/>
                <w:sz w:val="24"/>
                <w:szCs w:val="24"/>
              </w:rPr>
            </w:pPr>
          </w:p>
        </w:tc>
        <w:tc>
          <w:tcPr>
            <w:tcW w:w="716" w:type="dxa"/>
            <w:gridSpan w:val="2"/>
            <w:tcBorders>
              <w:top w:val="nil"/>
              <w:left w:val="nil"/>
              <w:bottom w:val="single" w:color="auto" w:sz="4" w:space="0"/>
              <w:right w:val="single" w:color="auto" w:sz="4" w:space="0"/>
            </w:tcBorders>
            <w:noWrap/>
          </w:tcPr>
          <w:p w:rsidRPr="003A681C" w:rsidR="00B31578" w:rsidP="006E0B57" w:rsidRDefault="00B31578" w14:paraId="0DDB5120" w14:textId="12AB393A">
            <w:pPr>
              <w:jc w:val="right"/>
              <w:rPr>
                <w:rFonts w:ascii="Palatino Linotype" w:hAnsi="Palatino Linotype" w:cs="Calibri"/>
                <w:b/>
                <w:bCs/>
                <w:color w:val="000000"/>
                <w:sz w:val="24"/>
                <w:szCs w:val="24"/>
              </w:rPr>
            </w:pPr>
          </w:p>
        </w:tc>
        <w:tc>
          <w:tcPr>
            <w:tcW w:w="716" w:type="dxa"/>
            <w:gridSpan w:val="2"/>
            <w:tcBorders>
              <w:top w:val="nil"/>
              <w:left w:val="nil"/>
              <w:bottom w:val="single" w:color="auto" w:sz="4" w:space="0"/>
              <w:right w:val="single" w:color="auto" w:sz="4" w:space="0"/>
            </w:tcBorders>
          </w:tcPr>
          <w:p w:rsidRPr="003A681C" w:rsidR="00B31578" w:rsidP="006E0B57" w:rsidRDefault="00B31578" w14:paraId="31C402A8" w14:textId="4F1FD13F">
            <w:pPr>
              <w:jc w:val="right"/>
              <w:rPr>
                <w:rFonts w:ascii="Palatino Linotype" w:hAnsi="Palatino Linotype" w:cs="Calibri"/>
                <w:b/>
                <w:bCs/>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6E0B57" w:rsidRDefault="00B31578" w14:paraId="47A6AC31" w14:textId="4C9CE328">
            <w:pPr>
              <w:jc w:val="right"/>
              <w:rPr>
                <w:rFonts w:ascii="Palatino Linotype" w:hAnsi="Palatino Linotype" w:cs="Calibri"/>
                <w:b/>
                <w:bCs/>
                <w:color w:val="000000"/>
                <w:sz w:val="24"/>
                <w:szCs w:val="24"/>
              </w:rPr>
            </w:pPr>
          </w:p>
        </w:tc>
        <w:tc>
          <w:tcPr>
            <w:tcW w:w="319" w:type="dxa"/>
            <w:gridSpan w:val="2"/>
            <w:tcBorders>
              <w:top w:val="nil"/>
              <w:left w:val="nil"/>
              <w:bottom w:val="single" w:color="auto" w:sz="4" w:space="0"/>
              <w:right w:val="nil"/>
            </w:tcBorders>
          </w:tcPr>
          <w:p w:rsidRPr="003A681C" w:rsidR="00B31578" w:rsidP="006E0B57" w:rsidRDefault="00B31578" w14:paraId="22727F1D" w14:textId="77777777">
            <w:pPr>
              <w:jc w:val="right"/>
              <w:rPr>
                <w:rFonts w:ascii="Palatino Linotype" w:hAnsi="Palatino Linotype" w:cs="Calibri"/>
                <w:b/>
                <w:bCs/>
                <w:color w:val="000000"/>
                <w:sz w:val="24"/>
                <w:szCs w:val="24"/>
              </w:rPr>
            </w:pPr>
          </w:p>
        </w:tc>
        <w:tc>
          <w:tcPr>
            <w:tcW w:w="456" w:type="dxa"/>
            <w:tcBorders>
              <w:top w:val="nil"/>
              <w:left w:val="nil"/>
              <w:bottom w:val="single" w:color="auto" w:sz="4" w:space="0"/>
              <w:right w:val="single" w:color="auto" w:sz="4" w:space="0"/>
            </w:tcBorders>
          </w:tcPr>
          <w:p w:rsidRPr="003A681C" w:rsidR="00B31578" w:rsidP="006E0B57" w:rsidRDefault="00B31578" w14:paraId="6028A060" w14:textId="1E5AF4EA">
            <w:pPr>
              <w:jc w:val="right"/>
              <w:rPr>
                <w:rFonts w:ascii="Palatino Linotype" w:hAnsi="Palatino Linotype" w:cs="Calibri"/>
                <w:b/>
                <w:bCs/>
                <w:color w:val="000000"/>
                <w:sz w:val="24"/>
                <w:szCs w:val="24"/>
              </w:rPr>
            </w:pPr>
          </w:p>
        </w:tc>
      </w:tr>
      <w:tr w:rsidRPr="003A681C" w:rsidR="00B31578" w:rsidTr="00F07CFF" w14:paraId="7288EE47" w14:textId="77777777">
        <w:trPr>
          <w:gridBefore w:val="1"/>
          <w:wBefore w:w="6" w:type="dxa"/>
          <w:trHeight w:val="945"/>
        </w:trPr>
        <w:tc>
          <w:tcPr>
            <w:tcW w:w="3370" w:type="dxa"/>
            <w:tcBorders>
              <w:top w:val="nil"/>
              <w:left w:val="single" w:color="auto" w:sz="4" w:space="0"/>
              <w:bottom w:val="single" w:color="auto" w:sz="4" w:space="0"/>
              <w:right w:val="single" w:color="auto" w:sz="4" w:space="0"/>
            </w:tcBorders>
            <w:noWrap/>
            <w:vAlign w:val="center"/>
            <w:hideMark/>
          </w:tcPr>
          <w:p w:rsidRPr="003A681C" w:rsidR="00B31578" w:rsidP="003A681C" w:rsidRDefault="00B31578" w14:paraId="2F709E0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Disadvantaged Community</w:t>
            </w:r>
          </w:p>
        </w:tc>
        <w:tc>
          <w:tcPr>
            <w:tcW w:w="3776" w:type="dxa"/>
            <w:gridSpan w:val="2"/>
            <w:tcBorders>
              <w:top w:val="nil"/>
              <w:left w:val="nil"/>
              <w:bottom w:val="single" w:color="auto" w:sz="4" w:space="0"/>
              <w:right w:val="single" w:color="auto" w:sz="4" w:space="0"/>
            </w:tcBorders>
            <w:vAlign w:val="center"/>
            <w:hideMark/>
          </w:tcPr>
          <w:p w:rsidRPr="003A681C" w:rsidR="00B31578" w:rsidP="003A681C" w:rsidRDefault="00B31578" w14:paraId="0E6C06A8"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Number of converted spaces within geographic zones defined by SB 535 map.</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61481BC5"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65E2C02"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05CB2198"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5CD48807" w14:textId="77777777">
            <w:pPr>
              <w:jc w:val="right"/>
              <w:rPr>
                <w:rFonts w:ascii="Palatino Linotype" w:hAnsi="Palatino Linotype" w:cs="Calibri"/>
                <w:b/>
                <w:bCs/>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3A681C" w:rsidRDefault="00B31578" w14:paraId="60735D24" w14:textId="77777777">
            <w:pPr>
              <w:jc w:val="right"/>
              <w:rPr>
                <w:rFonts w:ascii="Palatino Linotype" w:hAnsi="Palatino Linotype" w:cs="Calibri"/>
                <w:b/>
                <w:bCs/>
                <w:color w:val="000000"/>
                <w:sz w:val="24"/>
                <w:szCs w:val="24"/>
              </w:rPr>
            </w:pPr>
          </w:p>
        </w:tc>
        <w:tc>
          <w:tcPr>
            <w:tcW w:w="319" w:type="dxa"/>
            <w:gridSpan w:val="2"/>
            <w:tcBorders>
              <w:top w:val="nil"/>
              <w:left w:val="nil"/>
              <w:bottom w:val="single" w:color="auto" w:sz="4" w:space="0"/>
              <w:right w:val="nil"/>
            </w:tcBorders>
          </w:tcPr>
          <w:p w:rsidRPr="003A681C" w:rsidR="00B31578" w:rsidP="003A681C" w:rsidRDefault="00B31578" w14:paraId="0703915F" w14:textId="77777777">
            <w:pPr>
              <w:jc w:val="right"/>
              <w:rPr>
                <w:rFonts w:ascii="Palatino Linotype" w:hAnsi="Palatino Linotype" w:cs="Calibri"/>
                <w:b/>
                <w:bCs/>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44C91DCC" w14:textId="3644C342">
            <w:pPr>
              <w:jc w:val="right"/>
              <w:rPr>
                <w:rFonts w:ascii="Palatino Linotype" w:hAnsi="Palatino Linotype" w:cs="Calibri"/>
                <w:b/>
                <w:bCs/>
                <w:color w:val="000000"/>
                <w:sz w:val="24"/>
                <w:szCs w:val="24"/>
              </w:rPr>
            </w:pPr>
          </w:p>
        </w:tc>
      </w:tr>
      <w:tr w:rsidRPr="003A681C" w:rsidR="00D345BE" w:rsidTr="00F07CFF" w14:paraId="1B37463D" w14:textId="77777777">
        <w:trPr>
          <w:gridBefore w:val="1"/>
          <w:wBefore w:w="6" w:type="dxa"/>
          <w:trHeight w:val="630"/>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0A2A0B7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Rural Community </w:t>
            </w:r>
            <w:r w:rsidRPr="003A681C">
              <w:rPr>
                <w:rFonts w:ascii="Palatino Linotype" w:hAnsi="Palatino Linotype" w:cs="Calibri"/>
                <w:color w:val="000000"/>
                <w:sz w:val="24"/>
                <w:szCs w:val="24"/>
                <w:vertAlign w:val="superscript"/>
              </w:rPr>
              <w:footnoteReference w:id="173"/>
            </w:r>
          </w:p>
        </w:tc>
        <w:tc>
          <w:tcPr>
            <w:tcW w:w="3776" w:type="dxa"/>
            <w:gridSpan w:val="2"/>
            <w:tcBorders>
              <w:top w:val="single" w:color="auto" w:sz="4" w:space="0"/>
              <w:left w:val="single" w:color="auto" w:sz="4" w:space="0"/>
              <w:bottom w:val="single" w:color="auto" w:sz="4" w:space="0"/>
              <w:right w:val="single" w:color="auto" w:sz="4" w:space="0"/>
            </w:tcBorders>
            <w:vAlign w:val="center"/>
            <w:hideMark/>
          </w:tcPr>
          <w:p w:rsidRPr="003A681C" w:rsidR="00D345BE" w:rsidP="003A681C" w:rsidRDefault="00D345BE" w14:paraId="0A06767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Number of converted spaces within rural community</w:t>
            </w:r>
          </w:p>
        </w:tc>
        <w:tc>
          <w:tcPr>
            <w:tcW w:w="717"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34FBDA2C"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3CED9823"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01F23B81"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tcPr>
          <w:p w:rsidRPr="003A681C" w:rsidR="00D345BE" w:rsidP="003A681C" w:rsidRDefault="00D345BE" w14:paraId="44E16D99" w14:textId="77777777">
            <w:pPr>
              <w:jc w:val="right"/>
              <w:rPr>
                <w:rFonts w:ascii="Palatino Linotype" w:hAnsi="Palatino Linotype" w:cs="Calibri"/>
                <w:b/>
                <w:bCs/>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tcPr>
          <w:p w:rsidRPr="003A681C" w:rsidR="00D345BE" w:rsidP="003A681C" w:rsidRDefault="00D345BE" w14:paraId="17366718" w14:textId="77777777">
            <w:pPr>
              <w:jc w:val="right"/>
              <w:rPr>
                <w:rFonts w:ascii="Palatino Linotype" w:hAnsi="Palatino Linotype" w:cs="Calibri"/>
                <w:b/>
                <w:bCs/>
                <w:color w:val="000000"/>
                <w:sz w:val="24"/>
                <w:szCs w:val="24"/>
              </w:rPr>
            </w:pPr>
          </w:p>
        </w:tc>
        <w:tc>
          <w:tcPr>
            <w:tcW w:w="775" w:type="dxa"/>
            <w:gridSpan w:val="3"/>
            <w:tcBorders>
              <w:top w:val="single" w:color="auto" w:sz="4" w:space="0"/>
              <w:left w:val="single" w:color="auto" w:sz="4" w:space="0"/>
              <w:bottom w:val="single" w:color="auto" w:sz="4" w:space="0"/>
              <w:right w:val="single" w:color="auto" w:sz="4" w:space="0"/>
            </w:tcBorders>
          </w:tcPr>
          <w:p w:rsidRPr="003A681C" w:rsidR="00D345BE" w:rsidP="003A681C" w:rsidRDefault="00D345BE" w14:paraId="1D1DCC67" w14:textId="220F025B">
            <w:pPr>
              <w:jc w:val="right"/>
              <w:rPr>
                <w:rFonts w:ascii="Palatino Linotype" w:hAnsi="Palatino Linotype" w:cs="Calibri"/>
                <w:b/>
                <w:bCs/>
                <w:color w:val="000000"/>
                <w:sz w:val="24"/>
                <w:szCs w:val="24"/>
              </w:rPr>
            </w:pPr>
          </w:p>
        </w:tc>
      </w:tr>
      <w:tr w:rsidRPr="003A681C" w:rsidR="00B31578" w:rsidTr="00F07CFF" w14:paraId="5C3108E6" w14:textId="77777777">
        <w:trPr>
          <w:gridBefore w:val="1"/>
          <w:wBefore w:w="6" w:type="dxa"/>
          <w:trHeight w:val="630"/>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3A681C" w:rsidRDefault="00B31578" w14:paraId="328E5C31" w14:textId="0BAB29F8">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Urban Community (if any) </w:t>
            </w:r>
            <w:r w:rsidRPr="003A681C">
              <w:rPr>
                <w:rFonts w:ascii="Palatino Linotype" w:hAnsi="Palatino Linotype" w:cs="Calibri"/>
                <w:color w:val="000000"/>
                <w:sz w:val="24"/>
                <w:szCs w:val="24"/>
                <w:vertAlign w:val="superscript"/>
              </w:rPr>
              <w:footnoteReference w:id="174"/>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1A7388F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Number of converted spaces within urban community</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5D5A11F1"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636F3CD1"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D7CF7D7"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7E3CCBBE" w14:textId="77777777">
            <w:pPr>
              <w:jc w:val="right"/>
              <w:rPr>
                <w:rFonts w:ascii="Palatino Linotype" w:hAnsi="Palatino Linotype" w:cs="Calibri"/>
                <w:b/>
                <w:bCs/>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7D6133A7" w14:textId="77777777">
            <w:pPr>
              <w:jc w:val="right"/>
              <w:rPr>
                <w:rFonts w:ascii="Palatino Linotype" w:hAnsi="Palatino Linotype" w:cs="Calibri"/>
                <w:b/>
                <w:bCs/>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07D3692C" w14:textId="77777777">
            <w:pPr>
              <w:jc w:val="right"/>
              <w:rPr>
                <w:rFonts w:ascii="Palatino Linotype" w:hAnsi="Palatino Linotype" w:cs="Calibri"/>
                <w:b/>
                <w:bCs/>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150782C9" w14:textId="6CD6CF16">
            <w:pPr>
              <w:jc w:val="right"/>
              <w:rPr>
                <w:rFonts w:ascii="Palatino Linotype" w:hAnsi="Palatino Linotype" w:cs="Calibri"/>
                <w:b/>
                <w:bCs/>
                <w:color w:val="000000"/>
                <w:sz w:val="24"/>
                <w:szCs w:val="24"/>
              </w:rPr>
            </w:pPr>
          </w:p>
        </w:tc>
      </w:tr>
      <w:tr w:rsidRPr="003A681C" w:rsidR="0095699D" w:rsidTr="249DB94A" w14:paraId="47FB7FDE" w14:textId="77777777">
        <w:trPr>
          <w:gridBefore w:val="1"/>
          <w:wBefore w:w="6" w:type="dxa"/>
          <w:trHeight w:val="945"/>
        </w:trPr>
        <w:tc>
          <w:tcPr>
            <w:tcW w:w="337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3A681C" w:rsidR="00B31578" w:rsidP="003A681C" w:rsidRDefault="00B31578" w14:paraId="602F3C04"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Leak Survey (Optional)</w:t>
            </w:r>
          </w:p>
        </w:tc>
        <w:tc>
          <w:tcPr>
            <w:tcW w:w="3776" w:type="dxa"/>
            <w:gridSpan w:val="2"/>
            <w:tcBorders>
              <w:top w:val="single" w:color="auto" w:sz="4" w:space="0"/>
              <w:left w:val="nil"/>
              <w:bottom w:val="single" w:color="auto" w:sz="4" w:space="0"/>
              <w:right w:val="single" w:color="auto" w:sz="4" w:space="0"/>
            </w:tcBorders>
            <w:shd w:val="clear" w:color="auto" w:fill="FFFFFF" w:themeFill="background1"/>
            <w:vAlign w:val="center"/>
            <w:hideMark/>
          </w:tcPr>
          <w:p w:rsidRPr="003A681C" w:rsidR="00B31578" w:rsidP="003A681C" w:rsidRDefault="00B31578" w14:paraId="0F1E44D7"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Number of Leaks identified during preconstruction activity (if known)</w:t>
            </w:r>
          </w:p>
        </w:tc>
        <w:tc>
          <w:tcPr>
            <w:tcW w:w="717" w:type="dxa"/>
            <w:gridSpan w:val="2"/>
            <w:tcBorders>
              <w:top w:val="single" w:color="auto" w:sz="4" w:space="0"/>
              <w:left w:val="nil"/>
              <w:bottom w:val="single" w:color="auto" w:sz="4" w:space="0"/>
              <w:right w:val="single" w:color="auto" w:sz="4" w:space="0"/>
            </w:tcBorders>
            <w:shd w:val="clear" w:color="auto" w:fill="FFFFFF" w:themeFill="background1"/>
            <w:noWrap/>
            <w:vAlign w:val="center"/>
            <w:hideMark/>
          </w:tcPr>
          <w:p w:rsidRPr="003A681C" w:rsidR="00B31578" w:rsidP="003A681C" w:rsidRDefault="00B31578" w14:paraId="1743A85A"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nil"/>
              <w:bottom w:val="single" w:color="auto" w:sz="4" w:space="0"/>
              <w:right w:val="single" w:color="auto" w:sz="4" w:space="0"/>
            </w:tcBorders>
            <w:shd w:val="clear" w:color="auto" w:fill="FFFFFF" w:themeFill="background1"/>
            <w:noWrap/>
            <w:vAlign w:val="center"/>
            <w:hideMark/>
          </w:tcPr>
          <w:p w:rsidRPr="003A681C" w:rsidR="00B31578" w:rsidP="003A681C" w:rsidRDefault="00B31578" w14:paraId="199E39AC"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noWrap/>
            <w:vAlign w:val="center"/>
            <w:hideMark/>
          </w:tcPr>
          <w:p w:rsidRPr="003A681C" w:rsidR="00B31578" w:rsidP="003A681C" w:rsidRDefault="00B31578" w14:paraId="66173F11" w14:textId="77777777">
            <w:pPr>
              <w:jc w:val="right"/>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tcPr>
          <w:p w:rsidRPr="003A681C" w:rsidR="00B31578" w:rsidP="003A681C" w:rsidRDefault="00B31578" w14:paraId="24DB693C" w14:textId="77777777">
            <w:pPr>
              <w:jc w:val="right"/>
              <w:rPr>
                <w:rFonts w:ascii="Palatino Linotype" w:hAnsi="Palatino Linotype" w:cs="Calibri"/>
                <w:b/>
                <w:bCs/>
                <w:color w:val="000000"/>
                <w:sz w:val="24"/>
                <w:szCs w:val="24"/>
              </w:rPr>
            </w:pPr>
          </w:p>
        </w:tc>
        <w:tc>
          <w:tcPr>
            <w:tcW w:w="717" w:type="dxa"/>
            <w:gridSpan w:val="2"/>
            <w:tcBorders>
              <w:top w:val="single" w:color="auto" w:sz="4" w:space="0"/>
              <w:left w:val="nil"/>
              <w:bottom w:val="single" w:color="auto" w:sz="4" w:space="0"/>
              <w:right w:val="single" w:color="auto" w:sz="4" w:space="0"/>
            </w:tcBorders>
            <w:shd w:val="clear" w:color="auto" w:fill="FFFFFF" w:themeFill="background1"/>
          </w:tcPr>
          <w:p w:rsidRPr="003A681C" w:rsidR="00B31578" w:rsidP="003A681C" w:rsidRDefault="00B31578" w14:paraId="1060F885" w14:textId="77777777">
            <w:pPr>
              <w:jc w:val="right"/>
              <w:rPr>
                <w:rFonts w:ascii="Palatino Linotype" w:hAnsi="Palatino Linotype" w:cs="Calibri"/>
                <w:b/>
                <w:bCs/>
                <w:color w:val="000000"/>
                <w:sz w:val="24"/>
                <w:szCs w:val="24"/>
              </w:rPr>
            </w:pPr>
          </w:p>
        </w:tc>
        <w:tc>
          <w:tcPr>
            <w:tcW w:w="319" w:type="dxa"/>
            <w:gridSpan w:val="2"/>
            <w:tcBorders>
              <w:top w:val="single" w:color="auto" w:sz="4" w:space="0"/>
              <w:left w:val="nil"/>
              <w:bottom w:val="single" w:color="auto" w:sz="4" w:space="0"/>
              <w:right w:val="nil"/>
            </w:tcBorders>
            <w:shd w:val="clear" w:color="auto" w:fill="FFFFFF" w:themeFill="background1"/>
          </w:tcPr>
          <w:p w:rsidRPr="003A681C" w:rsidR="00B31578" w:rsidP="003A681C" w:rsidRDefault="00B31578" w14:paraId="23391C49" w14:textId="77777777">
            <w:pPr>
              <w:jc w:val="right"/>
              <w:rPr>
                <w:rFonts w:ascii="Palatino Linotype" w:hAnsi="Palatino Linotype" w:cs="Calibri"/>
                <w:b/>
                <w:bCs/>
                <w:color w:val="000000"/>
                <w:sz w:val="24"/>
                <w:szCs w:val="24"/>
              </w:rPr>
            </w:pPr>
          </w:p>
        </w:tc>
        <w:tc>
          <w:tcPr>
            <w:tcW w:w="456" w:type="dxa"/>
            <w:tcBorders>
              <w:top w:val="single" w:color="auto" w:sz="4" w:space="0"/>
              <w:left w:val="nil"/>
              <w:bottom w:val="single" w:color="auto" w:sz="4" w:space="0"/>
              <w:right w:val="single" w:color="auto" w:sz="4" w:space="0"/>
            </w:tcBorders>
            <w:shd w:val="clear" w:color="auto" w:fill="FFFFFF" w:themeFill="background1"/>
          </w:tcPr>
          <w:p w:rsidRPr="003A681C" w:rsidR="00B31578" w:rsidP="003A681C" w:rsidRDefault="00B31578" w14:paraId="732AB1FF" w14:textId="5BB0A865">
            <w:pPr>
              <w:jc w:val="right"/>
              <w:rPr>
                <w:rFonts w:ascii="Palatino Linotype" w:hAnsi="Palatino Linotype" w:cs="Calibri"/>
                <w:b/>
                <w:bCs/>
                <w:color w:val="000000"/>
                <w:sz w:val="24"/>
                <w:szCs w:val="24"/>
              </w:rPr>
            </w:pPr>
          </w:p>
        </w:tc>
      </w:tr>
      <w:tr w:rsidRPr="003A681C" w:rsidR="0095699D" w:rsidTr="00566B5A" w14:paraId="357A86B5" w14:textId="77777777">
        <w:trPr>
          <w:gridBefore w:val="1"/>
          <w:wBefore w:w="6" w:type="dxa"/>
          <w:trHeight w:val="1826"/>
        </w:trPr>
        <w:tc>
          <w:tcPr>
            <w:tcW w:w="3370" w:type="dxa"/>
            <w:tcBorders>
              <w:top w:val="single" w:color="auto" w:sz="4" w:space="0"/>
              <w:left w:val="single" w:color="auto" w:sz="4" w:space="0"/>
              <w:bottom w:val="single" w:color="auto" w:sz="4" w:space="0"/>
              <w:right w:val="single" w:color="auto" w:sz="4" w:space="0"/>
            </w:tcBorders>
            <w:shd w:val="clear" w:color="auto" w:fill="9BC2E6"/>
            <w:noWrap/>
            <w:vAlign w:val="center"/>
            <w:hideMark/>
          </w:tcPr>
          <w:p w:rsidRPr="003A681C" w:rsidR="00B31578" w:rsidP="003A681C" w:rsidRDefault="00B31578" w14:paraId="166547C9"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Completed Spaces</w:t>
            </w:r>
          </w:p>
        </w:tc>
        <w:tc>
          <w:tcPr>
            <w:tcW w:w="3776" w:type="dxa"/>
            <w:gridSpan w:val="2"/>
            <w:tcBorders>
              <w:top w:val="single" w:color="auto" w:sz="4" w:space="0"/>
              <w:left w:val="nil"/>
              <w:bottom w:val="single" w:color="auto" w:sz="4" w:space="0"/>
              <w:right w:val="single" w:color="auto" w:sz="4" w:space="0"/>
            </w:tcBorders>
            <w:shd w:val="clear" w:color="auto" w:fill="FFFF00"/>
            <w:vAlign w:val="center"/>
            <w:hideMark/>
          </w:tcPr>
          <w:p w:rsidRPr="003A681C" w:rsidR="00B31578" w:rsidP="003A681C" w:rsidRDefault="00B31578" w14:paraId="467F9F38"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Spaces converted that correspond to the project costs reported below.   If a project incurs costs over multiple years, report all project costs and spaces converted in the year the project closes.</w:t>
            </w:r>
          </w:p>
        </w:tc>
        <w:tc>
          <w:tcPr>
            <w:tcW w:w="717" w:type="dxa"/>
            <w:gridSpan w:val="2"/>
            <w:tcBorders>
              <w:top w:val="single" w:color="auto" w:sz="4" w:space="0"/>
              <w:left w:val="nil"/>
              <w:bottom w:val="single" w:color="auto" w:sz="4" w:space="0"/>
              <w:right w:val="nil"/>
            </w:tcBorders>
            <w:shd w:val="clear" w:color="auto" w:fill="9BC2E6"/>
            <w:noWrap/>
            <w:vAlign w:val="center"/>
            <w:hideMark/>
          </w:tcPr>
          <w:p w:rsidRPr="003A681C" w:rsidR="00B31578" w:rsidP="003A681C" w:rsidRDefault="00B31578" w14:paraId="290BFFD6"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nil"/>
              <w:bottom w:val="single" w:color="auto" w:sz="4" w:space="0"/>
              <w:right w:val="nil"/>
            </w:tcBorders>
            <w:shd w:val="clear" w:color="auto" w:fill="9BC2E6"/>
            <w:noWrap/>
            <w:vAlign w:val="center"/>
            <w:hideMark/>
          </w:tcPr>
          <w:p w:rsidRPr="003A681C" w:rsidR="00B31578" w:rsidP="003A681C" w:rsidRDefault="00B31578" w14:paraId="4C627C13"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nil"/>
            </w:tcBorders>
            <w:shd w:val="clear" w:color="auto" w:fill="9BC2E6"/>
            <w:noWrap/>
            <w:vAlign w:val="center"/>
            <w:hideMark/>
          </w:tcPr>
          <w:p w:rsidRPr="003A681C" w:rsidR="00B31578" w:rsidP="003A681C" w:rsidRDefault="00B31578" w14:paraId="793EBBBE"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nil"/>
            </w:tcBorders>
            <w:shd w:val="clear" w:color="auto" w:fill="9BC2E6"/>
          </w:tcPr>
          <w:p w:rsidRPr="003A681C" w:rsidR="00B31578" w:rsidP="003A681C" w:rsidRDefault="00B31578" w14:paraId="76B555DE" w14:textId="77777777">
            <w:pPr>
              <w:rPr>
                <w:rFonts w:ascii="Palatino Linotype" w:hAnsi="Palatino Linotype" w:cs="Calibri"/>
                <w:b/>
                <w:bCs/>
                <w:color w:val="000000"/>
                <w:sz w:val="24"/>
                <w:szCs w:val="24"/>
              </w:rPr>
            </w:pPr>
          </w:p>
        </w:tc>
        <w:tc>
          <w:tcPr>
            <w:tcW w:w="717" w:type="dxa"/>
            <w:gridSpan w:val="2"/>
            <w:tcBorders>
              <w:top w:val="single" w:color="auto" w:sz="4" w:space="0"/>
              <w:left w:val="nil"/>
              <w:bottom w:val="single" w:color="auto" w:sz="4" w:space="0"/>
              <w:right w:val="nil"/>
            </w:tcBorders>
            <w:shd w:val="clear" w:color="auto" w:fill="9BC2E6"/>
          </w:tcPr>
          <w:p w:rsidRPr="003A681C" w:rsidR="00B31578" w:rsidP="003A681C" w:rsidRDefault="00B31578" w14:paraId="25AC0A94" w14:textId="77777777">
            <w:pPr>
              <w:rPr>
                <w:rFonts w:ascii="Palatino Linotype" w:hAnsi="Palatino Linotype" w:cs="Calibri"/>
                <w:b/>
                <w:bCs/>
                <w:color w:val="000000"/>
                <w:sz w:val="24"/>
                <w:szCs w:val="24"/>
              </w:rPr>
            </w:pPr>
          </w:p>
        </w:tc>
        <w:tc>
          <w:tcPr>
            <w:tcW w:w="319" w:type="dxa"/>
            <w:gridSpan w:val="2"/>
            <w:tcBorders>
              <w:top w:val="single" w:color="auto" w:sz="4" w:space="0"/>
              <w:left w:val="nil"/>
              <w:bottom w:val="single" w:color="auto" w:sz="4" w:space="0"/>
              <w:right w:val="nil"/>
            </w:tcBorders>
            <w:shd w:val="clear" w:color="auto" w:fill="9BC2E6"/>
          </w:tcPr>
          <w:p w:rsidRPr="003A681C" w:rsidR="00B31578" w:rsidP="003A681C" w:rsidRDefault="00B31578" w14:paraId="1CDE69B4" w14:textId="77777777">
            <w:pPr>
              <w:rPr>
                <w:rFonts w:ascii="Palatino Linotype" w:hAnsi="Palatino Linotype" w:cs="Calibri"/>
                <w:b/>
                <w:bCs/>
                <w:color w:val="000000"/>
                <w:sz w:val="24"/>
                <w:szCs w:val="24"/>
              </w:rPr>
            </w:pPr>
          </w:p>
        </w:tc>
        <w:tc>
          <w:tcPr>
            <w:tcW w:w="456" w:type="dxa"/>
            <w:tcBorders>
              <w:top w:val="single" w:color="auto" w:sz="4" w:space="0"/>
              <w:left w:val="nil"/>
              <w:bottom w:val="single" w:color="auto" w:sz="4" w:space="0"/>
              <w:right w:val="nil"/>
            </w:tcBorders>
            <w:shd w:val="clear" w:color="auto" w:fill="9BC2E6"/>
          </w:tcPr>
          <w:p w:rsidRPr="003A681C" w:rsidR="00B31578" w:rsidP="003A681C" w:rsidRDefault="00B31578" w14:paraId="541E9D04" w14:textId="436BE289">
            <w:pPr>
              <w:rPr>
                <w:rFonts w:ascii="Palatino Linotype" w:hAnsi="Palatino Linotype" w:cs="Calibri"/>
                <w:b/>
                <w:bCs/>
                <w:color w:val="000000"/>
                <w:sz w:val="24"/>
                <w:szCs w:val="24"/>
              </w:rPr>
            </w:pPr>
          </w:p>
        </w:tc>
      </w:tr>
      <w:tr w:rsidRPr="003A681C" w:rsidR="00B31578" w:rsidTr="00F07CFF" w14:paraId="3F8A9387" w14:textId="77777777">
        <w:trPr>
          <w:gridBefore w:val="1"/>
          <w:wBefore w:w="6" w:type="dxa"/>
          <w:trHeight w:val="630"/>
        </w:trPr>
        <w:tc>
          <w:tcPr>
            <w:tcW w:w="3370" w:type="dxa"/>
            <w:tcBorders>
              <w:top w:val="single" w:color="auto" w:sz="4" w:space="0"/>
              <w:left w:val="single" w:color="auto" w:sz="4" w:space="0"/>
              <w:bottom w:val="single" w:color="auto" w:sz="4" w:space="0"/>
              <w:right w:val="single" w:color="auto" w:sz="4" w:space="0"/>
            </w:tcBorders>
            <w:vAlign w:val="center"/>
            <w:hideMark/>
          </w:tcPr>
          <w:p w:rsidRPr="003A681C" w:rsidR="00B31578" w:rsidP="003A681C" w:rsidRDefault="00B31578" w14:paraId="388EA8F1" w14:textId="30FE7154">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Number of </w:t>
            </w:r>
            <w:r w:rsidRPr="249DB94A" w:rsidR="00C84710">
              <w:rPr>
                <w:rFonts w:ascii="Palatino Linotype" w:hAnsi="Palatino Linotype" w:cs="Calibri"/>
                <w:color w:val="000000" w:themeColor="text1"/>
                <w:sz w:val="24"/>
                <w:szCs w:val="24"/>
              </w:rPr>
              <w:t>TO-THE-METER</w:t>
            </w:r>
            <w:r w:rsidRPr="003A681C">
              <w:rPr>
                <w:rFonts w:ascii="Palatino Linotype" w:hAnsi="Palatino Linotype" w:cs="Calibri"/>
                <w:color w:val="000000"/>
                <w:sz w:val="24"/>
                <w:szCs w:val="24"/>
              </w:rPr>
              <w:t xml:space="preserve"> MH </w:t>
            </w:r>
            <w:r>
              <w:rPr>
                <w:rStyle w:val="FootnoteReference"/>
                <w:rFonts w:ascii="Palatino Linotype" w:hAnsi="Palatino Linotype" w:cs="Calibri"/>
                <w:color w:val="000000"/>
                <w:sz w:val="24"/>
                <w:szCs w:val="24"/>
              </w:rPr>
              <w:footnoteReference w:id="175"/>
            </w:r>
            <w:r>
              <w:rPr>
                <w:rFonts w:ascii="Palatino Linotype" w:hAnsi="Palatino Linotype" w:cs="Calibri"/>
                <w:color w:val="000000"/>
                <w:sz w:val="24"/>
                <w:szCs w:val="24"/>
              </w:rPr>
              <w:t xml:space="preserve"> </w:t>
            </w:r>
            <w:r w:rsidRPr="003A681C">
              <w:rPr>
                <w:rFonts w:ascii="Palatino Linotype" w:hAnsi="Palatino Linotype" w:cs="Calibri"/>
                <w:color w:val="000000"/>
                <w:sz w:val="24"/>
                <w:szCs w:val="24"/>
              </w:rPr>
              <w:t>and Covered Common Area Locations Converted (Gas)</w:t>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53F40190"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52ECCD40"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618AE538"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28886E6F"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1501710B"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735A68DE"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6709EBDD"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6E75FD7D" w14:textId="546CA52F">
            <w:pPr>
              <w:rPr>
                <w:rFonts w:ascii="Palatino Linotype" w:hAnsi="Palatino Linotype" w:cs="Calibri"/>
                <w:color w:val="000000"/>
                <w:sz w:val="24"/>
                <w:szCs w:val="24"/>
              </w:rPr>
            </w:pPr>
          </w:p>
        </w:tc>
      </w:tr>
      <w:tr w:rsidRPr="003A681C" w:rsidR="00B31578" w:rsidTr="00F07CFF" w14:paraId="2FF40705" w14:textId="77777777">
        <w:trPr>
          <w:gridBefore w:val="1"/>
          <w:wBefore w:w="6" w:type="dxa"/>
          <w:trHeight w:val="630"/>
        </w:trPr>
        <w:tc>
          <w:tcPr>
            <w:tcW w:w="3370" w:type="dxa"/>
            <w:tcBorders>
              <w:top w:val="single" w:color="auto" w:sz="4" w:space="0"/>
              <w:left w:val="single" w:color="auto" w:sz="4" w:space="0"/>
              <w:bottom w:val="single" w:color="auto" w:sz="4" w:space="0"/>
              <w:right w:val="single" w:color="auto" w:sz="4" w:space="0"/>
            </w:tcBorders>
            <w:vAlign w:val="center"/>
            <w:hideMark/>
          </w:tcPr>
          <w:p w:rsidRPr="003A681C" w:rsidR="00B31578" w:rsidP="003A681C" w:rsidRDefault="00B31578" w14:paraId="424A8A45" w14:textId="2C4E76D6">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Number of </w:t>
            </w:r>
            <w:r w:rsidR="00C84710">
              <w:rPr>
                <w:rFonts w:ascii="Palatino Linotype" w:hAnsi="Palatino Linotype" w:cs="Calibri"/>
                <w:color w:val="000000"/>
                <w:sz w:val="24"/>
                <w:szCs w:val="24"/>
              </w:rPr>
              <w:t>TO-THE-METER</w:t>
            </w:r>
            <w:r w:rsidRPr="003A681C">
              <w:rPr>
                <w:rFonts w:ascii="Palatino Linotype" w:hAnsi="Palatino Linotype" w:cs="Calibri"/>
                <w:color w:val="000000"/>
                <w:sz w:val="24"/>
                <w:szCs w:val="24"/>
              </w:rPr>
              <w:t xml:space="preserve"> MH and Covered Common Area Locations Converted (Electric)</w:t>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40A745F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6C331653"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7EEC5DF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4CDCE70D"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5198CB58"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6DBDBED7"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6CC3AEDA"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234F3013" w14:textId="16B30496">
            <w:pPr>
              <w:rPr>
                <w:rFonts w:ascii="Palatino Linotype" w:hAnsi="Palatino Linotype" w:cs="Calibri"/>
                <w:color w:val="000000"/>
                <w:sz w:val="24"/>
                <w:szCs w:val="24"/>
              </w:rPr>
            </w:pPr>
          </w:p>
        </w:tc>
      </w:tr>
      <w:tr w:rsidRPr="003A681C" w:rsidR="001E05A5" w:rsidTr="00F07CFF" w14:paraId="7A270E81" w14:textId="77777777">
        <w:trPr>
          <w:gridBefore w:val="1"/>
          <w:wBefore w:w="6" w:type="dxa"/>
          <w:trHeight w:val="390"/>
        </w:trPr>
        <w:tc>
          <w:tcPr>
            <w:tcW w:w="11504" w:type="dxa"/>
            <w:gridSpan w:val="16"/>
            <w:tcBorders>
              <w:top w:val="single" w:color="auto" w:sz="4" w:space="0"/>
              <w:left w:val="single" w:color="auto" w:sz="4" w:space="0"/>
              <w:bottom w:val="single" w:color="auto" w:sz="4" w:space="0"/>
              <w:right w:val="single" w:color="auto" w:sz="4" w:space="0"/>
            </w:tcBorders>
            <w:shd w:val="clear" w:color="auto" w:fill="D9E1F2"/>
          </w:tcPr>
          <w:p w:rsidRPr="003A681C" w:rsidR="001E05A5" w:rsidP="00696928" w:rsidRDefault="001E05A5" w14:paraId="3FBE148C" w14:textId="233CC810">
            <w:pPr>
              <w:jc w:val="center"/>
              <w:rPr>
                <w:rFonts w:ascii="Palatino Linotype" w:hAnsi="Palatino Linotype" w:cs="Calibri"/>
                <w:b/>
                <w:bCs/>
                <w:color w:val="000000"/>
                <w:sz w:val="28"/>
                <w:szCs w:val="28"/>
              </w:rPr>
            </w:pPr>
            <w:r w:rsidRPr="003A681C">
              <w:rPr>
                <w:rFonts w:ascii="Palatino Linotype" w:hAnsi="Palatino Linotype" w:cs="Calibri"/>
                <w:b/>
                <w:bCs/>
                <w:color w:val="000000"/>
                <w:sz w:val="28"/>
                <w:szCs w:val="28"/>
              </w:rPr>
              <w:t>Cost Information</w:t>
            </w:r>
          </w:p>
        </w:tc>
      </w:tr>
      <w:tr w:rsidRPr="003A681C" w:rsidR="001E05A5" w:rsidTr="00F07CFF" w14:paraId="72E7D76F" w14:textId="77777777">
        <w:trPr>
          <w:gridBefore w:val="1"/>
          <w:wBefore w:w="6" w:type="dxa"/>
          <w:trHeight w:val="50"/>
        </w:trPr>
        <w:tc>
          <w:tcPr>
            <w:tcW w:w="11504" w:type="dxa"/>
            <w:gridSpan w:val="16"/>
            <w:tcBorders>
              <w:top w:val="single" w:color="auto" w:sz="4" w:space="0"/>
              <w:left w:val="single" w:color="auto" w:sz="4" w:space="0"/>
              <w:bottom w:val="single" w:color="auto" w:sz="4" w:space="0"/>
              <w:right w:val="single" w:color="auto" w:sz="4" w:space="0"/>
            </w:tcBorders>
            <w:shd w:val="clear" w:color="auto" w:fill="9BC2E6"/>
          </w:tcPr>
          <w:p w:rsidRPr="003A681C" w:rsidR="001E05A5" w:rsidP="003A681C" w:rsidRDefault="001E05A5" w14:paraId="47646E4A" w14:textId="5EEB138E">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To-The-Meter - Capital Costs</w:t>
            </w:r>
          </w:p>
        </w:tc>
      </w:tr>
      <w:tr w:rsidRPr="003A681C" w:rsidR="001E05A5" w:rsidTr="00F07CFF" w14:paraId="2429E796" w14:textId="77777777">
        <w:trPr>
          <w:gridBefore w:val="1"/>
          <w:wBefore w:w="6" w:type="dxa"/>
          <w:trHeight w:val="315"/>
        </w:trPr>
        <w:tc>
          <w:tcPr>
            <w:tcW w:w="11504" w:type="dxa"/>
            <w:gridSpan w:val="16"/>
            <w:tcBorders>
              <w:top w:val="single" w:color="auto" w:sz="4" w:space="0"/>
              <w:left w:val="single" w:color="auto" w:sz="4" w:space="0"/>
              <w:bottom w:val="single" w:color="auto" w:sz="4" w:space="0"/>
              <w:right w:val="single" w:color="auto" w:sz="4" w:space="0"/>
            </w:tcBorders>
          </w:tcPr>
          <w:p w:rsidRPr="003A681C" w:rsidR="001E05A5" w:rsidP="003A681C" w:rsidRDefault="001E05A5" w14:paraId="4340B343" w14:textId="4B3BF69D">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Construction Direct Costs </w:t>
            </w:r>
          </w:p>
        </w:tc>
      </w:tr>
      <w:tr w:rsidRPr="003A681C" w:rsidR="00F52D5F" w:rsidTr="00FC56B4" w14:paraId="3B03FFCB" w14:textId="77777777">
        <w:trPr>
          <w:gridBefore w:val="1"/>
          <w:wBefore w:w="6" w:type="dxa"/>
          <w:trHeight w:val="315"/>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76A61B96" w14:textId="77777777">
            <w:pPr>
              <w:ind w:firstLine="240" w:firstLineChars="100"/>
              <w:rPr>
                <w:rFonts w:ascii="Palatino Linotype" w:hAnsi="Palatino Linotype" w:cs="Calibri"/>
                <w:color w:val="000000"/>
                <w:sz w:val="24"/>
                <w:szCs w:val="24"/>
              </w:rPr>
            </w:pPr>
            <w:r w:rsidRPr="003A681C">
              <w:rPr>
                <w:rFonts w:ascii="Palatino Linotype" w:hAnsi="Palatino Linotype" w:cs="Calibri"/>
                <w:color w:val="000000"/>
                <w:sz w:val="24"/>
                <w:szCs w:val="24"/>
              </w:rPr>
              <w:t>Civil/Trenching</w:t>
            </w:r>
          </w:p>
        </w:tc>
        <w:tc>
          <w:tcPr>
            <w:tcW w:w="3776" w:type="dxa"/>
            <w:gridSpan w:val="2"/>
            <w:vMerge w:val="restart"/>
            <w:tcBorders>
              <w:top w:val="single" w:color="auto" w:sz="4" w:space="0"/>
              <w:left w:val="single" w:color="auto" w:sz="4" w:space="0"/>
              <w:right w:val="single" w:color="auto" w:sz="4" w:space="0"/>
            </w:tcBorders>
            <w:vAlign w:val="center"/>
            <w:hideMark/>
          </w:tcPr>
          <w:p w:rsidRPr="003A681C" w:rsidR="00B31578" w:rsidP="003A681C" w:rsidRDefault="00B31578" w14:paraId="5D7D4F3D" w14:textId="7D5E9E66">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To the Meter </w:t>
            </w:r>
            <w:r>
              <w:rPr>
                <w:rFonts w:ascii="Palatino Linotype" w:hAnsi="Palatino Linotype" w:cs="Calibri"/>
                <w:color w:val="000000"/>
                <w:sz w:val="24"/>
                <w:szCs w:val="24"/>
              </w:rPr>
              <w:t>c</w:t>
            </w:r>
            <w:r w:rsidRPr="003A681C">
              <w:rPr>
                <w:rFonts w:ascii="Palatino Linotype" w:hAnsi="Palatino Linotype" w:cs="Calibri"/>
                <w:color w:val="000000"/>
                <w:sz w:val="24"/>
                <w:szCs w:val="24"/>
              </w:rPr>
              <w:t xml:space="preserve">onstruction costs for civil related activities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2B55B9D8"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2C74F6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33E54F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094EA888"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29A4153E"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5C0DDA60"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16CFBFF6" w14:textId="6CB44D7E">
            <w:pPr>
              <w:rPr>
                <w:rFonts w:ascii="Palatino Linotype" w:hAnsi="Palatino Linotype" w:cs="Calibri"/>
                <w:color w:val="000000"/>
                <w:sz w:val="24"/>
                <w:szCs w:val="24"/>
              </w:rPr>
            </w:pPr>
          </w:p>
        </w:tc>
      </w:tr>
      <w:tr w:rsidRPr="003A681C" w:rsidR="00F52D5F" w:rsidTr="00FC56B4" w14:paraId="505A1EFD" w14:textId="77777777">
        <w:trPr>
          <w:gridBefore w:val="1"/>
          <w:wBefore w:w="6" w:type="dxa"/>
          <w:trHeight w:val="315"/>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2378F284" w14:textId="77777777">
            <w:pPr>
              <w:ind w:firstLine="509" w:firstLineChars="212"/>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Electric </w:t>
            </w:r>
          </w:p>
        </w:tc>
        <w:tc>
          <w:tcPr>
            <w:tcW w:w="3776" w:type="dxa"/>
            <w:gridSpan w:val="2"/>
            <w:vMerge/>
            <w:tcBorders>
              <w:right w:val="single" w:color="auto" w:sz="4" w:space="0"/>
            </w:tcBorders>
            <w:vAlign w:val="center"/>
            <w:hideMark/>
          </w:tcPr>
          <w:p w:rsidRPr="003A681C" w:rsidR="00B31578" w:rsidP="003A681C" w:rsidRDefault="00B31578" w14:paraId="71FC72FD" w14:textId="77777777">
            <w:pPr>
              <w:spacing w:line="276" w:lineRule="auto"/>
              <w:rPr>
                <w:rFonts w:ascii="Palatino Linotype" w:hAnsi="Palatino Linotype" w:cs="Calibri"/>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3A681C" w:rsidRDefault="00B31578" w14:paraId="7CD44739"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76BD448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55FABB65"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0EF3EF21"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3F298BDF"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7544400C"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37E7BD68" w14:textId="7D77BAC0">
            <w:pPr>
              <w:rPr>
                <w:rFonts w:ascii="Palatino Linotype" w:hAnsi="Palatino Linotype" w:cs="Calibri"/>
                <w:color w:val="000000"/>
                <w:sz w:val="24"/>
                <w:szCs w:val="24"/>
              </w:rPr>
            </w:pPr>
          </w:p>
        </w:tc>
      </w:tr>
      <w:tr w:rsidRPr="003A681C" w:rsidR="007B435E" w:rsidTr="00FC56B4" w14:paraId="4116F700" w14:textId="77777777">
        <w:trPr>
          <w:gridBefore w:val="1"/>
          <w:wBefore w:w="6" w:type="dxa"/>
          <w:trHeight w:val="315"/>
        </w:trPr>
        <w:tc>
          <w:tcPr>
            <w:tcW w:w="3370" w:type="dxa"/>
            <w:tcBorders>
              <w:top w:val="nil"/>
              <w:left w:val="single" w:color="auto" w:sz="4" w:space="0"/>
              <w:bottom w:val="single" w:color="auto" w:sz="4" w:space="0"/>
              <w:right w:val="single" w:color="auto" w:sz="4" w:space="0"/>
            </w:tcBorders>
            <w:noWrap/>
            <w:vAlign w:val="center"/>
            <w:hideMark/>
          </w:tcPr>
          <w:p w:rsidRPr="003A681C" w:rsidR="00B31578" w:rsidP="00832DDC" w:rsidRDefault="00B31578" w14:paraId="2C63B271" w14:textId="77777777">
            <w:pPr>
              <w:ind w:firstLine="509" w:firstLineChars="212"/>
              <w:rPr>
                <w:rFonts w:ascii="Palatino Linotype" w:hAnsi="Palatino Linotype" w:cs="Calibri"/>
                <w:color w:val="000000"/>
                <w:sz w:val="24"/>
                <w:szCs w:val="24"/>
              </w:rPr>
            </w:pPr>
            <w:r w:rsidRPr="003A681C">
              <w:rPr>
                <w:rFonts w:ascii="Palatino Linotype" w:hAnsi="Palatino Linotype" w:cs="Calibri"/>
                <w:color w:val="000000"/>
                <w:sz w:val="24"/>
                <w:szCs w:val="24"/>
              </w:rPr>
              <w:t>Gas</w:t>
            </w:r>
          </w:p>
        </w:tc>
        <w:tc>
          <w:tcPr>
            <w:tcW w:w="3776" w:type="dxa"/>
            <w:gridSpan w:val="2"/>
            <w:vMerge/>
            <w:tcBorders>
              <w:right w:val="single" w:color="auto" w:sz="4" w:space="0"/>
            </w:tcBorders>
            <w:vAlign w:val="center"/>
            <w:hideMark/>
          </w:tcPr>
          <w:p w:rsidRPr="003A681C" w:rsidR="00B31578" w:rsidP="003A681C" w:rsidRDefault="00B31578" w14:paraId="07C16D6C" w14:textId="77777777">
            <w:pPr>
              <w:spacing w:line="276" w:lineRule="auto"/>
              <w:rPr>
                <w:rFonts w:ascii="Palatino Linotype" w:hAnsi="Palatino Linotype" w:cs="Calibri"/>
                <w:color w:val="000000"/>
                <w:sz w:val="24"/>
                <w:szCs w:val="24"/>
              </w:rPr>
            </w:pPr>
          </w:p>
        </w:tc>
        <w:tc>
          <w:tcPr>
            <w:tcW w:w="717" w:type="dxa"/>
            <w:gridSpan w:val="2"/>
            <w:tcBorders>
              <w:top w:val="nil"/>
              <w:left w:val="single" w:color="auto" w:sz="4" w:space="0"/>
              <w:bottom w:val="single" w:color="auto" w:sz="4" w:space="0"/>
              <w:right w:val="single" w:color="auto" w:sz="4" w:space="0"/>
            </w:tcBorders>
            <w:noWrap/>
            <w:vAlign w:val="center"/>
            <w:hideMark/>
          </w:tcPr>
          <w:p w:rsidRPr="003A681C" w:rsidR="00B31578" w:rsidP="003A681C" w:rsidRDefault="00B31578" w14:paraId="228F8FF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7891E3DE"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0FDFBB4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151F6CFB" w14:textId="77777777">
            <w:pPr>
              <w:rPr>
                <w:rFonts w:ascii="Palatino Linotype" w:hAnsi="Palatino Linotype" w:cs="Calibri"/>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3A681C" w:rsidRDefault="00B31578" w14:paraId="71A48DC8" w14:textId="77777777">
            <w:pPr>
              <w:rPr>
                <w:rFonts w:ascii="Palatino Linotype" w:hAnsi="Palatino Linotype" w:cs="Calibri"/>
                <w:color w:val="000000"/>
                <w:sz w:val="24"/>
                <w:szCs w:val="24"/>
              </w:rPr>
            </w:pPr>
          </w:p>
        </w:tc>
        <w:tc>
          <w:tcPr>
            <w:tcW w:w="319" w:type="dxa"/>
            <w:gridSpan w:val="2"/>
            <w:tcBorders>
              <w:top w:val="nil"/>
              <w:left w:val="nil"/>
              <w:bottom w:val="single" w:color="auto" w:sz="4" w:space="0"/>
              <w:right w:val="nil"/>
            </w:tcBorders>
          </w:tcPr>
          <w:p w:rsidRPr="003A681C" w:rsidR="00B31578" w:rsidP="003A681C" w:rsidRDefault="00B31578" w14:paraId="60DD5415"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50E01F20" w14:textId="5740828E">
            <w:pPr>
              <w:rPr>
                <w:rFonts w:ascii="Palatino Linotype" w:hAnsi="Palatino Linotype" w:cs="Calibri"/>
                <w:color w:val="000000"/>
                <w:sz w:val="24"/>
                <w:szCs w:val="24"/>
              </w:rPr>
            </w:pPr>
          </w:p>
        </w:tc>
      </w:tr>
      <w:tr w:rsidRPr="003A681C" w:rsidR="001E05A5" w:rsidTr="00F07CFF" w14:paraId="2F962C19" w14:textId="77777777">
        <w:trPr>
          <w:gridBefore w:val="1"/>
          <w:wBefore w:w="6" w:type="dxa"/>
          <w:trHeight w:val="368"/>
        </w:trPr>
        <w:tc>
          <w:tcPr>
            <w:tcW w:w="11504" w:type="dxa"/>
            <w:gridSpan w:val="16"/>
            <w:tcBorders>
              <w:top w:val="single" w:color="auto" w:sz="4" w:space="0"/>
              <w:left w:val="single" w:color="auto" w:sz="4" w:space="0"/>
              <w:bottom w:val="single" w:color="auto" w:sz="4" w:space="0"/>
              <w:right w:val="single" w:color="auto" w:sz="4" w:space="0"/>
            </w:tcBorders>
          </w:tcPr>
          <w:p w:rsidRPr="003A681C" w:rsidR="001E05A5" w:rsidP="00832DDC" w:rsidRDefault="001E05A5" w14:paraId="290E95D1" w14:textId="5D8D78DB">
            <w:pPr>
              <w:ind w:firstLine="240" w:firstLineChars="100"/>
              <w:rPr>
                <w:rFonts w:ascii="Palatino Linotype" w:hAnsi="Palatino Linotype" w:cs="Calibri"/>
                <w:color w:val="000000"/>
                <w:sz w:val="24"/>
                <w:szCs w:val="24"/>
              </w:rPr>
            </w:pPr>
            <w:r w:rsidRPr="003A681C">
              <w:rPr>
                <w:rFonts w:ascii="Palatino Linotype" w:hAnsi="Palatino Linotype" w:cs="Calibri"/>
                <w:color w:val="000000"/>
                <w:sz w:val="24"/>
                <w:szCs w:val="24"/>
              </w:rPr>
              <w:t>Gas System </w:t>
            </w:r>
          </w:p>
        </w:tc>
      </w:tr>
      <w:tr w:rsidRPr="003A681C" w:rsidR="00B31578" w:rsidTr="00F07CFF" w14:paraId="07705AFF" w14:textId="77777777">
        <w:trPr>
          <w:trHeight w:val="1530"/>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2F268543" w14:textId="77777777">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Labor</w:t>
            </w:r>
          </w:p>
        </w:tc>
        <w:tc>
          <w:tcPr>
            <w:tcW w:w="3866" w:type="dxa"/>
            <w:gridSpan w:val="3"/>
            <w:tcBorders>
              <w:top w:val="single" w:color="auto" w:sz="4" w:space="0"/>
              <w:left w:val="nil"/>
              <w:bottom w:val="single" w:color="auto" w:sz="4" w:space="0"/>
              <w:right w:val="single" w:color="auto" w:sz="4" w:space="0"/>
            </w:tcBorders>
            <w:hideMark/>
          </w:tcPr>
          <w:p w:rsidRPr="003A681C" w:rsidR="00B31578" w:rsidP="003A681C" w:rsidRDefault="00B31578" w14:paraId="73D32E6F" w14:textId="77777777">
            <w:pPr>
              <w:rPr>
                <w:rFonts w:ascii="Palatino Linotype" w:hAnsi="Palatino Linotype" w:cs="Calibri"/>
                <w:sz w:val="24"/>
                <w:szCs w:val="24"/>
              </w:rPr>
            </w:pPr>
            <w:r w:rsidRPr="003A681C">
              <w:rPr>
                <w:rFonts w:ascii="Palatino Linotype" w:hAnsi="Palatino Linotype" w:cs="Calibri"/>
                <w:sz w:val="24"/>
                <w:szCs w:val="24"/>
              </w:rPr>
              <w:t>Cost for installation of distribution Gas assets, pre-inspection testing, decommissioning of legacy system (Gas Design cost was previously incorporated here)</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7A94307"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37D09D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6EEF033F"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625C840B"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12427317"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53FBF286"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1A45EBB6" w14:textId="1167BE4B">
            <w:pPr>
              <w:rPr>
                <w:rFonts w:ascii="Palatino Linotype" w:hAnsi="Palatino Linotype" w:cs="Calibri"/>
                <w:color w:val="000000"/>
                <w:sz w:val="24"/>
                <w:szCs w:val="24"/>
              </w:rPr>
            </w:pPr>
          </w:p>
        </w:tc>
      </w:tr>
      <w:tr w:rsidRPr="003A681C" w:rsidR="00B31578" w:rsidTr="00F07CFF" w14:paraId="5C10692B" w14:textId="77777777">
        <w:trPr>
          <w:trHeight w:val="945"/>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7C5F8CC0" w14:textId="77777777">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Material / Structures</w:t>
            </w:r>
          </w:p>
        </w:tc>
        <w:tc>
          <w:tcPr>
            <w:tcW w:w="3866" w:type="dxa"/>
            <w:gridSpan w:val="3"/>
            <w:tcBorders>
              <w:top w:val="single" w:color="auto" w:sz="4" w:space="0"/>
              <w:left w:val="nil"/>
              <w:bottom w:val="single" w:color="auto" w:sz="4" w:space="0"/>
              <w:right w:val="single" w:color="auto" w:sz="4" w:space="0"/>
            </w:tcBorders>
            <w:vAlign w:val="bottom"/>
            <w:hideMark/>
          </w:tcPr>
          <w:p w:rsidRPr="003A681C" w:rsidR="00B31578" w:rsidP="003A681C" w:rsidRDefault="00B31578" w14:paraId="78A790B7" w14:textId="31EFA644">
            <w:pPr>
              <w:rPr>
                <w:rFonts w:ascii="Palatino Linotype" w:hAnsi="Palatino Linotype" w:cs="Calibri"/>
                <w:sz w:val="24"/>
                <w:szCs w:val="24"/>
              </w:rPr>
            </w:pPr>
            <w:r w:rsidRPr="003A681C">
              <w:rPr>
                <w:rFonts w:ascii="Palatino Linotype" w:hAnsi="Palatino Linotype" w:cs="Calibri"/>
                <w:sz w:val="24"/>
                <w:szCs w:val="24"/>
              </w:rPr>
              <w:t>Pipes, fittings, and other necessary materials required for gas construction</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4F67BD22"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59CF968B"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BCF407F"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28E9EE21"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31611EFD"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29BE0E12"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75EE8FD2" w14:textId="20A309DC">
            <w:pPr>
              <w:rPr>
                <w:rFonts w:ascii="Palatino Linotype" w:hAnsi="Palatino Linotype" w:cs="Calibri"/>
                <w:color w:val="000000"/>
                <w:sz w:val="24"/>
                <w:szCs w:val="24"/>
              </w:rPr>
            </w:pPr>
          </w:p>
        </w:tc>
      </w:tr>
      <w:tr w:rsidRPr="003A681C" w:rsidR="00B31578" w:rsidTr="00F07CFF" w14:paraId="4B6B5EC5" w14:textId="77777777">
        <w:trPr>
          <w:trHeight w:val="638"/>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7C9F7673" w14:textId="77777777">
            <w:pPr>
              <w:ind w:left="600"/>
              <w:rPr>
                <w:rFonts w:ascii="Palatino Linotype" w:hAnsi="Palatino Linotype" w:cs="Calibri"/>
                <w:color w:val="000000"/>
                <w:sz w:val="24"/>
                <w:szCs w:val="24"/>
              </w:rPr>
            </w:pPr>
            <w:r w:rsidRPr="003A681C">
              <w:rPr>
                <w:rFonts w:ascii="Palatino Linotype" w:hAnsi="Palatino Linotype" w:cs="Calibri"/>
                <w:color w:val="000000"/>
                <w:sz w:val="24"/>
                <w:szCs w:val="24"/>
              </w:rPr>
              <w:t>Design/Construction Management</w:t>
            </w:r>
          </w:p>
        </w:tc>
        <w:tc>
          <w:tcPr>
            <w:tcW w:w="3866" w:type="dxa"/>
            <w:gridSpan w:val="3"/>
            <w:tcBorders>
              <w:top w:val="single" w:color="auto" w:sz="4" w:space="0"/>
              <w:left w:val="nil"/>
              <w:bottom w:val="single" w:color="auto" w:sz="4" w:space="0"/>
              <w:right w:val="single" w:color="auto" w:sz="4" w:space="0"/>
            </w:tcBorders>
            <w:vAlign w:val="bottom"/>
            <w:hideMark/>
          </w:tcPr>
          <w:p w:rsidRPr="003A681C" w:rsidR="00B31578" w:rsidP="003A681C" w:rsidRDefault="00B31578" w14:paraId="0C902632" w14:textId="51CA583E">
            <w:pPr>
              <w:rPr>
                <w:rFonts w:ascii="Palatino Linotype" w:hAnsi="Palatino Linotype" w:cs="Calibri"/>
                <w:sz w:val="24"/>
                <w:szCs w:val="24"/>
              </w:rPr>
            </w:pPr>
            <w:r w:rsidRPr="003A681C">
              <w:rPr>
                <w:rFonts w:ascii="Palatino Linotype" w:hAnsi="Palatino Linotype" w:cs="Calibri"/>
                <w:sz w:val="24"/>
                <w:szCs w:val="24"/>
              </w:rPr>
              <w:t>Cost for engineering, design</w:t>
            </w:r>
            <w:r>
              <w:rPr>
                <w:rFonts w:ascii="Palatino Linotype" w:hAnsi="Palatino Linotype" w:cs="Calibri"/>
                <w:sz w:val="24"/>
                <w:szCs w:val="24"/>
              </w:rPr>
              <w:t>,</w:t>
            </w:r>
            <w:r w:rsidRPr="003A681C">
              <w:rPr>
                <w:rFonts w:ascii="Palatino Linotype" w:hAnsi="Palatino Linotype" w:cs="Calibri"/>
                <w:sz w:val="24"/>
                <w:szCs w:val="24"/>
              </w:rPr>
              <w:t xml:space="preserve"> and construction inspection cost</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1160EEE"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6476DDF"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4D4EBA5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604F432A"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5BD09EDD"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30AEA1F7"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6D6B60BF" w14:textId="10D0ADF7">
            <w:pPr>
              <w:rPr>
                <w:rFonts w:ascii="Palatino Linotype" w:hAnsi="Palatino Linotype" w:cs="Calibri"/>
                <w:color w:val="000000"/>
                <w:sz w:val="24"/>
                <w:szCs w:val="24"/>
              </w:rPr>
            </w:pPr>
          </w:p>
        </w:tc>
      </w:tr>
      <w:tr w:rsidRPr="003A681C" w:rsidR="001E05A5" w:rsidTr="00F07CFF" w14:paraId="62A0E931" w14:textId="77777777">
        <w:trPr>
          <w:gridBefore w:val="1"/>
          <w:wBefore w:w="6" w:type="dxa"/>
          <w:trHeight w:val="413"/>
        </w:trPr>
        <w:tc>
          <w:tcPr>
            <w:tcW w:w="11504" w:type="dxa"/>
            <w:gridSpan w:val="16"/>
            <w:tcBorders>
              <w:top w:val="single" w:color="auto" w:sz="4" w:space="0"/>
              <w:left w:val="single" w:color="auto" w:sz="4" w:space="0"/>
              <w:bottom w:val="single" w:color="auto" w:sz="4" w:space="0"/>
              <w:right w:val="single" w:color="auto" w:sz="4" w:space="0"/>
            </w:tcBorders>
          </w:tcPr>
          <w:p w:rsidRPr="003A681C" w:rsidR="001E05A5" w:rsidP="00832DDC" w:rsidRDefault="001E05A5" w14:paraId="711F8E3F" w14:textId="0F94B4B2">
            <w:pPr>
              <w:ind w:firstLine="329" w:firstLineChars="137"/>
              <w:rPr>
                <w:rFonts w:ascii="Palatino Linotype" w:hAnsi="Palatino Linotype" w:cs="Calibri"/>
                <w:color w:val="000000"/>
                <w:sz w:val="24"/>
                <w:szCs w:val="24"/>
              </w:rPr>
            </w:pPr>
            <w:r w:rsidRPr="003A681C">
              <w:rPr>
                <w:rFonts w:ascii="Palatino Linotype" w:hAnsi="Palatino Linotype" w:cs="Calibri"/>
                <w:color w:val="000000"/>
                <w:sz w:val="24"/>
                <w:szCs w:val="24"/>
              </w:rPr>
              <w:t>Electric System </w:t>
            </w:r>
          </w:p>
        </w:tc>
      </w:tr>
      <w:tr w:rsidRPr="003A681C" w:rsidR="00B31578" w:rsidTr="00F07CFF" w14:paraId="4D9DC138" w14:textId="77777777">
        <w:trPr>
          <w:trHeight w:val="1484"/>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521EE2A1" w14:textId="77777777">
            <w:pPr>
              <w:ind w:firstLine="600" w:firstLineChars="250"/>
              <w:rPr>
                <w:rFonts w:ascii="Palatino Linotype" w:hAnsi="Palatino Linotype" w:cs="Calibri"/>
                <w:color w:val="000000"/>
                <w:sz w:val="24"/>
                <w:szCs w:val="24"/>
              </w:rPr>
            </w:pPr>
            <w:bookmarkStart w:name="_Hlk31707639" w:id="52"/>
            <w:r w:rsidRPr="003A681C">
              <w:rPr>
                <w:rFonts w:ascii="Palatino Linotype" w:hAnsi="Palatino Linotype" w:cs="Calibri"/>
                <w:color w:val="000000"/>
                <w:sz w:val="24"/>
                <w:szCs w:val="24"/>
              </w:rPr>
              <w:t>Labor</w:t>
            </w:r>
          </w:p>
        </w:tc>
        <w:tc>
          <w:tcPr>
            <w:tcW w:w="3866" w:type="dxa"/>
            <w:gridSpan w:val="3"/>
            <w:tcBorders>
              <w:top w:val="single" w:color="auto" w:sz="4" w:space="0"/>
              <w:left w:val="nil"/>
              <w:bottom w:val="single" w:color="auto" w:sz="4" w:space="0"/>
              <w:right w:val="single" w:color="auto" w:sz="4" w:space="0"/>
            </w:tcBorders>
            <w:vAlign w:val="bottom"/>
            <w:hideMark/>
          </w:tcPr>
          <w:p w:rsidRPr="003A681C" w:rsidR="00B31578" w:rsidP="003A681C" w:rsidRDefault="00B31578" w14:paraId="05E90E90" w14:textId="4C13FC33">
            <w:pPr>
              <w:rPr>
                <w:rFonts w:ascii="Palatino Linotype" w:hAnsi="Palatino Linotype" w:cs="Calibri"/>
                <w:sz w:val="24"/>
                <w:szCs w:val="24"/>
              </w:rPr>
            </w:pPr>
            <w:r w:rsidRPr="003A681C">
              <w:rPr>
                <w:rFonts w:ascii="Palatino Linotype" w:hAnsi="Palatino Linotype" w:cs="Calibri"/>
                <w:sz w:val="24"/>
                <w:szCs w:val="24"/>
              </w:rPr>
              <w:t xml:space="preserve">Cost for installation of distribution </w:t>
            </w:r>
            <w:r>
              <w:rPr>
                <w:rFonts w:ascii="Palatino Linotype" w:hAnsi="Palatino Linotype" w:cs="Calibri"/>
                <w:sz w:val="24"/>
                <w:szCs w:val="24"/>
              </w:rPr>
              <w:t>e</w:t>
            </w:r>
            <w:r w:rsidRPr="003A681C">
              <w:rPr>
                <w:rFonts w:ascii="Palatino Linotype" w:hAnsi="Palatino Linotype" w:cs="Calibri"/>
                <w:sz w:val="24"/>
                <w:szCs w:val="24"/>
              </w:rPr>
              <w:t xml:space="preserve">lectric assets, pre-inspection testing, decommissioning of legacy system (Electric </w:t>
            </w:r>
            <w:r>
              <w:rPr>
                <w:rFonts w:ascii="Palatino Linotype" w:hAnsi="Palatino Linotype" w:cs="Calibri"/>
                <w:sz w:val="24"/>
                <w:szCs w:val="24"/>
              </w:rPr>
              <w:t>d</w:t>
            </w:r>
            <w:r w:rsidRPr="003A681C">
              <w:rPr>
                <w:rFonts w:ascii="Palatino Linotype" w:hAnsi="Palatino Linotype" w:cs="Calibri"/>
                <w:sz w:val="24"/>
                <w:szCs w:val="24"/>
              </w:rPr>
              <w:t>esign cost was previously incorporated here)</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58E05625"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155AD3F"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EE421A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50EAEBDD"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5F6756F9"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70EDEBD7"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1A80788F" w14:textId="4BC57387">
            <w:pPr>
              <w:rPr>
                <w:rFonts w:ascii="Palatino Linotype" w:hAnsi="Palatino Linotype" w:cs="Calibri"/>
                <w:color w:val="000000"/>
                <w:sz w:val="24"/>
                <w:szCs w:val="24"/>
              </w:rPr>
            </w:pPr>
          </w:p>
        </w:tc>
      </w:tr>
      <w:tr w:rsidRPr="003A681C" w:rsidR="00B31578" w:rsidTr="00F07CFF" w14:paraId="19F4A858" w14:textId="77777777">
        <w:trPr>
          <w:trHeight w:val="935"/>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380A4ED2" w14:textId="77777777">
            <w:pPr>
              <w:ind w:firstLine="689" w:firstLineChars="287"/>
              <w:rPr>
                <w:rFonts w:ascii="Palatino Linotype" w:hAnsi="Palatino Linotype" w:cs="Calibri"/>
                <w:color w:val="000000"/>
                <w:sz w:val="24"/>
                <w:szCs w:val="24"/>
              </w:rPr>
            </w:pPr>
            <w:r w:rsidRPr="003A681C">
              <w:rPr>
                <w:rFonts w:ascii="Palatino Linotype" w:hAnsi="Palatino Linotype" w:cs="Calibri"/>
                <w:color w:val="000000"/>
                <w:sz w:val="24"/>
                <w:szCs w:val="24"/>
              </w:rPr>
              <w:t>Material / Structures</w:t>
            </w:r>
          </w:p>
        </w:tc>
        <w:tc>
          <w:tcPr>
            <w:tcW w:w="3866" w:type="dxa"/>
            <w:gridSpan w:val="3"/>
            <w:tcBorders>
              <w:top w:val="single" w:color="auto" w:sz="4" w:space="0"/>
              <w:left w:val="nil"/>
              <w:bottom w:val="single" w:color="auto" w:sz="4" w:space="0"/>
              <w:right w:val="single" w:color="auto" w:sz="4" w:space="0"/>
            </w:tcBorders>
            <w:vAlign w:val="bottom"/>
            <w:hideMark/>
          </w:tcPr>
          <w:p w:rsidRPr="003A681C" w:rsidR="00B31578" w:rsidP="003A681C" w:rsidRDefault="00B31578" w14:paraId="7E7EA115" w14:textId="1D686B28">
            <w:pPr>
              <w:rPr>
                <w:rFonts w:ascii="Palatino Linotype" w:hAnsi="Palatino Linotype" w:cs="Calibri"/>
                <w:sz w:val="24"/>
                <w:szCs w:val="24"/>
              </w:rPr>
            </w:pPr>
            <w:r w:rsidRPr="003A681C">
              <w:rPr>
                <w:rFonts w:ascii="Palatino Linotype" w:hAnsi="Palatino Linotype" w:cs="Calibri"/>
                <w:sz w:val="24"/>
                <w:szCs w:val="24"/>
              </w:rPr>
              <w:t>Cables, conduits, poles, transformers</w:t>
            </w:r>
            <w:r w:rsidRPr="003A681C" w:rsidR="001760E7">
              <w:rPr>
                <w:rFonts w:ascii="Palatino Linotype" w:hAnsi="Palatino Linotype" w:cs="Calibri"/>
                <w:sz w:val="24"/>
                <w:szCs w:val="24"/>
              </w:rPr>
              <w:t>,</w:t>
            </w:r>
            <w:r w:rsidRPr="003A681C">
              <w:rPr>
                <w:rFonts w:ascii="Palatino Linotype" w:hAnsi="Palatino Linotype" w:cs="Calibri"/>
                <w:sz w:val="24"/>
                <w:szCs w:val="24"/>
              </w:rPr>
              <w:t xml:space="preserve"> and other necessary materials for electrical construction</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5AF697D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412B0A10"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2B2DD930"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18F1C3F5"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0DF7465A"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15593B91"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6252B4F3" w14:textId="7062B225">
            <w:pPr>
              <w:rPr>
                <w:rFonts w:ascii="Palatino Linotype" w:hAnsi="Palatino Linotype" w:cs="Calibri"/>
                <w:color w:val="000000"/>
                <w:sz w:val="24"/>
                <w:szCs w:val="24"/>
              </w:rPr>
            </w:pPr>
          </w:p>
        </w:tc>
      </w:tr>
      <w:tr w:rsidRPr="003A681C" w:rsidR="00B31578" w:rsidTr="00F07CFF" w14:paraId="15054F7E" w14:textId="77777777">
        <w:trPr>
          <w:trHeight w:val="1097"/>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FE1D8F" w:rsidRDefault="00B31578" w14:paraId="59EAF82E" w14:textId="77777777">
            <w:pPr>
              <w:ind w:left="1" w:firstLine="689" w:firstLineChars="287"/>
              <w:rPr>
                <w:rFonts w:ascii="Palatino Linotype" w:hAnsi="Palatino Linotype" w:cs="Calibri"/>
                <w:color w:val="000000"/>
                <w:sz w:val="24"/>
                <w:szCs w:val="24"/>
              </w:rPr>
            </w:pPr>
            <w:bookmarkStart w:name="_Hlk31707802" w:id="53"/>
            <w:r w:rsidRPr="003A681C">
              <w:rPr>
                <w:rFonts w:ascii="Palatino Linotype" w:hAnsi="Palatino Linotype" w:cs="Calibri"/>
                <w:color w:val="000000"/>
                <w:sz w:val="24"/>
                <w:szCs w:val="24"/>
              </w:rPr>
              <w:t>Design/Construction Management</w:t>
            </w:r>
          </w:p>
        </w:tc>
        <w:tc>
          <w:tcPr>
            <w:tcW w:w="3866" w:type="dxa"/>
            <w:gridSpan w:val="3"/>
            <w:tcBorders>
              <w:top w:val="nil"/>
              <w:left w:val="nil"/>
              <w:bottom w:val="single" w:color="auto" w:sz="4" w:space="0"/>
              <w:right w:val="single" w:color="auto" w:sz="4" w:space="0"/>
            </w:tcBorders>
            <w:vAlign w:val="center"/>
            <w:hideMark/>
          </w:tcPr>
          <w:p w:rsidRPr="003A681C" w:rsidR="00B31578" w:rsidP="003A681C" w:rsidRDefault="00B31578" w14:paraId="263FF01A" w14:textId="35BF1E99">
            <w:pPr>
              <w:rPr>
                <w:rFonts w:ascii="Palatino Linotype" w:hAnsi="Palatino Linotype" w:cs="Calibri"/>
                <w:color w:val="000000"/>
                <w:sz w:val="24"/>
                <w:szCs w:val="24"/>
              </w:rPr>
            </w:pPr>
            <w:r w:rsidRPr="003A681C">
              <w:rPr>
                <w:rFonts w:ascii="Palatino Linotype" w:hAnsi="Palatino Linotype" w:cs="Calibri"/>
                <w:color w:val="000000"/>
                <w:sz w:val="24"/>
                <w:szCs w:val="24"/>
              </w:rPr>
              <w:t>Cost for engineering, design, and construction inspection cost</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7DEAE4C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3758274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4BE869A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2E29D362"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159F146C"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041993F7"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12DF2118" w14:textId="46ECC39F">
            <w:pPr>
              <w:rPr>
                <w:rFonts w:ascii="Palatino Linotype" w:hAnsi="Palatino Linotype" w:cs="Calibri"/>
                <w:color w:val="000000"/>
                <w:sz w:val="24"/>
                <w:szCs w:val="24"/>
              </w:rPr>
            </w:pPr>
          </w:p>
        </w:tc>
        <w:bookmarkEnd w:id="52"/>
        <w:bookmarkEnd w:id="53"/>
      </w:tr>
      <w:tr w:rsidRPr="003A681C" w:rsidR="001E05A5" w:rsidTr="00F07CFF" w14:paraId="036DADF4" w14:textId="77777777">
        <w:trPr>
          <w:gridBefore w:val="1"/>
          <w:wBefore w:w="6" w:type="dxa"/>
          <w:trHeight w:val="315"/>
        </w:trPr>
        <w:tc>
          <w:tcPr>
            <w:tcW w:w="11504" w:type="dxa"/>
            <w:gridSpan w:val="16"/>
            <w:tcBorders>
              <w:top w:val="single" w:color="auto" w:sz="4" w:space="0"/>
              <w:left w:val="single" w:color="auto" w:sz="4" w:space="0"/>
              <w:bottom w:val="single" w:color="auto" w:sz="4" w:space="0"/>
              <w:right w:val="single" w:color="auto" w:sz="4" w:space="0"/>
            </w:tcBorders>
          </w:tcPr>
          <w:p w:rsidRPr="003A681C" w:rsidR="001E05A5" w:rsidP="00696928" w:rsidRDefault="001E05A5" w14:paraId="07C749FA" w14:textId="014F5C2E">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Other </w:t>
            </w:r>
          </w:p>
        </w:tc>
      </w:tr>
      <w:tr w:rsidRPr="003A681C" w:rsidR="00B31578" w:rsidTr="00F07CFF" w14:paraId="50D8161E" w14:textId="77777777">
        <w:trPr>
          <w:trHeight w:val="1260"/>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8D77C9" w:rsidRDefault="00B31578" w14:paraId="21B70A9C" w14:textId="77777777">
            <w:pPr>
              <w:ind w:firstLine="509" w:firstLineChars="212"/>
              <w:rPr>
                <w:rFonts w:ascii="Palatino Linotype" w:hAnsi="Palatino Linotype" w:cs="Calibri"/>
                <w:color w:val="000000"/>
                <w:sz w:val="24"/>
                <w:szCs w:val="24"/>
              </w:rPr>
            </w:pPr>
            <w:r w:rsidRPr="003A681C">
              <w:rPr>
                <w:rFonts w:ascii="Palatino Linotype" w:hAnsi="Palatino Linotype" w:cs="Calibri"/>
                <w:color w:val="000000"/>
                <w:sz w:val="24"/>
                <w:szCs w:val="24"/>
              </w:rPr>
              <w:t>Labor (Internal)</w:t>
            </w:r>
          </w:p>
        </w:tc>
        <w:tc>
          <w:tcPr>
            <w:tcW w:w="3866" w:type="dxa"/>
            <w:gridSpan w:val="3"/>
            <w:tcBorders>
              <w:top w:val="nil"/>
              <w:left w:val="nil"/>
              <w:bottom w:val="single" w:color="auto" w:sz="4" w:space="0"/>
              <w:right w:val="single" w:color="auto" w:sz="4" w:space="0"/>
            </w:tcBorders>
            <w:vAlign w:val="bottom"/>
            <w:hideMark/>
          </w:tcPr>
          <w:p w:rsidRPr="003A681C" w:rsidR="00B31578" w:rsidP="003A681C" w:rsidRDefault="00B31578" w14:paraId="061ED985" w14:textId="77777777">
            <w:pPr>
              <w:rPr>
                <w:rFonts w:ascii="Palatino Linotype" w:hAnsi="Palatino Linotype" w:cs="Calibri"/>
                <w:sz w:val="24"/>
                <w:szCs w:val="24"/>
              </w:rPr>
            </w:pPr>
            <w:r w:rsidRPr="003A681C">
              <w:rPr>
                <w:rFonts w:ascii="Palatino Linotype" w:hAnsi="Palatino Linotype" w:cs="Calibri"/>
                <w:sz w:val="24"/>
                <w:szCs w:val="24"/>
              </w:rPr>
              <w:t>Meter installation, gas relights, easements, environmental desktop reviews and other support organizations</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688B646F"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4698DB1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711A5A0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1AFD63E4"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05EDDA1A"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33FC6741"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10D4DABC" w14:textId="2438D97D">
            <w:pPr>
              <w:rPr>
                <w:rFonts w:ascii="Palatino Linotype" w:hAnsi="Palatino Linotype" w:cs="Calibri"/>
                <w:color w:val="000000"/>
                <w:sz w:val="24"/>
                <w:szCs w:val="24"/>
              </w:rPr>
            </w:pPr>
          </w:p>
        </w:tc>
      </w:tr>
      <w:tr w:rsidRPr="003A681C" w:rsidR="00B31578" w:rsidTr="00F07CFF" w14:paraId="50C76BBE" w14:textId="77777777">
        <w:trPr>
          <w:trHeight w:val="413"/>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8D77C9" w:rsidRDefault="00B31578" w14:paraId="0CD5631B" w14:textId="285E208B">
            <w:pPr>
              <w:ind w:hanging="30"/>
              <w:rPr>
                <w:rFonts w:ascii="Palatino Linotype" w:hAnsi="Palatino Linotype" w:cs="Calibri"/>
                <w:color w:val="000000"/>
                <w:sz w:val="24"/>
                <w:szCs w:val="24"/>
              </w:rPr>
            </w:pPr>
            <w:r>
              <w:rPr>
                <w:rFonts w:ascii="Palatino Linotype" w:hAnsi="Palatino Linotype" w:cs="Calibri"/>
                <w:color w:val="000000"/>
                <w:sz w:val="24"/>
                <w:szCs w:val="24"/>
              </w:rPr>
              <w:t xml:space="preserve">          </w:t>
            </w:r>
            <w:r w:rsidRPr="003A681C">
              <w:rPr>
                <w:rFonts w:ascii="Palatino Linotype" w:hAnsi="Palatino Linotype" w:cs="Calibri"/>
                <w:color w:val="000000"/>
                <w:sz w:val="24"/>
                <w:szCs w:val="24"/>
              </w:rPr>
              <w:t>Other Labor (Internal)</w:t>
            </w:r>
            <w:r w:rsidRPr="003A681C">
              <w:rPr>
                <w:rFonts w:ascii="Palatino Linotype" w:hAnsi="Palatino Linotype" w:cs="Calibri"/>
                <w:color w:val="000000"/>
                <w:sz w:val="24"/>
                <w:szCs w:val="24"/>
                <w:vertAlign w:val="superscript"/>
              </w:rPr>
              <w:footnoteReference w:id="176"/>
            </w:r>
          </w:p>
        </w:tc>
        <w:tc>
          <w:tcPr>
            <w:tcW w:w="3866" w:type="dxa"/>
            <w:gridSpan w:val="3"/>
            <w:tcBorders>
              <w:top w:val="nil"/>
              <w:left w:val="nil"/>
              <w:bottom w:val="single" w:color="auto" w:sz="4" w:space="0"/>
              <w:right w:val="single" w:color="auto" w:sz="4" w:space="0"/>
            </w:tcBorders>
            <w:vAlign w:val="bottom"/>
            <w:hideMark/>
          </w:tcPr>
          <w:p w:rsidRPr="003A681C" w:rsidR="00B31578" w:rsidP="003A681C" w:rsidRDefault="00B31578" w14:paraId="7147ACFE" w14:textId="77777777">
            <w:pPr>
              <w:rPr>
                <w:rFonts w:ascii="Palatino Linotype" w:hAnsi="Palatino Linotype" w:cs="Calibri"/>
                <w:sz w:val="24"/>
                <w:szCs w:val="24"/>
              </w:rPr>
            </w:pPr>
            <w:r w:rsidRPr="003A681C">
              <w:rPr>
                <w:rFonts w:ascii="Palatino Linotype" w:hAnsi="Palatino Linotype" w:cs="Calibri"/>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65C4703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3C1246E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436B9A0"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627C0152"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4A4B8A98"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7F08060E"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4F10C0F6" w14:textId="1BF0C6D1">
            <w:pPr>
              <w:rPr>
                <w:rFonts w:ascii="Palatino Linotype" w:hAnsi="Palatino Linotype" w:cs="Calibri"/>
                <w:color w:val="000000"/>
                <w:sz w:val="24"/>
                <w:szCs w:val="24"/>
              </w:rPr>
            </w:pPr>
          </w:p>
        </w:tc>
      </w:tr>
      <w:tr w:rsidRPr="003A681C" w:rsidR="00B31578" w:rsidTr="00F07CFF" w14:paraId="6878FB10" w14:textId="77777777">
        <w:trPr>
          <w:trHeight w:val="440"/>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49161F" w:rsidRDefault="00B31578" w14:paraId="0D7D31B7" w14:textId="2E244529">
            <w:pPr>
              <w:rPr>
                <w:rFonts w:ascii="Palatino Linotype" w:hAnsi="Palatino Linotype" w:cs="Calibri"/>
                <w:color w:val="000000"/>
                <w:sz w:val="24"/>
                <w:szCs w:val="24"/>
              </w:rPr>
            </w:pPr>
            <w:r>
              <w:rPr>
                <w:rFonts w:ascii="Palatino Linotype" w:hAnsi="Palatino Linotype" w:cs="Calibri"/>
                <w:color w:val="000000"/>
                <w:sz w:val="24"/>
                <w:szCs w:val="24"/>
              </w:rPr>
              <w:t xml:space="preserve">         </w:t>
            </w:r>
            <w:r w:rsidRPr="003A681C">
              <w:rPr>
                <w:rFonts w:ascii="Palatino Linotype" w:hAnsi="Palatino Linotype" w:cs="Calibri"/>
                <w:color w:val="000000"/>
                <w:sz w:val="24"/>
                <w:szCs w:val="24"/>
              </w:rPr>
              <w:t>Non-Labor</w:t>
            </w:r>
          </w:p>
        </w:tc>
        <w:tc>
          <w:tcPr>
            <w:tcW w:w="3866" w:type="dxa"/>
            <w:gridSpan w:val="3"/>
            <w:tcBorders>
              <w:top w:val="nil"/>
              <w:left w:val="nil"/>
              <w:bottom w:val="single" w:color="auto" w:sz="4" w:space="0"/>
              <w:right w:val="single" w:color="auto" w:sz="4" w:space="0"/>
            </w:tcBorders>
            <w:vAlign w:val="bottom"/>
            <w:hideMark/>
          </w:tcPr>
          <w:p w:rsidRPr="003A681C" w:rsidR="00B31578" w:rsidP="003A681C" w:rsidRDefault="00B31578" w14:paraId="16E8FD38" w14:textId="77777777">
            <w:pPr>
              <w:rPr>
                <w:rFonts w:ascii="Palatino Linotype" w:hAnsi="Palatino Linotype" w:cs="Calibri"/>
                <w:sz w:val="24"/>
                <w:szCs w:val="24"/>
              </w:rPr>
            </w:pPr>
            <w:r w:rsidRPr="003A681C">
              <w:rPr>
                <w:rFonts w:ascii="Palatino Linotype" w:hAnsi="Palatino Linotype" w:cs="Calibri"/>
                <w:sz w:val="24"/>
                <w:szCs w:val="24"/>
              </w:rPr>
              <w:t>Permits</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0347089E"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57223C83"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57784063"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3B4AFBCB"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46AA6ED1"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31DB3B6E"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136A1A20" w14:textId="2E9F570C">
            <w:pPr>
              <w:rPr>
                <w:rFonts w:ascii="Palatino Linotype" w:hAnsi="Palatino Linotype" w:cs="Calibri"/>
                <w:color w:val="000000"/>
                <w:sz w:val="24"/>
                <w:szCs w:val="24"/>
              </w:rPr>
            </w:pPr>
          </w:p>
        </w:tc>
      </w:tr>
      <w:tr w:rsidRPr="003A681C" w:rsidR="00B31578" w:rsidTr="00F07CFF" w14:paraId="77AF8D87" w14:textId="77777777">
        <w:trPr>
          <w:trHeight w:val="377"/>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49161F" w:rsidRDefault="00B31578" w14:paraId="044492EC" w14:textId="106FDAA9">
            <w:pPr>
              <w:rPr>
                <w:rFonts w:ascii="Palatino Linotype" w:hAnsi="Palatino Linotype" w:cs="Calibri"/>
                <w:color w:val="000000"/>
                <w:sz w:val="24"/>
                <w:szCs w:val="24"/>
              </w:rPr>
            </w:pPr>
            <w:r>
              <w:rPr>
                <w:rFonts w:ascii="Palatino Linotype" w:hAnsi="Palatino Linotype" w:cs="Calibri"/>
                <w:color w:val="000000"/>
                <w:sz w:val="24"/>
                <w:szCs w:val="24"/>
              </w:rPr>
              <w:t xml:space="preserve">         </w:t>
            </w:r>
            <w:r w:rsidRPr="003A681C">
              <w:rPr>
                <w:rFonts w:ascii="Palatino Linotype" w:hAnsi="Palatino Linotype" w:cs="Calibri"/>
                <w:color w:val="000000"/>
                <w:sz w:val="24"/>
                <w:szCs w:val="24"/>
              </w:rPr>
              <w:t>Materials</w:t>
            </w:r>
          </w:p>
        </w:tc>
        <w:tc>
          <w:tcPr>
            <w:tcW w:w="3866" w:type="dxa"/>
            <w:gridSpan w:val="3"/>
            <w:tcBorders>
              <w:top w:val="nil"/>
              <w:left w:val="nil"/>
              <w:bottom w:val="single" w:color="auto" w:sz="4" w:space="0"/>
              <w:right w:val="single" w:color="auto" w:sz="4" w:space="0"/>
            </w:tcBorders>
            <w:vAlign w:val="bottom"/>
            <w:hideMark/>
          </w:tcPr>
          <w:p w:rsidRPr="003A681C" w:rsidR="00B31578" w:rsidP="003A681C" w:rsidRDefault="00B31578" w14:paraId="55C50FBF" w14:textId="73E0C528">
            <w:pPr>
              <w:rPr>
                <w:rFonts w:ascii="Palatino Linotype" w:hAnsi="Palatino Linotype" w:cs="Calibri"/>
                <w:sz w:val="24"/>
                <w:szCs w:val="24"/>
              </w:rPr>
            </w:pPr>
            <w:r>
              <w:rPr>
                <w:rFonts w:ascii="Palatino Linotype" w:hAnsi="Palatino Linotype" w:cs="Calibri"/>
                <w:sz w:val="24"/>
                <w:szCs w:val="24"/>
              </w:rPr>
              <w:t>M</w:t>
            </w:r>
            <w:r w:rsidRPr="003A681C">
              <w:rPr>
                <w:rFonts w:ascii="Palatino Linotype" w:hAnsi="Palatino Linotype" w:cs="Calibri"/>
                <w:sz w:val="24"/>
                <w:szCs w:val="24"/>
              </w:rPr>
              <w:t>eters, modules, and regulators</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03F9EC14"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5E27F0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7D2F04A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0FD18855"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7467D175"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150F46ED"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4DDB78A1" w14:textId="3D7A39FC">
            <w:pPr>
              <w:rPr>
                <w:rFonts w:ascii="Palatino Linotype" w:hAnsi="Palatino Linotype" w:cs="Calibri"/>
                <w:color w:val="000000"/>
                <w:sz w:val="24"/>
                <w:szCs w:val="24"/>
              </w:rPr>
            </w:pPr>
          </w:p>
        </w:tc>
      </w:tr>
      <w:tr w:rsidRPr="003A681C" w:rsidR="0095699D" w:rsidTr="00566B5A" w14:paraId="3982E31D" w14:textId="77777777">
        <w:trPr>
          <w:trHeight w:val="1907"/>
        </w:trPr>
        <w:tc>
          <w:tcPr>
            <w:tcW w:w="3376" w:type="dxa"/>
            <w:gridSpan w:val="2"/>
            <w:tcBorders>
              <w:top w:val="single" w:color="auto" w:sz="4" w:space="0"/>
              <w:left w:val="single" w:color="auto" w:sz="8" w:space="0"/>
              <w:bottom w:val="single" w:color="auto" w:sz="4" w:space="0"/>
              <w:right w:val="single" w:color="auto" w:sz="4" w:space="0"/>
            </w:tcBorders>
            <w:shd w:val="clear" w:color="auto" w:fill="D9E1F2"/>
            <w:noWrap/>
            <w:vAlign w:val="center"/>
            <w:hideMark/>
          </w:tcPr>
          <w:p w:rsidRPr="003A681C" w:rsidR="001E05A5" w:rsidP="00696928" w:rsidRDefault="001E05A5" w14:paraId="24D57A77"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Program - Capital Costs</w:t>
            </w:r>
          </w:p>
        </w:tc>
        <w:tc>
          <w:tcPr>
            <w:tcW w:w="3776" w:type="dxa"/>
            <w:gridSpan w:val="2"/>
            <w:tcBorders>
              <w:top w:val="single" w:color="auto" w:sz="4" w:space="0"/>
              <w:left w:val="single" w:color="auto" w:sz="4" w:space="0"/>
              <w:bottom w:val="single" w:color="auto" w:sz="4" w:space="0"/>
              <w:right w:val="single" w:color="auto" w:sz="4" w:space="0"/>
            </w:tcBorders>
            <w:shd w:val="clear" w:color="auto" w:fill="D9E1F2"/>
            <w:vAlign w:val="center"/>
            <w:hideMark/>
          </w:tcPr>
          <w:p w:rsidRPr="003A681C" w:rsidR="001E05A5" w:rsidP="003A681C" w:rsidRDefault="001E05A5" w14:paraId="2CC7FBF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Costs that are driven by utility specific business models or cost accounting practices. These costs should be separated out so that others do not compare costs that are not comparable with others.</w:t>
            </w:r>
          </w:p>
        </w:tc>
        <w:tc>
          <w:tcPr>
            <w:tcW w:w="717" w:type="dxa"/>
            <w:gridSpan w:val="2"/>
            <w:tcBorders>
              <w:top w:val="single" w:color="auto" w:sz="4" w:space="0"/>
              <w:left w:val="single" w:color="auto" w:sz="4" w:space="0"/>
              <w:bottom w:val="single" w:color="auto" w:sz="4" w:space="0"/>
              <w:right w:val="single" w:color="auto" w:sz="4" w:space="0"/>
            </w:tcBorders>
            <w:shd w:val="clear" w:color="auto" w:fill="D9E1F2"/>
            <w:noWrap/>
            <w:vAlign w:val="center"/>
            <w:hideMark/>
          </w:tcPr>
          <w:p w:rsidRPr="003A681C" w:rsidR="001E05A5" w:rsidP="003A681C" w:rsidRDefault="001E05A5" w14:paraId="0F1A6A02"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D9E1F2"/>
            <w:noWrap/>
            <w:vAlign w:val="center"/>
            <w:hideMark/>
          </w:tcPr>
          <w:p w:rsidRPr="003A681C" w:rsidR="001E05A5" w:rsidP="003A681C" w:rsidRDefault="001E05A5" w14:paraId="03618D72"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D9E1F2"/>
            <w:noWrap/>
            <w:vAlign w:val="center"/>
            <w:hideMark/>
          </w:tcPr>
          <w:p w:rsidRPr="003A681C" w:rsidR="001E05A5" w:rsidP="003A681C" w:rsidRDefault="001E05A5" w14:paraId="507C032A"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D9E1F2"/>
          </w:tcPr>
          <w:p w:rsidRPr="003A681C" w:rsidR="001E05A5" w:rsidP="003A681C" w:rsidRDefault="001E05A5" w14:paraId="4092374D" w14:textId="77777777">
            <w:pPr>
              <w:rPr>
                <w:rFonts w:ascii="Palatino Linotype" w:hAnsi="Palatino Linotype" w:cs="Calibri"/>
                <w:b/>
                <w:bCs/>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shd w:val="clear" w:color="auto" w:fill="D9E1F2"/>
          </w:tcPr>
          <w:p w:rsidRPr="003A681C" w:rsidR="001E05A5" w:rsidP="003A681C" w:rsidRDefault="001E05A5" w14:paraId="44606508" w14:textId="77777777">
            <w:pPr>
              <w:rPr>
                <w:rFonts w:ascii="Palatino Linotype" w:hAnsi="Palatino Linotype" w:cs="Calibri"/>
                <w:b/>
                <w:bCs/>
                <w:color w:val="000000"/>
                <w:sz w:val="24"/>
                <w:szCs w:val="24"/>
              </w:rPr>
            </w:pPr>
          </w:p>
        </w:tc>
        <w:tc>
          <w:tcPr>
            <w:tcW w:w="775" w:type="dxa"/>
            <w:gridSpan w:val="3"/>
            <w:tcBorders>
              <w:top w:val="single" w:color="auto" w:sz="4" w:space="0"/>
              <w:left w:val="single" w:color="auto" w:sz="4" w:space="0"/>
              <w:bottom w:val="single" w:color="auto" w:sz="4" w:space="0"/>
              <w:right w:val="single" w:color="auto" w:sz="4" w:space="0"/>
            </w:tcBorders>
            <w:shd w:val="clear" w:color="auto" w:fill="D9E1F2"/>
          </w:tcPr>
          <w:p w:rsidRPr="003A681C" w:rsidR="001E05A5" w:rsidP="003A681C" w:rsidRDefault="001E05A5" w14:paraId="4110B880" w14:textId="4AD44083">
            <w:pPr>
              <w:rPr>
                <w:rFonts w:ascii="Palatino Linotype" w:hAnsi="Palatino Linotype" w:cs="Calibri"/>
                <w:b/>
                <w:bCs/>
                <w:color w:val="000000"/>
                <w:sz w:val="24"/>
                <w:szCs w:val="24"/>
              </w:rPr>
            </w:pPr>
          </w:p>
        </w:tc>
      </w:tr>
      <w:tr w:rsidRPr="003A681C" w:rsidR="00B31578" w:rsidTr="00F07CFF" w14:paraId="61249534" w14:textId="77777777">
        <w:trPr>
          <w:trHeight w:val="458"/>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6E0B57" w:rsidRDefault="00B31578" w14:paraId="6D4F967D" w14:textId="06BCBC9A">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Project Management Costs</w:t>
            </w:r>
          </w:p>
        </w:tc>
        <w:tc>
          <w:tcPr>
            <w:tcW w:w="3866" w:type="dxa"/>
            <w:gridSpan w:val="3"/>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214D3A24"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2ABC2CF4"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015571F"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DBC08DF"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51AD06DD" w14:textId="77777777">
            <w:pPr>
              <w:rPr>
                <w:rFonts w:ascii="Palatino Linotype" w:hAnsi="Palatino Linotype" w:cs="Calibri"/>
                <w:b/>
                <w:bCs/>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75ED1A6F" w14:textId="77777777">
            <w:pPr>
              <w:rPr>
                <w:rFonts w:ascii="Palatino Linotype" w:hAnsi="Palatino Linotype" w:cs="Calibri"/>
                <w:b/>
                <w:bCs/>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2C16C59F" w14:textId="77777777">
            <w:pPr>
              <w:rPr>
                <w:rFonts w:ascii="Palatino Linotype" w:hAnsi="Palatino Linotype" w:cs="Calibri"/>
                <w:b/>
                <w:bCs/>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241BFF79" w14:textId="7EC0234A">
            <w:pPr>
              <w:rPr>
                <w:rFonts w:ascii="Palatino Linotype" w:hAnsi="Palatino Linotype" w:cs="Calibri"/>
                <w:b/>
                <w:bCs/>
                <w:color w:val="000000"/>
                <w:sz w:val="24"/>
                <w:szCs w:val="24"/>
              </w:rPr>
            </w:pPr>
          </w:p>
        </w:tc>
      </w:tr>
      <w:tr w:rsidRPr="003A681C" w:rsidR="00B31578" w:rsidTr="00F07CFF" w14:paraId="4526C16F" w14:textId="77777777">
        <w:trPr>
          <w:trHeight w:val="1250"/>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D77C9" w:rsidRDefault="00B31578" w14:paraId="537CDA56" w14:textId="77777777">
            <w:pPr>
              <w:ind w:left="420"/>
              <w:rPr>
                <w:rFonts w:ascii="Palatino Linotype" w:hAnsi="Palatino Linotype" w:cs="Calibri"/>
                <w:color w:val="000000"/>
                <w:sz w:val="24"/>
                <w:szCs w:val="24"/>
              </w:rPr>
            </w:pPr>
            <w:r w:rsidRPr="003A681C">
              <w:rPr>
                <w:rFonts w:ascii="Palatino Linotype" w:hAnsi="Palatino Linotype" w:cs="Calibri"/>
                <w:color w:val="000000"/>
                <w:sz w:val="24"/>
                <w:szCs w:val="24"/>
              </w:rPr>
              <w:t>Project Management Office (PMO)</w:t>
            </w:r>
          </w:p>
        </w:tc>
        <w:tc>
          <w:tcPr>
            <w:tcW w:w="3866" w:type="dxa"/>
            <w:gridSpan w:val="3"/>
            <w:tcBorders>
              <w:top w:val="single" w:color="auto" w:sz="4" w:space="0"/>
              <w:left w:val="nil"/>
              <w:bottom w:val="single" w:color="auto" w:sz="4" w:space="0"/>
              <w:right w:val="single" w:color="auto" w:sz="4" w:space="0"/>
            </w:tcBorders>
            <w:vAlign w:val="center"/>
            <w:hideMark/>
          </w:tcPr>
          <w:p w:rsidRPr="003A681C" w:rsidR="00B31578" w:rsidP="003A681C" w:rsidRDefault="00B31578" w14:paraId="77D0E50A" w14:textId="32AACEB7">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Program management office costs (Project </w:t>
            </w:r>
            <w:r>
              <w:rPr>
                <w:rFonts w:ascii="Palatino Linotype" w:hAnsi="Palatino Linotype" w:cs="Calibri"/>
                <w:color w:val="000000"/>
                <w:sz w:val="24"/>
                <w:szCs w:val="24"/>
              </w:rPr>
              <w:t>m</w:t>
            </w:r>
            <w:r w:rsidRPr="003A681C">
              <w:rPr>
                <w:rFonts w:ascii="Palatino Linotype" w:hAnsi="Palatino Linotype" w:cs="Calibri"/>
                <w:color w:val="000000"/>
                <w:sz w:val="24"/>
                <w:szCs w:val="24"/>
              </w:rPr>
              <w:t xml:space="preserve">anagement, </w:t>
            </w:r>
            <w:r>
              <w:rPr>
                <w:rFonts w:ascii="Palatino Linotype" w:hAnsi="Palatino Linotype" w:cs="Calibri"/>
                <w:color w:val="000000"/>
                <w:sz w:val="24"/>
                <w:szCs w:val="24"/>
              </w:rPr>
              <w:t>p</w:t>
            </w:r>
            <w:r w:rsidRPr="003A681C">
              <w:rPr>
                <w:rFonts w:ascii="Palatino Linotype" w:hAnsi="Palatino Linotype" w:cs="Calibri"/>
                <w:color w:val="000000"/>
                <w:sz w:val="24"/>
                <w:szCs w:val="24"/>
              </w:rPr>
              <w:t xml:space="preserve">rogram </w:t>
            </w:r>
            <w:r>
              <w:rPr>
                <w:rFonts w:ascii="Palatino Linotype" w:hAnsi="Palatino Linotype" w:cs="Calibri"/>
                <w:color w:val="000000"/>
                <w:sz w:val="24"/>
                <w:szCs w:val="24"/>
              </w:rPr>
              <w:t>m</w:t>
            </w:r>
            <w:r w:rsidRPr="003A681C">
              <w:rPr>
                <w:rFonts w:ascii="Palatino Linotype" w:hAnsi="Palatino Linotype" w:cs="Calibri"/>
                <w:color w:val="000000"/>
                <w:sz w:val="24"/>
                <w:szCs w:val="24"/>
              </w:rPr>
              <w:t>anagement, schedulers, cost analysts and field engineers)</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23EF9BA2"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A325804"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86753D7"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6F083665"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291BB1FC"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433703D5"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2687DC9A" w14:textId="4F9FDEE6">
            <w:pPr>
              <w:rPr>
                <w:rFonts w:ascii="Palatino Linotype" w:hAnsi="Palatino Linotype" w:cs="Calibri"/>
                <w:color w:val="000000"/>
                <w:sz w:val="24"/>
                <w:szCs w:val="24"/>
              </w:rPr>
            </w:pPr>
          </w:p>
        </w:tc>
      </w:tr>
      <w:tr w:rsidRPr="003A681C" w:rsidR="00B31578" w:rsidTr="00F07CFF" w14:paraId="70BE6D4F" w14:textId="77777777">
        <w:trPr>
          <w:trHeight w:val="395"/>
        </w:trPr>
        <w:tc>
          <w:tcPr>
            <w:tcW w:w="3376" w:type="dxa"/>
            <w:gridSpan w:val="2"/>
            <w:tcBorders>
              <w:top w:val="nil"/>
              <w:left w:val="single" w:color="auto" w:sz="4" w:space="0"/>
              <w:bottom w:val="single" w:color="auto" w:sz="4" w:space="0"/>
              <w:right w:val="single" w:color="auto" w:sz="4" w:space="0"/>
            </w:tcBorders>
            <w:noWrap/>
            <w:vAlign w:val="bottom"/>
            <w:hideMark/>
          </w:tcPr>
          <w:p w:rsidRPr="00FE1D8F" w:rsidR="00B31578" w:rsidP="003A681C" w:rsidRDefault="00B31578" w14:paraId="7AD78FB8" w14:textId="77777777">
            <w:pPr>
              <w:rPr>
                <w:rFonts w:ascii="Palatino Linotype" w:hAnsi="Palatino Linotype" w:cs="Calibri"/>
                <w:b/>
                <w:bCs/>
                <w:color w:val="000000"/>
                <w:sz w:val="22"/>
                <w:szCs w:val="22"/>
              </w:rPr>
            </w:pPr>
            <w:r w:rsidRPr="00FE1D8F">
              <w:rPr>
                <w:rFonts w:ascii="Palatino Linotype" w:hAnsi="Palatino Linotype" w:cs="Calibri"/>
                <w:b/>
                <w:bCs/>
                <w:color w:val="000000"/>
                <w:sz w:val="22"/>
                <w:szCs w:val="22"/>
              </w:rPr>
              <w:t>Outreach</w:t>
            </w:r>
          </w:p>
        </w:tc>
        <w:tc>
          <w:tcPr>
            <w:tcW w:w="3866" w:type="dxa"/>
            <w:gridSpan w:val="3"/>
            <w:tcBorders>
              <w:top w:val="nil"/>
              <w:left w:val="nil"/>
              <w:bottom w:val="single" w:color="auto" w:sz="4" w:space="0"/>
              <w:right w:val="single" w:color="auto" w:sz="4" w:space="0"/>
            </w:tcBorders>
            <w:noWrap/>
            <w:vAlign w:val="bottom"/>
            <w:hideMark/>
          </w:tcPr>
          <w:p w:rsidRPr="003A681C" w:rsidR="00B31578" w:rsidP="003A681C" w:rsidRDefault="00B31578" w14:paraId="3AB1823A" w14:textId="77777777">
            <w:pPr>
              <w:rPr>
                <w:rFonts w:ascii="Palatino Linotype" w:hAnsi="Palatino Linotype" w:cs="Calibri"/>
                <w:b/>
                <w:bCs/>
                <w:color w:val="000000"/>
                <w:sz w:val="22"/>
                <w:szCs w:val="22"/>
              </w:rPr>
            </w:pPr>
            <w:r w:rsidRPr="003A681C">
              <w:rPr>
                <w:rFonts w:ascii="Palatino Linotype" w:hAnsi="Palatino Linotype" w:cs="Calibri"/>
                <w:b/>
                <w:bCs/>
                <w:color w:val="000000"/>
                <w:sz w:val="22"/>
                <w:szCs w:val="22"/>
              </w:rPr>
              <w:t> </w:t>
            </w:r>
          </w:p>
        </w:tc>
        <w:tc>
          <w:tcPr>
            <w:tcW w:w="717" w:type="dxa"/>
            <w:gridSpan w:val="2"/>
            <w:tcBorders>
              <w:top w:val="nil"/>
              <w:left w:val="nil"/>
              <w:bottom w:val="single" w:color="auto" w:sz="4" w:space="0"/>
              <w:right w:val="single" w:color="auto" w:sz="4" w:space="0"/>
            </w:tcBorders>
            <w:noWrap/>
            <w:vAlign w:val="bottom"/>
            <w:hideMark/>
          </w:tcPr>
          <w:p w:rsidRPr="003A681C" w:rsidR="00B31578" w:rsidP="003A681C" w:rsidRDefault="00B31578" w14:paraId="46DDB2A0" w14:textId="77777777">
            <w:pPr>
              <w:rPr>
                <w:rFonts w:ascii="Palatino Linotype" w:hAnsi="Palatino Linotype" w:cs="Calibri"/>
                <w:b/>
                <w:bCs/>
                <w:color w:val="000000"/>
                <w:sz w:val="22"/>
                <w:szCs w:val="22"/>
              </w:rPr>
            </w:pPr>
            <w:r w:rsidRPr="003A681C">
              <w:rPr>
                <w:rFonts w:ascii="Palatino Linotype" w:hAnsi="Palatino Linotype" w:cs="Calibri"/>
                <w:b/>
                <w:bCs/>
                <w:color w:val="000000"/>
                <w:sz w:val="22"/>
                <w:szCs w:val="22"/>
              </w:rPr>
              <w:t> </w:t>
            </w:r>
          </w:p>
        </w:tc>
        <w:tc>
          <w:tcPr>
            <w:tcW w:w="806" w:type="dxa"/>
            <w:gridSpan w:val="2"/>
            <w:tcBorders>
              <w:top w:val="nil"/>
              <w:left w:val="nil"/>
              <w:bottom w:val="single" w:color="auto" w:sz="4" w:space="0"/>
              <w:right w:val="single" w:color="auto" w:sz="4" w:space="0"/>
            </w:tcBorders>
            <w:noWrap/>
            <w:vAlign w:val="bottom"/>
            <w:hideMark/>
          </w:tcPr>
          <w:p w:rsidRPr="003A681C" w:rsidR="00B31578" w:rsidP="003A681C" w:rsidRDefault="00B31578" w14:paraId="421A8FDF" w14:textId="77777777">
            <w:pPr>
              <w:rPr>
                <w:rFonts w:ascii="Palatino Linotype" w:hAnsi="Palatino Linotype" w:cs="Calibri"/>
                <w:b/>
                <w:bCs/>
                <w:color w:val="000000"/>
                <w:sz w:val="22"/>
                <w:szCs w:val="22"/>
              </w:rPr>
            </w:pPr>
            <w:r w:rsidRPr="003A681C">
              <w:rPr>
                <w:rFonts w:ascii="Palatino Linotype" w:hAnsi="Palatino Linotype" w:cs="Calibri"/>
                <w:b/>
                <w:bCs/>
                <w:color w:val="000000"/>
                <w:sz w:val="22"/>
                <w:szCs w:val="22"/>
              </w:rPr>
              <w:t> </w:t>
            </w:r>
          </w:p>
        </w:tc>
        <w:tc>
          <w:tcPr>
            <w:tcW w:w="716" w:type="dxa"/>
            <w:gridSpan w:val="2"/>
            <w:tcBorders>
              <w:top w:val="nil"/>
              <w:left w:val="nil"/>
              <w:bottom w:val="single" w:color="auto" w:sz="4" w:space="0"/>
              <w:right w:val="single" w:color="auto" w:sz="4" w:space="0"/>
            </w:tcBorders>
            <w:noWrap/>
            <w:vAlign w:val="bottom"/>
            <w:hideMark/>
          </w:tcPr>
          <w:p w:rsidRPr="003A681C" w:rsidR="00B31578" w:rsidP="003A681C" w:rsidRDefault="00B31578" w14:paraId="100E3F7F" w14:textId="77777777">
            <w:pPr>
              <w:rPr>
                <w:rFonts w:ascii="Palatino Linotype" w:hAnsi="Palatino Linotype" w:cs="Calibri"/>
                <w:b/>
                <w:bCs/>
                <w:color w:val="000000"/>
                <w:sz w:val="22"/>
                <w:szCs w:val="22"/>
              </w:rPr>
            </w:pPr>
            <w:r w:rsidRPr="003A681C">
              <w:rPr>
                <w:rFonts w:ascii="Palatino Linotype" w:hAnsi="Palatino Linotype" w:cs="Calibri"/>
                <w:b/>
                <w:bCs/>
                <w:color w:val="000000"/>
                <w:sz w:val="22"/>
                <w:szCs w:val="22"/>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0DA6AAAE" w14:textId="77777777">
            <w:pPr>
              <w:rPr>
                <w:rFonts w:ascii="Palatino Linotype" w:hAnsi="Palatino Linotype" w:cs="Calibri"/>
                <w:b/>
                <w:bCs/>
                <w:color w:val="000000"/>
                <w:sz w:val="22"/>
                <w:szCs w:val="22"/>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4DEE89E3" w14:textId="77777777">
            <w:pPr>
              <w:rPr>
                <w:rFonts w:ascii="Palatino Linotype" w:hAnsi="Palatino Linotype" w:cs="Calibri"/>
                <w:b/>
                <w:bCs/>
                <w:color w:val="000000"/>
                <w:sz w:val="22"/>
                <w:szCs w:val="22"/>
              </w:rPr>
            </w:pPr>
          </w:p>
        </w:tc>
        <w:tc>
          <w:tcPr>
            <w:tcW w:w="236" w:type="dxa"/>
            <w:tcBorders>
              <w:top w:val="nil"/>
              <w:left w:val="nil"/>
              <w:bottom w:val="single" w:color="auto" w:sz="4" w:space="0"/>
              <w:right w:val="nil"/>
            </w:tcBorders>
          </w:tcPr>
          <w:p w:rsidRPr="003A681C" w:rsidR="00B31578" w:rsidP="003A681C" w:rsidRDefault="00B31578" w14:paraId="0129926A" w14:textId="77777777">
            <w:pPr>
              <w:rPr>
                <w:rFonts w:ascii="Palatino Linotype" w:hAnsi="Palatino Linotype" w:cs="Calibri"/>
                <w:b/>
                <w:bCs/>
                <w:color w:val="000000"/>
                <w:sz w:val="22"/>
                <w:szCs w:val="22"/>
              </w:rPr>
            </w:pPr>
          </w:p>
        </w:tc>
        <w:tc>
          <w:tcPr>
            <w:tcW w:w="456" w:type="dxa"/>
            <w:tcBorders>
              <w:top w:val="nil"/>
              <w:left w:val="nil"/>
              <w:bottom w:val="single" w:color="auto" w:sz="4" w:space="0"/>
              <w:right w:val="single" w:color="auto" w:sz="4" w:space="0"/>
            </w:tcBorders>
          </w:tcPr>
          <w:p w:rsidRPr="003A681C" w:rsidR="00B31578" w:rsidP="003A681C" w:rsidRDefault="00B31578" w14:paraId="532C978A" w14:textId="5F41FA3B">
            <w:pPr>
              <w:rPr>
                <w:rFonts w:ascii="Palatino Linotype" w:hAnsi="Palatino Linotype" w:cs="Calibri"/>
                <w:b/>
                <w:bCs/>
                <w:color w:val="000000"/>
                <w:sz w:val="22"/>
                <w:szCs w:val="22"/>
              </w:rPr>
            </w:pPr>
          </w:p>
        </w:tc>
      </w:tr>
      <w:tr w:rsidRPr="003A681C" w:rsidR="00B31578" w:rsidTr="00F07CFF" w14:paraId="06C7B9DE" w14:textId="77777777">
        <w:trPr>
          <w:trHeight w:val="630"/>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D77C9" w:rsidRDefault="00B31578" w14:paraId="54746A48" w14:textId="77777777">
            <w:pPr>
              <w:ind w:firstLine="420" w:firstLineChars="175"/>
              <w:rPr>
                <w:rFonts w:ascii="Palatino Linotype" w:hAnsi="Palatino Linotype" w:cs="Calibri"/>
                <w:color w:val="000000"/>
                <w:sz w:val="24"/>
                <w:szCs w:val="24"/>
              </w:rPr>
            </w:pPr>
            <w:r w:rsidRPr="003A681C">
              <w:rPr>
                <w:rFonts w:ascii="Palatino Linotype" w:hAnsi="Palatino Linotype" w:cs="Calibri"/>
                <w:color w:val="000000"/>
                <w:sz w:val="24"/>
                <w:szCs w:val="24"/>
              </w:rPr>
              <w:t>Property Tax</w:t>
            </w:r>
          </w:p>
        </w:tc>
        <w:tc>
          <w:tcPr>
            <w:tcW w:w="3866" w:type="dxa"/>
            <w:gridSpan w:val="3"/>
            <w:tcBorders>
              <w:top w:val="single" w:color="auto" w:sz="4" w:space="0"/>
              <w:left w:val="nil"/>
              <w:bottom w:val="single" w:color="auto" w:sz="4" w:space="0"/>
              <w:right w:val="single" w:color="auto" w:sz="4" w:space="0"/>
            </w:tcBorders>
            <w:vAlign w:val="bottom"/>
            <w:hideMark/>
          </w:tcPr>
          <w:p w:rsidRPr="003A681C" w:rsidR="00B31578" w:rsidP="003A681C" w:rsidRDefault="00B31578" w14:paraId="111E2C4B" w14:textId="77777777">
            <w:pPr>
              <w:rPr>
                <w:rFonts w:ascii="Palatino Linotype" w:hAnsi="Palatino Linotype" w:cs="Calibri"/>
                <w:sz w:val="24"/>
                <w:szCs w:val="24"/>
              </w:rPr>
            </w:pPr>
            <w:r w:rsidRPr="003A681C">
              <w:rPr>
                <w:rFonts w:ascii="Palatino Linotype" w:hAnsi="Palatino Linotype" w:cs="Calibri"/>
                <w:sz w:val="24"/>
                <w:szCs w:val="24"/>
              </w:rPr>
              <w:t>Property tax on capital spending not yet put into service</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4D95EE72"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BE963E8"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3AA829E"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0F6197E1" w14:textId="77777777">
            <w:pPr>
              <w:rPr>
                <w:rFonts w:ascii="Palatino Linotype" w:hAnsi="Palatino Linotype" w:cs="Calibri"/>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2E0C5A39" w14:textId="77777777">
            <w:pPr>
              <w:rPr>
                <w:rFonts w:ascii="Palatino Linotype" w:hAnsi="Palatino Linotype" w:cs="Calibri"/>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1F6CD17F"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2AEDFB20" w14:textId="5F74D06D">
            <w:pPr>
              <w:rPr>
                <w:rFonts w:ascii="Palatino Linotype" w:hAnsi="Palatino Linotype" w:cs="Calibri"/>
                <w:color w:val="000000"/>
                <w:sz w:val="24"/>
                <w:szCs w:val="24"/>
              </w:rPr>
            </w:pPr>
          </w:p>
        </w:tc>
      </w:tr>
      <w:tr w:rsidRPr="003A681C" w:rsidR="00B31578" w:rsidTr="00F07CFF" w14:paraId="63682E02" w14:textId="77777777">
        <w:trPr>
          <w:trHeight w:val="2555"/>
        </w:trPr>
        <w:tc>
          <w:tcPr>
            <w:tcW w:w="337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B31578" w:rsidP="00832DDC" w:rsidRDefault="00B31578" w14:paraId="373238D0" w14:textId="59BF3287">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AFUDC</w:t>
            </w:r>
            <w:r>
              <w:rPr>
                <w:rFonts w:ascii="Palatino Linotype" w:hAnsi="Palatino Linotype" w:cs="Calibri"/>
                <w:color w:val="000000"/>
                <w:sz w:val="24"/>
                <w:szCs w:val="24"/>
              </w:rPr>
              <w:t xml:space="preserve"> </w:t>
            </w:r>
            <w:r>
              <w:rPr>
                <w:rStyle w:val="FootnoteReference"/>
                <w:rFonts w:ascii="Palatino Linotype" w:hAnsi="Palatino Linotype" w:cs="Calibri"/>
                <w:color w:val="000000"/>
                <w:sz w:val="24"/>
                <w:szCs w:val="24"/>
              </w:rPr>
              <w:footnoteReference w:id="177"/>
            </w:r>
          </w:p>
        </w:tc>
        <w:tc>
          <w:tcPr>
            <w:tcW w:w="3866" w:type="dxa"/>
            <w:gridSpan w:val="3"/>
            <w:tcBorders>
              <w:top w:val="single" w:color="auto" w:sz="4" w:space="0"/>
              <w:left w:val="nil"/>
              <w:bottom w:val="single" w:color="auto" w:sz="4" w:space="0"/>
              <w:right w:val="single" w:color="auto" w:sz="4" w:space="0"/>
            </w:tcBorders>
            <w:vAlign w:val="bottom"/>
            <w:hideMark/>
          </w:tcPr>
          <w:p w:rsidRPr="003A681C" w:rsidR="00B31578" w:rsidP="003A681C" w:rsidRDefault="00B31578" w14:paraId="1CBA6220" w14:textId="26A6C1FB">
            <w:pPr>
              <w:rPr>
                <w:rFonts w:ascii="Palatino Linotype" w:hAnsi="Palatino Linotype" w:cs="Calibri"/>
                <w:sz w:val="24"/>
                <w:szCs w:val="24"/>
              </w:rPr>
            </w:pPr>
            <w:r w:rsidRPr="003A681C">
              <w:rPr>
                <w:rFonts w:ascii="Palatino Linotype" w:hAnsi="Palatino Linotype" w:cs="Calibri"/>
                <w:sz w:val="24"/>
                <w:szCs w:val="24"/>
              </w:rPr>
              <w:t>AFUDC is a mechanism in which PG&amp;E can recover the financing cost of its construction activities. AFUDC starts when the first dollar is recorded on the project and ends when HCD</w:t>
            </w:r>
            <w:r>
              <w:rPr>
                <w:rFonts w:ascii="Palatino Linotype" w:hAnsi="Palatino Linotype" w:cs="Calibri"/>
                <w:sz w:val="24"/>
                <w:szCs w:val="24"/>
              </w:rPr>
              <w:t xml:space="preserve"> </w:t>
            </w:r>
            <w:r>
              <w:rPr>
                <w:rStyle w:val="FootnoteReference"/>
                <w:rFonts w:ascii="Palatino Linotype" w:hAnsi="Palatino Linotype" w:cs="Calibri"/>
                <w:sz w:val="24"/>
                <w:szCs w:val="24"/>
              </w:rPr>
              <w:footnoteReference w:id="178"/>
            </w:r>
            <w:r w:rsidRPr="003A681C">
              <w:rPr>
                <w:rFonts w:ascii="Palatino Linotype" w:hAnsi="Palatino Linotype" w:cs="Calibri"/>
                <w:sz w:val="24"/>
                <w:szCs w:val="24"/>
              </w:rPr>
              <w:t xml:space="preserve"> complete</w:t>
            </w:r>
            <w:r>
              <w:rPr>
                <w:rFonts w:ascii="Palatino Linotype" w:hAnsi="Palatino Linotype" w:cs="Calibri"/>
                <w:sz w:val="24"/>
                <w:szCs w:val="24"/>
              </w:rPr>
              <w:t>s</w:t>
            </w:r>
            <w:r w:rsidRPr="003A681C">
              <w:rPr>
                <w:rFonts w:ascii="Palatino Linotype" w:hAnsi="Palatino Linotype" w:cs="Calibri"/>
                <w:sz w:val="24"/>
                <w:szCs w:val="24"/>
              </w:rPr>
              <w:t xml:space="preserve"> the first inspection so that the new assets are in use by the residents.</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355321F1"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80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5149FCDB"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1E764363"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3A040109" w14:textId="77777777">
            <w:pPr>
              <w:rPr>
                <w:rFonts w:ascii="Palatino Linotype" w:hAnsi="Palatino Linotype" w:cs="Calibri"/>
                <w:b/>
                <w:bCs/>
                <w:color w:val="000000"/>
                <w:sz w:val="24"/>
                <w:szCs w:val="24"/>
              </w:rPr>
            </w:pPr>
          </w:p>
        </w:tc>
        <w:tc>
          <w:tcPr>
            <w:tcW w:w="621" w:type="dxa"/>
            <w:gridSpan w:val="2"/>
            <w:tcBorders>
              <w:top w:val="single" w:color="auto" w:sz="4" w:space="0"/>
              <w:left w:val="nil"/>
              <w:bottom w:val="single" w:color="auto" w:sz="4" w:space="0"/>
              <w:right w:val="single" w:color="auto" w:sz="4" w:space="0"/>
            </w:tcBorders>
          </w:tcPr>
          <w:p w:rsidRPr="003A681C" w:rsidR="00B31578" w:rsidP="003A681C" w:rsidRDefault="00B31578" w14:paraId="46A88877" w14:textId="77777777">
            <w:pPr>
              <w:rPr>
                <w:rFonts w:ascii="Palatino Linotype" w:hAnsi="Palatino Linotype" w:cs="Calibri"/>
                <w:b/>
                <w:bCs/>
                <w:color w:val="000000"/>
                <w:sz w:val="24"/>
                <w:szCs w:val="24"/>
              </w:rPr>
            </w:pPr>
          </w:p>
        </w:tc>
        <w:tc>
          <w:tcPr>
            <w:tcW w:w="236" w:type="dxa"/>
            <w:tcBorders>
              <w:top w:val="single" w:color="auto" w:sz="4" w:space="0"/>
              <w:left w:val="nil"/>
              <w:bottom w:val="single" w:color="auto" w:sz="4" w:space="0"/>
              <w:right w:val="nil"/>
            </w:tcBorders>
          </w:tcPr>
          <w:p w:rsidRPr="003A681C" w:rsidR="00B31578" w:rsidP="003A681C" w:rsidRDefault="00B31578" w14:paraId="6C8D6910" w14:textId="77777777">
            <w:pPr>
              <w:rPr>
                <w:rFonts w:ascii="Palatino Linotype" w:hAnsi="Palatino Linotype" w:cs="Calibri"/>
                <w:b/>
                <w:bCs/>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4A882109" w14:textId="0D03F9A8">
            <w:pPr>
              <w:rPr>
                <w:rFonts w:ascii="Palatino Linotype" w:hAnsi="Palatino Linotype" w:cs="Calibri"/>
                <w:b/>
                <w:bCs/>
                <w:color w:val="000000"/>
                <w:sz w:val="24"/>
                <w:szCs w:val="24"/>
              </w:rPr>
            </w:pPr>
          </w:p>
        </w:tc>
      </w:tr>
      <w:tr w:rsidRPr="003A681C" w:rsidR="001E05A5" w:rsidTr="00F07CFF" w14:paraId="2F5769EC" w14:textId="77777777">
        <w:trPr>
          <w:gridBefore w:val="1"/>
          <w:wBefore w:w="6" w:type="dxa"/>
          <w:trHeight w:val="315"/>
        </w:trPr>
        <w:tc>
          <w:tcPr>
            <w:tcW w:w="11504" w:type="dxa"/>
            <w:gridSpan w:val="16"/>
            <w:tcBorders>
              <w:top w:val="single" w:color="auto" w:sz="4" w:space="0"/>
              <w:left w:val="single" w:color="auto" w:sz="4" w:space="0"/>
              <w:bottom w:val="single" w:color="auto" w:sz="4" w:space="0"/>
              <w:right w:val="single" w:color="auto" w:sz="4" w:space="0"/>
            </w:tcBorders>
          </w:tcPr>
          <w:p w:rsidRPr="003A681C" w:rsidR="001E05A5" w:rsidP="003A681C" w:rsidRDefault="001E05A5" w14:paraId="2EB9F777" w14:textId="4EB41BEE">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Other </w:t>
            </w:r>
          </w:p>
        </w:tc>
      </w:tr>
      <w:tr w:rsidRPr="003A681C" w:rsidR="00B31578" w:rsidTr="00F07CFF" w14:paraId="779CA067" w14:textId="77777777">
        <w:trPr>
          <w:trHeight w:val="315"/>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832DDC" w:rsidRDefault="00B31578" w14:paraId="47874678" w14:textId="76DD998F">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Labor (Internal) </w:t>
            </w:r>
            <w:r>
              <w:rPr>
                <w:rStyle w:val="FootnoteReference"/>
                <w:rFonts w:ascii="Palatino Linotype" w:hAnsi="Palatino Linotype" w:cs="Calibri"/>
                <w:color w:val="000000"/>
                <w:sz w:val="24"/>
                <w:szCs w:val="24"/>
              </w:rPr>
              <w:footnoteReference w:id="179"/>
            </w:r>
          </w:p>
        </w:tc>
        <w:tc>
          <w:tcPr>
            <w:tcW w:w="3866" w:type="dxa"/>
            <w:gridSpan w:val="3"/>
            <w:tcBorders>
              <w:top w:val="nil"/>
              <w:left w:val="nil"/>
              <w:bottom w:val="single" w:color="auto" w:sz="4" w:space="0"/>
              <w:right w:val="single" w:color="auto" w:sz="4" w:space="0"/>
            </w:tcBorders>
            <w:noWrap/>
            <w:vAlign w:val="center"/>
            <w:hideMark/>
          </w:tcPr>
          <w:p w:rsidRPr="003A681C" w:rsidR="00B31578" w:rsidP="003A681C" w:rsidRDefault="00B31578" w14:paraId="2BA74B3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4BFDBD8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605D76A7"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7C9DD9D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4EBB83B2"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0AB8151D"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3D104492"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530EBE05" w14:textId="414CDEE8">
            <w:pPr>
              <w:rPr>
                <w:rFonts w:ascii="Palatino Linotype" w:hAnsi="Palatino Linotype" w:cs="Calibri"/>
                <w:color w:val="000000"/>
                <w:sz w:val="24"/>
                <w:szCs w:val="24"/>
              </w:rPr>
            </w:pPr>
          </w:p>
        </w:tc>
      </w:tr>
      <w:tr w:rsidRPr="003A681C" w:rsidR="00B31578" w:rsidTr="00F07CFF" w14:paraId="7D320675" w14:textId="77777777">
        <w:trPr>
          <w:trHeight w:val="630"/>
        </w:trPr>
        <w:tc>
          <w:tcPr>
            <w:tcW w:w="3376" w:type="dxa"/>
            <w:gridSpan w:val="2"/>
            <w:tcBorders>
              <w:top w:val="nil"/>
              <w:left w:val="single" w:color="auto" w:sz="4" w:space="0"/>
              <w:bottom w:val="single" w:color="auto" w:sz="4" w:space="0"/>
              <w:right w:val="single" w:color="auto" w:sz="4" w:space="0"/>
            </w:tcBorders>
            <w:noWrap/>
            <w:vAlign w:val="center"/>
            <w:hideMark/>
          </w:tcPr>
          <w:p w:rsidRPr="003A681C" w:rsidR="00B31578" w:rsidP="00832DDC" w:rsidRDefault="00B31578" w14:paraId="4EC28069" w14:textId="77777777">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Non-Labor</w:t>
            </w:r>
          </w:p>
        </w:tc>
        <w:tc>
          <w:tcPr>
            <w:tcW w:w="3866" w:type="dxa"/>
            <w:gridSpan w:val="3"/>
            <w:tcBorders>
              <w:top w:val="nil"/>
              <w:left w:val="nil"/>
              <w:bottom w:val="single" w:color="auto" w:sz="4" w:space="0"/>
              <w:right w:val="single" w:color="auto" w:sz="4" w:space="0"/>
            </w:tcBorders>
            <w:vAlign w:val="center"/>
            <w:hideMark/>
          </w:tcPr>
          <w:p w:rsidRPr="003A681C" w:rsidR="00B31578" w:rsidP="003A681C" w:rsidRDefault="00B31578" w14:paraId="16C512B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Utility specific overhead driven by corporate cost model</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16ABBE9"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80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16B7A88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1EC9C09A"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3CEEA132" w14:textId="77777777">
            <w:pPr>
              <w:rPr>
                <w:rFonts w:ascii="Palatino Linotype" w:hAnsi="Palatino Linotype" w:cs="Calibri"/>
                <w:color w:val="000000"/>
                <w:sz w:val="24"/>
                <w:szCs w:val="24"/>
              </w:rPr>
            </w:pPr>
          </w:p>
        </w:tc>
        <w:tc>
          <w:tcPr>
            <w:tcW w:w="621" w:type="dxa"/>
            <w:gridSpan w:val="2"/>
            <w:tcBorders>
              <w:top w:val="nil"/>
              <w:left w:val="nil"/>
              <w:bottom w:val="single" w:color="auto" w:sz="4" w:space="0"/>
              <w:right w:val="single" w:color="auto" w:sz="4" w:space="0"/>
            </w:tcBorders>
          </w:tcPr>
          <w:p w:rsidRPr="003A681C" w:rsidR="00B31578" w:rsidP="003A681C" w:rsidRDefault="00B31578" w14:paraId="29AADF6B" w14:textId="77777777">
            <w:pPr>
              <w:rPr>
                <w:rFonts w:ascii="Palatino Linotype" w:hAnsi="Palatino Linotype" w:cs="Calibri"/>
                <w:color w:val="000000"/>
                <w:sz w:val="24"/>
                <w:szCs w:val="24"/>
              </w:rPr>
            </w:pPr>
          </w:p>
        </w:tc>
        <w:tc>
          <w:tcPr>
            <w:tcW w:w="236" w:type="dxa"/>
            <w:tcBorders>
              <w:top w:val="nil"/>
              <w:left w:val="nil"/>
              <w:bottom w:val="single" w:color="auto" w:sz="4" w:space="0"/>
              <w:right w:val="nil"/>
            </w:tcBorders>
          </w:tcPr>
          <w:p w:rsidRPr="003A681C" w:rsidR="00B31578" w:rsidP="003A681C" w:rsidRDefault="00B31578" w14:paraId="29297139"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1B49E710" w14:textId="6A0DA96C">
            <w:pPr>
              <w:rPr>
                <w:rFonts w:ascii="Palatino Linotype" w:hAnsi="Palatino Linotype" w:cs="Calibri"/>
                <w:color w:val="000000"/>
                <w:sz w:val="24"/>
                <w:szCs w:val="24"/>
              </w:rPr>
            </w:pPr>
          </w:p>
        </w:tc>
      </w:tr>
      <w:tr w:rsidRPr="003A681C" w:rsidR="0095699D" w:rsidTr="00F07CFF" w14:paraId="025AB55B" w14:textId="77777777">
        <w:trPr>
          <w:gridBefore w:val="1"/>
          <w:wBefore w:w="6" w:type="dxa"/>
          <w:trHeight w:val="330"/>
        </w:trPr>
        <w:tc>
          <w:tcPr>
            <w:tcW w:w="7146" w:type="dxa"/>
            <w:gridSpan w:val="3"/>
            <w:tcBorders>
              <w:top w:val="single" w:color="auto" w:sz="4" w:space="0"/>
              <w:left w:val="single" w:color="auto" w:sz="4" w:space="0"/>
              <w:bottom w:val="single" w:color="auto" w:sz="4" w:space="0"/>
            </w:tcBorders>
            <w:shd w:val="clear" w:color="auto" w:fill="FCE4D6"/>
            <w:noWrap/>
            <w:vAlign w:val="center"/>
            <w:hideMark/>
          </w:tcPr>
          <w:p w:rsidRPr="003A681C" w:rsidR="00B31578" w:rsidP="003A681C" w:rsidRDefault="00B31578" w14:paraId="032EB8CF"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Sub-Total Capital Cost</w:t>
            </w:r>
          </w:p>
        </w:tc>
        <w:tc>
          <w:tcPr>
            <w:tcW w:w="717" w:type="dxa"/>
            <w:gridSpan w:val="2"/>
            <w:tcBorders>
              <w:top w:val="single" w:color="auto" w:sz="4" w:space="0"/>
              <w:bottom w:val="single" w:color="auto" w:sz="4" w:space="0"/>
            </w:tcBorders>
            <w:shd w:val="clear" w:color="auto" w:fill="FCE4D6"/>
            <w:vAlign w:val="center"/>
          </w:tcPr>
          <w:p w:rsidRPr="003A681C" w:rsidR="00B31578" w:rsidP="003A681C" w:rsidRDefault="00B31578" w14:paraId="32748BE1" w14:textId="77777777">
            <w:pPr>
              <w:rPr>
                <w:rFonts w:ascii="Palatino Linotype" w:hAnsi="Palatino Linotype" w:cs="Calibri"/>
                <w:b/>
                <w:bCs/>
                <w:color w:val="000000"/>
                <w:sz w:val="24"/>
                <w:szCs w:val="24"/>
              </w:rPr>
            </w:pPr>
          </w:p>
        </w:tc>
        <w:tc>
          <w:tcPr>
            <w:tcW w:w="717" w:type="dxa"/>
            <w:gridSpan w:val="2"/>
            <w:tcBorders>
              <w:top w:val="single" w:color="auto" w:sz="4" w:space="0"/>
              <w:bottom w:val="single" w:color="auto" w:sz="4" w:space="0"/>
            </w:tcBorders>
            <w:shd w:val="clear" w:color="auto" w:fill="FCE4D6"/>
            <w:vAlign w:val="center"/>
          </w:tcPr>
          <w:p w:rsidRPr="003A681C" w:rsidR="00B31578" w:rsidP="003A681C" w:rsidRDefault="00B31578" w14:paraId="3C2716CD" w14:textId="77777777">
            <w:pPr>
              <w:rPr>
                <w:rFonts w:ascii="Palatino Linotype" w:hAnsi="Palatino Linotype" w:cs="Calibri"/>
                <w:b/>
                <w:bCs/>
                <w:color w:val="000000"/>
                <w:sz w:val="24"/>
                <w:szCs w:val="24"/>
              </w:rPr>
            </w:pPr>
          </w:p>
        </w:tc>
        <w:tc>
          <w:tcPr>
            <w:tcW w:w="716" w:type="dxa"/>
            <w:gridSpan w:val="2"/>
            <w:tcBorders>
              <w:top w:val="single" w:color="auto" w:sz="4" w:space="0"/>
              <w:bottom w:val="single" w:color="auto" w:sz="4" w:space="0"/>
            </w:tcBorders>
            <w:shd w:val="clear" w:color="auto" w:fill="FCE4D6"/>
            <w:vAlign w:val="center"/>
          </w:tcPr>
          <w:p w:rsidRPr="003A681C" w:rsidR="00B31578" w:rsidP="003A681C" w:rsidRDefault="00B31578" w14:paraId="42A27BB5" w14:textId="77777777">
            <w:pPr>
              <w:rPr>
                <w:rFonts w:ascii="Palatino Linotype" w:hAnsi="Palatino Linotype" w:cs="Calibri"/>
                <w:b/>
                <w:bCs/>
                <w:color w:val="000000"/>
                <w:sz w:val="24"/>
                <w:szCs w:val="24"/>
              </w:rPr>
            </w:pPr>
          </w:p>
        </w:tc>
        <w:tc>
          <w:tcPr>
            <w:tcW w:w="716" w:type="dxa"/>
            <w:gridSpan w:val="2"/>
            <w:tcBorders>
              <w:top w:val="single" w:color="auto" w:sz="4" w:space="0"/>
              <w:bottom w:val="single" w:color="auto" w:sz="4" w:space="0"/>
            </w:tcBorders>
            <w:shd w:val="clear" w:color="auto" w:fill="FCE4D6"/>
            <w:vAlign w:val="center"/>
          </w:tcPr>
          <w:p w:rsidRPr="003A681C" w:rsidR="00B31578" w:rsidP="003A681C" w:rsidRDefault="00B31578" w14:paraId="6E70A24C" w14:textId="77777777">
            <w:pPr>
              <w:rPr>
                <w:rFonts w:ascii="Palatino Linotype" w:hAnsi="Palatino Linotype" w:cs="Calibri"/>
                <w:b/>
                <w:bCs/>
                <w:color w:val="000000"/>
                <w:sz w:val="24"/>
                <w:szCs w:val="24"/>
              </w:rPr>
            </w:pPr>
          </w:p>
        </w:tc>
        <w:tc>
          <w:tcPr>
            <w:tcW w:w="717" w:type="dxa"/>
            <w:gridSpan w:val="2"/>
            <w:tcBorders>
              <w:top w:val="single" w:color="auto" w:sz="4" w:space="0"/>
              <w:bottom w:val="single" w:color="auto" w:sz="4" w:space="0"/>
            </w:tcBorders>
            <w:shd w:val="clear" w:color="auto" w:fill="FCE4D6"/>
            <w:vAlign w:val="center"/>
          </w:tcPr>
          <w:p w:rsidRPr="003A681C" w:rsidR="00B31578" w:rsidP="003A681C" w:rsidRDefault="00B31578" w14:paraId="720F2BC0" w14:textId="77777777">
            <w:pPr>
              <w:rPr>
                <w:rFonts w:ascii="Palatino Linotype" w:hAnsi="Palatino Linotype" w:cs="Calibri"/>
                <w:b/>
                <w:bCs/>
                <w:color w:val="000000"/>
                <w:sz w:val="24"/>
                <w:szCs w:val="24"/>
              </w:rPr>
            </w:pPr>
          </w:p>
        </w:tc>
        <w:tc>
          <w:tcPr>
            <w:tcW w:w="319" w:type="dxa"/>
            <w:gridSpan w:val="2"/>
            <w:tcBorders>
              <w:top w:val="single" w:color="auto" w:sz="4" w:space="0"/>
              <w:bottom w:val="single" w:color="auto" w:sz="4" w:space="0"/>
              <w:right w:val="nil"/>
            </w:tcBorders>
            <w:shd w:val="clear" w:color="auto" w:fill="FCE4D6"/>
          </w:tcPr>
          <w:p w:rsidRPr="003A681C" w:rsidR="00B31578" w:rsidP="003A681C" w:rsidRDefault="00B31578" w14:paraId="10B426B6" w14:textId="77777777">
            <w:pPr>
              <w:rPr>
                <w:rFonts w:ascii="Palatino Linotype" w:hAnsi="Palatino Linotype" w:cs="Calibri"/>
                <w:b/>
                <w:bCs/>
                <w:color w:val="000000"/>
                <w:sz w:val="24"/>
                <w:szCs w:val="24"/>
              </w:rPr>
            </w:pPr>
          </w:p>
        </w:tc>
        <w:tc>
          <w:tcPr>
            <w:tcW w:w="456" w:type="dxa"/>
            <w:tcBorders>
              <w:top w:val="single" w:color="auto" w:sz="4" w:space="0"/>
              <w:left w:val="nil"/>
              <w:bottom w:val="single" w:color="auto" w:sz="4" w:space="0"/>
              <w:right w:val="single" w:color="auto" w:sz="4" w:space="0"/>
            </w:tcBorders>
            <w:shd w:val="clear" w:color="auto" w:fill="FCE4D6"/>
            <w:vAlign w:val="center"/>
          </w:tcPr>
          <w:p w:rsidRPr="003A681C" w:rsidR="00B31578" w:rsidP="003A681C" w:rsidRDefault="00B31578" w14:paraId="4B0E658D" w14:textId="2A29627D">
            <w:pPr>
              <w:rPr>
                <w:rFonts w:ascii="Palatino Linotype" w:hAnsi="Palatino Linotype" w:cs="Calibri"/>
                <w:b/>
                <w:bCs/>
                <w:color w:val="000000"/>
                <w:sz w:val="24"/>
                <w:szCs w:val="24"/>
              </w:rPr>
            </w:pPr>
          </w:p>
        </w:tc>
      </w:tr>
      <w:tr w:rsidRPr="003A681C" w:rsidR="0095170C" w:rsidTr="00F07CFF" w14:paraId="10A8AE63" w14:textId="77777777">
        <w:trPr>
          <w:gridBefore w:val="1"/>
          <w:wBefore w:w="6" w:type="dxa"/>
          <w:trHeight w:val="330"/>
        </w:trPr>
        <w:tc>
          <w:tcPr>
            <w:tcW w:w="7146" w:type="dxa"/>
            <w:gridSpan w:val="3"/>
            <w:shd w:val="clear" w:color="auto" w:fill="auto"/>
            <w:noWrap/>
            <w:vAlign w:val="center"/>
          </w:tcPr>
          <w:p w:rsidRPr="003A681C" w:rsidR="0095170C" w:rsidP="003A681C" w:rsidRDefault="0095170C" w14:paraId="4E23BA58"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4BB08F25"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4F705BBA" w14:textId="77777777">
            <w:pPr>
              <w:rPr>
                <w:rFonts w:ascii="Palatino Linotype" w:hAnsi="Palatino Linotype" w:cs="Calibri"/>
                <w:b/>
                <w:bCs/>
                <w:color w:val="000000"/>
                <w:sz w:val="24"/>
                <w:szCs w:val="24"/>
              </w:rPr>
            </w:pPr>
          </w:p>
        </w:tc>
        <w:tc>
          <w:tcPr>
            <w:tcW w:w="716" w:type="dxa"/>
            <w:gridSpan w:val="2"/>
            <w:shd w:val="clear" w:color="auto" w:fill="auto"/>
            <w:vAlign w:val="center"/>
          </w:tcPr>
          <w:p w:rsidRPr="003A681C" w:rsidR="0095170C" w:rsidP="003A681C" w:rsidRDefault="0095170C" w14:paraId="247BCDE2" w14:textId="77777777">
            <w:pPr>
              <w:rPr>
                <w:rFonts w:ascii="Palatino Linotype" w:hAnsi="Palatino Linotype" w:cs="Calibri"/>
                <w:b/>
                <w:bCs/>
                <w:color w:val="000000"/>
                <w:sz w:val="24"/>
                <w:szCs w:val="24"/>
              </w:rPr>
            </w:pPr>
          </w:p>
        </w:tc>
        <w:tc>
          <w:tcPr>
            <w:tcW w:w="716" w:type="dxa"/>
            <w:gridSpan w:val="2"/>
            <w:shd w:val="clear" w:color="auto" w:fill="auto"/>
            <w:vAlign w:val="center"/>
          </w:tcPr>
          <w:p w:rsidRPr="003A681C" w:rsidR="0095170C" w:rsidP="003A681C" w:rsidRDefault="0095170C" w14:paraId="3C960C60"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63659E55" w14:textId="77777777">
            <w:pPr>
              <w:rPr>
                <w:rFonts w:ascii="Palatino Linotype" w:hAnsi="Palatino Linotype" w:cs="Calibri"/>
                <w:b/>
                <w:bCs/>
                <w:color w:val="000000"/>
                <w:sz w:val="24"/>
                <w:szCs w:val="24"/>
              </w:rPr>
            </w:pPr>
          </w:p>
        </w:tc>
        <w:tc>
          <w:tcPr>
            <w:tcW w:w="319" w:type="dxa"/>
            <w:gridSpan w:val="2"/>
            <w:tcBorders>
              <w:right w:val="nil"/>
            </w:tcBorders>
            <w:shd w:val="clear" w:color="auto" w:fill="auto"/>
          </w:tcPr>
          <w:p w:rsidRPr="003A681C" w:rsidR="0095170C" w:rsidP="003A681C" w:rsidRDefault="0095170C" w14:paraId="4C780C74" w14:textId="77777777">
            <w:pPr>
              <w:rPr>
                <w:rFonts w:ascii="Palatino Linotype" w:hAnsi="Palatino Linotype" w:cs="Calibri"/>
                <w:b/>
                <w:bCs/>
                <w:color w:val="000000"/>
                <w:sz w:val="24"/>
                <w:szCs w:val="24"/>
              </w:rPr>
            </w:pPr>
          </w:p>
        </w:tc>
        <w:tc>
          <w:tcPr>
            <w:tcW w:w="456" w:type="dxa"/>
            <w:tcBorders>
              <w:left w:val="nil"/>
            </w:tcBorders>
            <w:shd w:val="clear" w:color="auto" w:fill="auto"/>
            <w:vAlign w:val="center"/>
          </w:tcPr>
          <w:p w:rsidRPr="003A681C" w:rsidR="0095170C" w:rsidP="003A681C" w:rsidRDefault="0095170C" w14:paraId="3482955C" w14:textId="77777777">
            <w:pPr>
              <w:rPr>
                <w:rFonts w:ascii="Palatino Linotype" w:hAnsi="Palatino Linotype" w:cs="Calibri"/>
                <w:b/>
                <w:bCs/>
                <w:color w:val="000000"/>
                <w:sz w:val="24"/>
                <w:szCs w:val="24"/>
              </w:rPr>
            </w:pPr>
          </w:p>
        </w:tc>
      </w:tr>
      <w:tr w:rsidRPr="003A681C" w:rsidR="0095170C" w:rsidTr="00F07CFF" w14:paraId="200CE468" w14:textId="77777777">
        <w:trPr>
          <w:gridBefore w:val="1"/>
          <w:wBefore w:w="6" w:type="dxa"/>
          <w:trHeight w:val="330"/>
        </w:trPr>
        <w:tc>
          <w:tcPr>
            <w:tcW w:w="7146" w:type="dxa"/>
            <w:gridSpan w:val="3"/>
            <w:shd w:val="clear" w:color="auto" w:fill="auto"/>
            <w:noWrap/>
            <w:vAlign w:val="center"/>
          </w:tcPr>
          <w:p w:rsidRPr="003A681C" w:rsidR="0095170C" w:rsidP="003A681C" w:rsidRDefault="0095170C" w14:paraId="41F40304"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4924868C"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194A7763" w14:textId="77777777">
            <w:pPr>
              <w:rPr>
                <w:rFonts w:ascii="Palatino Linotype" w:hAnsi="Palatino Linotype" w:cs="Calibri"/>
                <w:b/>
                <w:bCs/>
                <w:color w:val="000000"/>
                <w:sz w:val="24"/>
                <w:szCs w:val="24"/>
              </w:rPr>
            </w:pPr>
          </w:p>
        </w:tc>
        <w:tc>
          <w:tcPr>
            <w:tcW w:w="716" w:type="dxa"/>
            <w:gridSpan w:val="2"/>
            <w:shd w:val="clear" w:color="auto" w:fill="auto"/>
            <w:vAlign w:val="center"/>
          </w:tcPr>
          <w:p w:rsidRPr="003A681C" w:rsidR="0095170C" w:rsidP="003A681C" w:rsidRDefault="0095170C" w14:paraId="58D2D23A" w14:textId="77777777">
            <w:pPr>
              <w:rPr>
                <w:rFonts w:ascii="Palatino Linotype" w:hAnsi="Palatino Linotype" w:cs="Calibri"/>
                <w:b/>
                <w:bCs/>
                <w:color w:val="000000"/>
                <w:sz w:val="24"/>
                <w:szCs w:val="24"/>
              </w:rPr>
            </w:pPr>
          </w:p>
        </w:tc>
        <w:tc>
          <w:tcPr>
            <w:tcW w:w="716" w:type="dxa"/>
            <w:gridSpan w:val="2"/>
            <w:shd w:val="clear" w:color="auto" w:fill="auto"/>
            <w:vAlign w:val="center"/>
          </w:tcPr>
          <w:p w:rsidRPr="003A681C" w:rsidR="0095170C" w:rsidP="003A681C" w:rsidRDefault="0095170C" w14:paraId="2AD7DCEE"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3643527B" w14:textId="77777777">
            <w:pPr>
              <w:rPr>
                <w:rFonts w:ascii="Palatino Linotype" w:hAnsi="Palatino Linotype" w:cs="Calibri"/>
                <w:b/>
                <w:bCs/>
                <w:color w:val="000000"/>
                <w:sz w:val="24"/>
                <w:szCs w:val="24"/>
              </w:rPr>
            </w:pPr>
          </w:p>
        </w:tc>
        <w:tc>
          <w:tcPr>
            <w:tcW w:w="319" w:type="dxa"/>
            <w:gridSpan w:val="2"/>
            <w:tcBorders>
              <w:right w:val="nil"/>
            </w:tcBorders>
            <w:shd w:val="clear" w:color="auto" w:fill="auto"/>
          </w:tcPr>
          <w:p w:rsidRPr="003A681C" w:rsidR="0095170C" w:rsidP="003A681C" w:rsidRDefault="0095170C" w14:paraId="4FBFFF1E" w14:textId="77777777">
            <w:pPr>
              <w:rPr>
                <w:rFonts w:ascii="Palatino Linotype" w:hAnsi="Palatino Linotype" w:cs="Calibri"/>
                <w:b/>
                <w:bCs/>
                <w:color w:val="000000"/>
                <w:sz w:val="24"/>
                <w:szCs w:val="24"/>
              </w:rPr>
            </w:pPr>
          </w:p>
        </w:tc>
        <w:tc>
          <w:tcPr>
            <w:tcW w:w="456" w:type="dxa"/>
            <w:tcBorders>
              <w:left w:val="nil"/>
            </w:tcBorders>
            <w:shd w:val="clear" w:color="auto" w:fill="auto"/>
            <w:vAlign w:val="center"/>
          </w:tcPr>
          <w:p w:rsidRPr="003A681C" w:rsidR="0095170C" w:rsidP="003A681C" w:rsidRDefault="0095170C" w14:paraId="13AAF1DA" w14:textId="77777777">
            <w:pPr>
              <w:rPr>
                <w:rFonts w:ascii="Palatino Linotype" w:hAnsi="Palatino Linotype" w:cs="Calibri"/>
                <w:b/>
                <w:bCs/>
                <w:color w:val="000000"/>
                <w:sz w:val="24"/>
                <w:szCs w:val="24"/>
              </w:rPr>
            </w:pPr>
          </w:p>
        </w:tc>
      </w:tr>
      <w:tr w:rsidRPr="003A681C" w:rsidR="0095170C" w:rsidTr="00F07CFF" w14:paraId="1F24460E" w14:textId="77777777">
        <w:trPr>
          <w:gridBefore w:val="1"/>
          <w:wBefore w:w="6" w:type="dxa"/>
          <w:trHeight w:val="330"/>
        </w:trPr>
        <w:tc>
          <w:tcPr>
            <w:tcW w:w="7146" w:type="dxa"/>
            <w:gridSpan w:val="3"/>
            <w:shd w:val="clear" w:color="auto" w:fill="auto"/>
            <w:noWrap/>
            <w:vAlign w:val="center"/>
          </w:tcPr>
          <w:p w:rsidRPr="003A681C" w:rsidR="0095170C" w:rsidP="003A681C" w:rsidRDefault="0095170C" w14:paraId="5F38BD39"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1EC02DB1"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4DA5AE0D" w14:textId="77777777">
            <w:pPr>
              <w:rPr>
                <w:rFonts w:ascii="Palatino Linotype" w:hAnsi="Palatino Linotype" w:cs="Calibri"/>
                <w:b/>
                <w:bCs/>
                <w:color w:val="000000"/>
                <w:sz w:val="24"/>
                <w:szCs w:val="24"/>
              </w:rPr>
            </w:pPr>
          </w:p>
        </w:tc>
        <w:tc>
          <w:tcPr>
            <w:tcW w:w="716" w:type="dxa"/>
            <w:gridSpan w:val="2"/>
            <w:shd w:val="clear" w:color="auto" w:fill="auto"/>
            <w:vAlign w:val="center"/>
          </w:tcPr>
          <w:p w:rsidRPr="003A681C" w:rsidR="0095170C" w:rsidP="003A681C" w:rsidRDefault="0095170C" w14:paraId="6812FEE3" w14:textId="77777777">
            <w:pPr>
              <w:rPr>
                <w:rFonts w:ascii="Palatino Linotype" w:hAnsi="Palatino Linotype" w:cs="Calibri"/>
                <w:b/>
                <w:bCs/>
                <w:color w:val="000000"/>
                <w:sz w:val="24"/>
                <w:szCs w:val="24"/>
              </w:rPr>
            </w:pPr>
          </w:p>
        </w:tc>
        <w:tc>
          <w:tcPr>
            <w:tcW w:w="716" w:type="dxa"/>
            <w:gridSpan w:val="2"/>
            <w:shd w:val="clear" w:color="auto" w:fill="auto"/>
            <w:vAlign w:val="center"/>
          </w:tcPr>
          <w:p w:rsidRPr="003A681C" w:rsidR="0095170C" w:rsidP="003A681C" w:rsidRDefault="0095170C" w14:paraId="3BC94652" w14:textId="77777777">
            <w:pPr>
              <w:rPr>
                <w:rFonts w:ascii="Palatino Linotype" w:hAnsi="Palatino Linotype" w:cs="Calibri"/>
                <w:b/>
                <w:bCs/>
                <w:color w:val="000000"/>
                <w:sz w:val="24"/>
                <w:szCs w:val="24"/>
              </w:rPr>
            </w:pPr>
          </w:p>
        </w:tc>
        <w:tc>
          <w:tcPr>
            <w:tcW w:w="717" w:type="dxa"/>
            <w:gridSpan w:val="2"/>
            <w:shd w:val="clear" w:color="auto" w:fill="auto"/>
            <w:vAlign w:val="center"/>
          </w:tcPr>
          <w:p w:rsidRPr="003A681C" w:rsidR="0095170C" w:rsidP="003A681C" w:rsidRDefault="0095170C" w14:paraId="339B9B4B" w14:textId="77777777">
            <w:pPr>
              <w:rPr>
                <w:rFonts w:ascii="Palatino Linotype" w:hAnsi="Palatino Linotype" w:cs="Calibri"/>
                <w:b/>
                <w:bCs/>
                <w:color w:val="000000"/>
                <w:sz w:val="24"/>
                <w:szCs w:val="24"/>
              </w:rPr>
            </w:pPr>
          </w:p>
        </w:tc>
        <w:tc>
          <w:tcPr>
            <w:tcW w:w="319" w:type="dxa"/>
            <w:gridSpan w:val="2"/>
            <w:tcBorders>
              <w:right w:val="nil"/>
            </w:tcBorders>
            <w:shd w:val="clear" w:color="auto" w:fill="auto"/>
          </w:tcPr>
          <w:p w:rsidRPr="003A681C" w:rsidR="0095170C" w:rsidP="003A681C" w:rsidRDefault="0095170C" w14:paraId="73A16E79" w14:textId="77777777">
            <w:pPr>
              <w:rPr>
                <w:rFonts w:ascii="Palatino Linotype" w:hAnsi="Palatino Linotype" w:cs="Calibri"/>
                <w:b/>
                <w:bCs/>
                <w:color w:val="000000"/>
                <w:sz w:val="24"/>
                <w:szCs w:val="24"/>
              </w:rPr>
            </w:pPr>
          </w:p>
        </w:tc>
        <w:tc>
          <w:tcPr>
            <w:tcW w:w="456" w:type="dxa"/>
            <w:tcBorders>
              <w:left w:val="nil"/>
            </w:tcBorders>
            <w:shd w:val="clear" w:color="auto" w:fill="auto"/>
            <w:vAlign w:val="center"/>
          </w:tcPr>
          <w:p w:rsidRPr="003A681C" w:rsidR="0095170C" w:rsidP="003A681C" w:rsidRDefault="0095170C" w14:paraId="13181D2F" w14:textId="77777777">
            <w:pPr>
              <w:rPr>
                <w:rFonts w:ascii="Palatino Linotype" w:hAnsi="Palatino Linotype" w:cs="Calibri"/>
                <w:b/>
                <w:bCs/>
                <w:color w:val="000000"/>
                <w:sz w:val="24"/>
                <w:szCs w:val="24"/>
              </w:rPr>
            </w:pPr>
          </w:p>
        </w:tc>
      </w:tr>
      <w:tr w:rsidRPr="003A681C" w:rsidR="001E05A5" w:rsidTr="00F07CFF" w14:paraId="3A18BFE2" w14:textId="77777777">
        <w:trPr>
          <w:gridBefore w:val="1"/>
          <w:wBefore w:w="6" w:type="dxa"/>
          <w:trHeight w:val="486"/>
        </w:trPr>
        <w:tc>
          <w:tcPr>
            <w:tcW w:w="11504" w:type="dxa"/>
            <w:gridSpan w:val="16"/>
            <w:tcBorders>
              <w:left w:val="single" w:color="auto" w:sz="4" w:space="0"/>
              <w:bottom w:val="single" w:color="auto" w:sz="4" w:space="0"/>
              <w:right w:val="single" w:color="auto" w:sz="4" w:space="0"/>
            </w:tcBorders>
            <w:shd w:val="clear" w:color="auto" w:fill="9BC2E6"/>
            <w:vAlign w:val="center"/>
          </w:tcPr>
          <w:p w:rsidRPr="003A681C" w:rsidR="001E05A5" w:rsidP="003A681C" w:rsidRDefault="001E05A5" w14:paraId="6CEC2372" w14:textId="686070BC">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To-The-Meter - Expense Costs</w:t>
            </w:r>
          </w:p>
        </w:tc>
      </w:tr>
      <w:tr w:rsidRPr="003A681C" w:rsidR="001E05A5" w:rsidTr="00F07CFF" w14:paraId="4AF001D0" w14:textId="77777777">
        <w:trPr>
          <w:gridBefore w:val="1"/>
          <w:wBefore w:w="6" w:type="dxa"/>
          <w:trHeight w:val="440"/>
        </w:trPr>
        <w:tc>
          <w:tcPr>
            <w:tcW w:w="11504" w:type="dxa"/>
            <w:gridSpan w:val="16"/>
            <w:tcBorders>
              <w:top w:val="single" w:color="auto" w:sz="4" w:space="0"/>
              <w:left w:val="single" w:color="auto" w:sz="4" w:space="0"/>
              <w:bottom w:val="single" w:color="auto" w:sz="4" w:space="0"/>
              <w:right w:val="single" w:color="auto" w:sz="4" w:space="0"/>
            </w:tcBorders>
          </w:tcPr>
          <w:p w:rsidRPr="003A681C" w:rsidR="001E05A5" w:rsidP="003A681C" w:rsidRDefault="001E05A5" w14:paraId="6286080F" w14:textId="4651CC6C">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Project Management Costs </w:t>
            </w:r>
          </w:p>
        </w:tc>
      </w:tr>
      <w:tr w:rsidRPr="003A681C" w:rsidR="00B31578" w:rsidTr="00F07CFF" w14:paraId="4E080BD2" w14:textId="77777777">
        <w:trPr>
          <w:gridBefore w:val="1"/>
          <w:wBefore w:w="6" w:type="dxa"/>
          <w:trHeight w:val="971"/>
        </w:trPr>
        <w:tc>
          <w:tcPr>
            <w:tcW w:w="3370" w:type="dxa"/>
            <w:tcBorders>
              <w:top w:val="nil"/>
              <w:left w:val="single" w:color="auto" w:sz="4" w:space="0"/>
              <w:bottom w:val="single" w:color="auto" w:sz="4" w:space="0"/>
              <w:right w:val="single" w:color="auto" w:sz="4" w:space="0"/>
            </w:tcBorders>
            <w:noWrap/>
            <w:vAlign w:val="center"/>
            <w:hideMark/>
          </w:tcPr>
          <w:p w:rsidRPr="003A681C" w:rsidR="00B31578" w:rsidP="00832DDC" w:rsidRDefault="00B31578" w14:paraId="748264A6" w14:textId="77777777">
            <w:pPr>
              <w:ind w:left="600"/>
              <w:rPr>
                <w:rFonts w:ascii="Palatino Linotype" w:hAnsi="Palatino Linotype" w:cs="Calibri"/>
                <w:color w:val="000000"/>
                <w:sz w:val="24"/>
                <w:szCs w:val="24"/>
              </w:rPr>
            </w:pPr>
            <w:r w:rsidRPr="003A681C">
              <w:rPr>
                <w:rFonts w:ascii="Palatino Linotype" w:hAnsi="Palatino Linotype" w:cs="Calibri"/>
                <w:color w:val="000000"/>
                <w:sz w:val="24"/>
                <w:szCs w:val="24"/>
              </w:rPr>
              <w:t>Project Management Office (PMO)</w:t>
            </w:r>
          </w:p>
        </w:tc>
        <w:tc>
          <w:tcPr>
            <w:tcW w:w="377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495C173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Program startup cost</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6CF34376"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4B7005B2"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3975302"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7F58494B" w14:textId="77777777">
            <w:pPr>
              <w:rPr>
                <w:rFonts w:ascii="Palatino Linotype" w:hAnsi="Palatino Linotype" w:cs="Calibri"/>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3A681C" w:rsidRDefault="00B31578" w14:paraId="7900ACB7" w14:textId="77777777">
            <w:pPr>
              <w:rPr>
                <w:rFonts w:ascii="Palatino Linotype" w:hAnsi="Palatino Linotype" w:cs="Calibri"/>
                <w:color w:val="000000"/>
                <w:sz w:val="24"/>
                <w:szCs w:val="24"/>
              </w:rPr>
            </w:pPr>
          </w:p>
        </w:tc>
        <w:tc>
          <w:tcPr>
            <w:tcW w:w="319" w:type="dxa"/>
            <w:gridSpan w:val="2"/>
            <w:tcBorders>
              <w:top w:val="nil"/>
              <w:left w:val="nil"/>
              <w:bottom w:val="single" w:color="auto" w:sz="4" w:space="0"/>
              <w:right w:val="nil"/>
            </w:tcBorders>
          </w:tcPr>
          <w:p w:rsidRPr="003A681C" w:rsidR="00B31578" w:rsidP="003A681C" w:rsidRDefault="00B31578" w14:paraId="582D6910"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29EEED08" w14:textId="0C8151D7">
            <w:pPr>
              <w:rPr>
                <w:rFonts w:ascii="Palatino Linotype" w:hAnsi="Palatino Linotype" w:cs="Calibri"/>
                <w:color w:val="000000"/>
                <w:sz w:val="24"/>
                <w:szCs w:val="24"/>
              </w:rPr>
            </w:pPr>
          </w:p>
        </w:tc>
      </w:tr>
      <w:tr w:rsidRPr="003A681C" w:rsidR="00D345BE" w:rsidTr="00F07CFF" w14:paraId="2DB15443" w14:textId="77777777">
        <w:trPr>
          <w:gridBefore w:val="1"/>
          <w:wBefore w:w="6" w:type="dxa"/>
          <w:trHeight w:val="1260"/>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D345BE" w:rsidP="00300C0A" w:rsidRDefault="00D345BE" w14:paraId="25BA4ECF" w14:textId="77777777">
            <w:pPr>
              <w:ind w:left="600"/>
              <w:rPr>
                <w:rFonts w:ascii="Palatino Linotype" w:hAnsi="Palatino Linotype" w:cs="Calibri"/>
                <w:color w:val="000000"/>
                <w:sz w:val="24"/>
                <w:szCs w:val="24"/>
              </w:rPr>
            </w:pPr>
            <w:r w:rsidRPr="003A681C">
              <w:rPr>
                <w:rFonts w:ascii="Palatino Linotype" w:hAnsi="Palatino Linotype" w:cs="Calibri"/>
                <w:color w:val="000000"/>
                <w:sz w:val="24"/>
                <w:szCs w:val="24"/>
              </w:rPr>
              <w:t>Outreach</w:t>
            </w:r>
          </w:p>
        </w:tc>
        <w:tc>
          <w:tcPr>
            <w:tcW w:w="3776" w:type="dxa"/>
            <w:gridSpan w:val="2"/>
            <w:tcBorders>
              <w:top w:val="single" w:color="auto" w:sz="4" w:space="0"/>
              <w:left w:val="single" w:color="auto" w:sz="4" w:space="0"/>
              <w:bottom w:val="single" w:color="auto" w:sz="4" w:space="0"/>
              <w:right w:val="single" w:color="auto" w:sz="4" w:space="0"/>
            </w:tcBorders>
            <w:vAlign w:val="center"/>
            <w:hideMark/>
          </w:tcPr>
          <w:p w:rsidRPr="003A681C" w:rsidR="00D345BE" w:rsidP="003A681C" w:rsidRDefault="00D345BE" w14:paraId="776E14AB" w14:textId="0EDB195E">
            <w:pPr>
              <w:rPr>
                <w:rFonts w:ascii="Palatino Linotype" w:hAnsi="Palatino Linotype" w:cs="Calibri"/>
                <w:color w:val="000000"/>
                <w:sz w:val="24"/>
                <w:szCs w:val="24"/>
              </w:rPr>
            </w:pPr>
            <w:r w:rsidRPr="003A681C">
              <w:rPr>
                <w:rFonts w:ascii="Palatino Linotype" w:hAnsi="Palatino Linotype" w:cs="Calibri"/>
                <w:color w:val="000000"/>
                <w:sz w:val="24"/>
                <w:szCs w:val="24"/>
              </w:rPr>
              <w:t xml:space="preserve">Outreach efforts to educate </w:t>
            </w:r>
            <w:r>
              <w:rPr>
                <w:rFonts w:ascii="Palatino Linotype" w:hAnsi="Palatino Linotype" w:cs="Calibri"/>
                <w:color w:val="000000"/>
                <w:sz w:val="24"/>
                <w:szCs w:val="24"/>
              </w:rPr>
              <w:t>Mobilehome Park (</w:t>
            </w:r>
            <w:r w:rsidRPr="003A681C">
              <w:rPr>
                <w:rFonts w:ascii="Palatino Linotype" w:hAnsi="Palatino Linotype" w:cs="Calibri"/>
                <w:color w:val="000000"/>
                <w:sz w:val="24"/>
                <w:szCs w:val="24"/>
              </w:rPr>
              <w:t>MHP</w:t>
            </w:r>
            <w:r>
              <w:rPr>
                <w:rFonts w:ascii="Palatino Linotype" w:hAnsi="Palatino Linotype" w:cs="Calibri"/>
                <w:color w:val="000000"/>
                <w:sz w:val="24"/>
                <w:szCs w:val="24"/>
              </w:rPr>
              <w:t>)</w:t>
            </w:r>
            <w:r w:rsidRPr="003A681C">
              <w:rPr>
                <w:rFonts w:ascii="Palatino Linotype" w:hAnsi="Palatino Linotype" w:cs="Calibri"/>
                <w:color w:val="000000"/>
                <w:sz w:val="24"/>
                <w:szCs w:val="24"/>
              </w:rPr>
              <w:t xml:space="preserve"> </w:t>
            </w:r>
            <w:r>
              <w:rPr>
                <w:rFonts w:ascii="Palatino Linotype" w:hAnsi="Palatino Linotype" w:cs="Calibri"/>
                <w:color w:val="000000"/>
                <w:sz w:val="24"/>
                <w:szCs w:val="24"/>
              </w:rPr>
              <w:t>Owners and operators</w:t>
            </w:r>
            <w:r w:rsidRPr="003A681C">
              <w:rPr>
                <w:rFonts w:ascii="Palatino Linotype" w:hAnsi="Palatino Linotype" w:cs="Calibri"/>
                <w:color w:val="000000"/>
                <w:sz w:val="24"/>
                <w:szCs w:val="24"/>
              </w:rPr>
              <w:t>, residents, government</w:t>
            </w:r>
            <w:r w:rsidRPr="003A681C" w:rsidR="001760E7">
              <w:rPr>
                <w:rFonts w:ascii="Palatino Linotype" w:hAnsi="Palatino Linotype" w:cs="Calibri"/>
                <w:color w:val="000000"/>
                <w:sz w:val="24"/>
                <w:szCs w:val="24"/>
              </w:rPr>
              <w:t>,</w:t>
            </w:r>
            <w:r w:rsidRPr="003A681C">
              <w:rPr>
                <w:rFonts w:ascii="Palatino Linotype" w:hAnsi="Palatino Linotype" w:cs="Calibri"/>
                <w:color w:val="000000"/>
                <w:sz w:val="24"/>
                <w:szCs w:val="24"/>
              </w:rPr>
              <w:t xml:space="preserve"> and local agencies about the program</w:t>
            </w:r>
          </w:p>
        </w:tc>
        <w:tc>
          <w:tcPr>
            <w:tcW w:w="717"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551BCA2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2627E31C"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noWrap/>
            <w:vAlign w:val="center"/>
            <w:hideMark/>
          </w:tcPr>
          <w:p w:rsidRPr="003A681C" w:rsidR="00D345BE" w:rsidP="003A681C" w:rsidRDefault="00D345BE" w14:paraId="63407CF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tcPr>
          <w:p w:rsidRPr="003A681C" w:rsidR="00D345BE" w:rsidP="003A681C" w:rsidRDefault="00D345BE" w14:paraId="3C06063D" w14:textId="77777777">
            <w:pPr>
              <w:rPr>
                <w:rFonts w:ascii="Palatino Linotype" w:hAnsi="Palatino Linotype" w:cs="Calibri"/>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tcPr>
          <w:p w:rsidRPr="003A681C" w:rsidR="00D345BE" w:rsidP="003A681C" w:rsidRDefault="00D345BE" w14:paraId="4E2A2016" w14:textId="77777777">
            <w:pPr>
              <w:rPr>
                <w:rFonts w:ascii="Palatino Linotype" w:hAnsi="Palatino Linotype" w:cs="Calibri"/>
                <w:color w:val="000000"/>
                <w:sz w:val="24"/>
                <w:szCs w:val="24"/>
              </w:rPr>
            </w:pPr>
          </w:p>
        </w:tc>
        <w:tc>
          <w:tcPr>
            <w:tcW w:w="775" w:type="dxa"/>
            <w:gridSpan w:val="3"/>
            <w:tcBorders>
              <w:top w:val="single" w:color="auto" w:sz="4" w:space="0"/>
              <w:left w:val="single" w:color="auto" w:sz="4" w:space="0"/>
              <w:bottom w:val="single" w:color="auto" w:sz="4" w:space="0"/>
              <w:right w:val="single" w:color="auto" w:sz="4" w:space="0"/>
            </w:tcBorders>
          </w:tcPr>
          <w:p w:rsidRPr="003A681C" w:rsidR="00D345BE" w:rsidP="003A681C" w:rsidRDefault="00D345BE" w14:paraId="411DC23C" w14:textId="50A84B1E">
            <w:pPr>
              <w:rPr>
                <w:rFonts w:ascii="Palatino Linotype" w:hAnsi="Palatino Linotype" w:cs="Calibri"/>
                <w:color w:val="000000"/>
                <w:sz w:val="24"/>
                <w:szCs w:val="24"/>
              </w:rPr>
            </w:pPr>
          </w:p>
        </w:tc>
      </w:tr>
      <w:tr w:rsidRPr="003A681C" w:rsidR="00B31578" w:rsidTr="00F07CFF" w14:paraId="37C63E1C" w14:textId="77777777">
        <w:trPr>
          <w:gridBefore w:val="1"/>
          <w:wBefore w:w="6" w:type="dxa"/>
          <w:trHeight w:val="315"/>
        </w:trPr>
        <w:tc>
          <w:tcPr>
            <w:tcW w:w="3370" w:type="dxa"/>
            <w:tcBorders>
              <w:top w:val="nil"/>
              <w:left w:val="single" w:color="auto" w:sz="4" w:space="0"/>
              <w:bottom w:val="single" w:color="auto" w:sz="4" w:space="0"/>
              <w:right w:val="single" w:color="auto" w:sz="4" w:space="0"/>
            </w:tcBorders>
            <w:noWrap/>
            <w:vAlign w:val="center"/>
            <w:hideMark/>
          </w:tcPr>
          <w:p w:rsidRPr="003A681C" w:rsidR="00B31578" w:rsidP="003A681C" w:rsidRDefault="00B31578" w14:paraId="06FA475D"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Other</w:t>
            </w:r>
          </w:p>
        </w:tc>
        <w:tc>
          <w:tcPr>
            <w:tcW w:w="377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4A907707"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33322E2"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7BCDFBAF"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283D62A2"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55FDB6A5" w14:textId="77777777">
            <w:pPr>
              <w:rPr>
                <w:rFonts w:ascii="Palatino Linotype" w:hAnsi="Palatino Linotype" w:cs="Calibri"/>
                <w:b/>
                <w:bCs/>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3A681C" w:rsidRDefault="00B31578" w14:paraId="0154B0F6" w14:textId="77777777">
            <w:pPr>
              <w:rPr>
                <w:rFonts w:ascii="Palatino Linotype" w:hAnsi="Palatino Linotype" w:cs="Calibri"/>
                <w:b/>
                <w:bCs/>
                <w:color w:val="000000"/>
                <w:sz w:val="24"/>
                <w:szCs w:val="24"/>
              </w:rPr>
            </w:pPr>
          </w:p>
        </w:tc>
        <w:tc>
          <w:tcPr>
            <w:tcW w:w="319" w:type="dxa"/>
            <w:gridSpan w:val="2"/>
            <w:tcBorders>
              <w:top w:val="nil"/>
              <w:left w:val="nil"/>
              <w:bottom w:val="single" w:color="auto" w:sz="4" w:space="0"/>
              <w:right w:val="nil"/>
            </w:tcBorders>
          </w:tcPr>
          <w:p w:rsidRPr="003A681C" w:rsidR="00B31578" w:rsidP="003A681C" w:rsidRDefault="00B31578" w14:paraId="6BEFADA7" w14:textId="77777777">
            <w:pPr>
              <w:rPr>
                <w:rFonts w:ascii="Palatino Linotype" w:hAnsi="Palatino Linotype" w:cs="Calibri"/>
                <w:b/>
                <w:bCs/>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291578C1" w14:textId="3CF707B6">
            <w:pPr>
              <w:rPr>
                <w:rFonts w:ascii="Palatino Linotype" w:hAnsi="Palatino Linotype" w:cs="Calibri"/>
                <w:b/>
                <w:bCs/>
                <w:color w:val="000000"/>
                <w:sz w:val="24"/>
                <w:szCs w:val="24"/>
              </w:rPr>
            </w:pPr>
          </w:p>
        </w:tc>
      </w:tr>
      <w:tr w:rsidRPr="003A681C" w:rsidR="00B31578" w:rsidTr="00F07CFF" w14:paraId="3D7E7914" w14:textId="77777777">
        <w:trPr>
          <w:gridBefore w:val="1"/>
          <w:wBefore w:w="6" w:type="dxa"/>
          <w:trHeight w:val="630"/>
        </w:trPr>
        <w:tc>
          <w:tcPr>
            <w:tcW w:w="3370" w:type="dxa"/>
            <w:tcBorders>
              <w:top w:val="nil"/>
              <w:left w:val="single" w:color="auto" w:sz="4" w:space="0"/>
              <w:bottom w:val="single" w:color="auto" w:sz="4" w:space="0"/>
              <w:right w:val="single" w:color="auto" w:sz="4" w:space="0"/>
            </w:tcBorders>
            <w:noWrap/>
            <w:vAlign w:val="center"/>
            <w:hideMark/>
          </w:tcPr>
          <w:p w:rsidRPr="003A681C" w:rsidR="00B31578" w:rsidP="00300C0A" w:rsidRDefault="00B31578" w14:paraId="4B498DC7" w14:textId="77777777">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Labor (Internal)</w:t>
            </w:r>
          </w:p>
        </w:tc>
        <w:tc>
          <w:tcPr>
            <w:tcW w:w="3776" w:type="dxa"/>
            <w:gridSpan w:val="2"/>
            <w:tcBorders>
              <w:top w:val="nil"/>
              <w:left w:val="nil"/>
              <w:bottom w:val="single" w:color="auto" w:sz="4" w:space="0"/>
              <w:right w:val="single" w:color="auto" w:sz="4" w:space="0"/>
            </w:tcBorders>
            <w:vAlign w:val="center"/>
            <w:hideMark/>
          </w:tcPr>
          <w:p w:rsidRPr="003A681C" w:rsidR="00B31578" w:rsidP="003A681C" w:rsidRDefault="00B31578" w14:paraId="5FD0E61B"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Program startup cost for supporting organizations</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6C187957"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01F3EF27"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noWrap/>
            <w:vAlign w:val="center"/>
            <w:hideMark/>
          </w:tcPr>
          <w:p w:rsidRPr="003A681C" w:rsidR="00B31578" w:rsidP="003A681C" w:rsidRDefault="00B31578" w14:paraId="062A580E"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nil"/>
              <w:left w:val="nil"/>
              <w:bottom w:val="single" w:color="auto" w:sz="4" w:space="0"/>
              <w:right w:val="single" w:color="auto" w:sz="4" w:space="0"/>
            </w:tcBorders>
          </w:tcPr>
          <w:p w:rsidRPr="003A681C" w:rsidR="00B31578" w:rsidP="003A681C" w:rsidRDefault="00B31578" w14:paraId="2180BD00" w14:textId="77777777">
            <w:pPr>
              <w:rPr>
                <w:rFonts w:ascii="Palatino Linotype" w:hAnsi="Palatino Linotype" w:cs="Calibri"/>
                <w:color w:val="000000"/>
                <w:sz w:val="24"/>
                <w:szCs w:val="24"/>
              </w:rPr>
            </w:pPr>
          </w:p>
        </w:tc>
        <w:tc>
          <w:tcPr>
            <w:tcW w:w="717" w:type="dxa"/>
            <w:gridSpan w:val="2"/>
            <w:tcBorders>
              <w:top w:val="nil"/>
              <w:left w:val="nil"/>
              <w:bottom w:val="single" w:color="auto" w:sz="4" w:space="0"/>
              <w:right w:val="single" w:color="auto" w:sz="4" w:space="0"/>
            </w:tcBorders>
          </w:tcPr>
          <w:p w:rsidRPr="003A681C" w:rsidR="00B31578" w:rsidP="003A681C" w:rsidRDefault="00B31578" w14:paraId="62DF5E0A" w14:textId="77777777">
            <w:pPr>
              <w:rPr>
                <w:rFonts w:ascii="Palatino Linotype" w:hAnsi="Palatino Linotype" w:cs="Calibri"/>
                <w:color w:val="000000"/>
                <w:sz w:val="24"/>
                <w:szCs w:val="24"/>
              </w:rPr>
            </w:pPr>
          </w:p>
        </w:tc>
        <w:tc>
          <w:tcPr>
            <w:tcW w:w="319" w:type="dxa"/>
            <w:gridSpan w:val="2"/>
            <w:tcBorders>
              <w:top w:val="nil"/>
              <w:left w:val="nil"/>
              <w:bottom w:val="single" w:color="auto" w:sz="4" w:space="0"/>
              <w:right w:val="nil"/>
            </w:tcBorders>
          </w:tcPr>
          <w:p w:rsidRPr="003A681C" w:rsidR="00B31578" w:rsidP="003A681C" w:rsidRDefault="00B31578" w14:paraId="491290C8" w14:textId="77777777">
            <w:pPr>
              <w:rPr>
                <w:rFonts w:ascii="Palatino Linotype" w:hAnsi="Palatino Linotype" w:cs="Calibri"/>
                <w:color w:val="000000"/>
                <w:sz w:val="24"/>
                <w:szCs w:val="24"/>
              </w:rPr>
            </w:pPr>
          </w:p>
        </w:tc>
        <w:tc>
          <w:tcPr>
            <w:tcW w:w="456" w:type="dxa"/>
            <w:tcBorders>
              <w:top w:val="nil"/>
              <w:left w:val="nil"/>
              <w:bottom w:val="single" w:color="auto" w:sz="4" w:space="0"/>
              <w:right w:val="single" w:color="auto" w:sz="4" w:space="0"/>
            </w:tcBorders>
          </w:tcPr>
          <w:p w:rsidRPr="003A681C" w:rsidR="00B31578" w:rsidP="003A681C" w:rsidRDefault="00B31578" w14:paraId="2E27874E" w14:textId="0A1B016E">
            <w:pPr>
              <w:rPr>
                <w:rFonts w:ascii="Palatino Linotype" w:hAnsi="Palatino Linotype" w:cs="Calibri"/>
                <w:color w:val="000000"/>
                <w:sz w:val="24"/>
                <w:szCs w:val="24"/>
              </w:rPr>
            </w:pPr>
          </w:p>
        </w:tc>
      </w:tr>
      <w:tr w:rsidRPr="003A681C" w:rsidR="00B31578" w:rsidTr="00F07CFF" w14:paraId="3E8AA2FB" w14:textId="77777777">
        <w:trPr>
          <w:gridBefore w:val="1"/>
          <w:wBefore w:w="6" w:type="dxa"/>
          <w:trHeight w:val="315"/>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300C0A" w:rsidRDefault="00B31578" w14:paraId="37F7C184" w14:textId="6930B7E5">
            <w:pPr>
              <w:ind w:firstLine="600"/>
              <w:rPr>
                <w:rFonts w:ascii="Palatino Linotype" w:hAnsi="Palatino Linotype" w:cs="Calibri"/>
                <w:color w:val="000000"/>
                <w:sz w:val="24"/>
                <w:szCs w:val="24"/>
              </w:rPr>
            </w:pPr>
            <w:r w:rsidRPr="003A681C">
              <w:rPr>
                <w:rFonts w:ascii="Palatino Linotype" w:hAnsi="Palatino Linotype" w:cs="Calibri"/>
                <w:color w:val="000000"/>
                <w:sz w:val="24"/>
                <w:szCs w:val="24"/>
              </w:rPr>
              <w:t>Other Labor (Internal)</w:t>
            </w:r>
            <w:r>
              <w:rPr>
                <w:rStyle w:val="FootnoteReference"/>
                <w:rFonts w:ascii="Palatino Linotype" w:hAnsi="Palatino Linotype" w:cs="Calibri"/>
                <w:color w:val="000000"/>
                <w:sz w:val="24"/>
                <w:szCs w:val="24"/>
              </w:rPr>
              <w:footnoteReference w:id="180"/>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36C7C935"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297ED17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135B81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4E319C1"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175FAFB9"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4CE50A6E"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056AD18A"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09CDFDB4" w14:textId="00DBA58D">
            <w:pPr>
              <w:rPr>
                <w:rFonts w:ascii="Palatino Linotype" w:hAnsi="Palatino Linotype" w:cs="Calibri"/>
                <w:color w:val="000000"/>
                <w:sz w:val="24"/>
                <w:szCs w:val="24"/>
              </w:rPr>
            </w:pPr>
          </w:p>
        </w:tc>
      </w:tr>
      <w:tr w:rsidRPr="003A681C" w:rsidR="00B31578" w:rsidTr="00F07CFF" w14:paraId="329F3863" w14:textId="77777777">
        <w:trPr>
          <w:gridBefore w:val="1"/>
          <w:wBefore w:w="6" w:type="dxa"/>
          <w:trHeight w:val="315"/>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300C0A" w:rsidRDefault="00B31578" w14:paraId="44A34D7C" w14:textId="77777777">
            <w:pPr>
              <w:ind w:left="600"/>
              <w:rPr>
                <w:rFonts w:ascii="Palatino Linotype" w:hAnsi="Palatino Linotype" w:cs="Calibri"/>
                <w:color w:val="000000"/>
                <w:sz w:val="24"/>
                <w:szCs w:val="24"/>
              </w:rPr>
            </w:pPr>
            <w:r w:rsidRPr="006E0B57">
              <w:rPr>
                <w:rFonts w:ascii="Palatino Linotype" w:hAnsi="Palatino Linotype" w:cs="Calibri"/>
                <w:color w:val="000000"/>
                <w:sz w:val="24"/>
                <w:szCs w:val="24"/>
              </w:rPr>
              <w:t>Design/Construction Management</w:t>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1415A0" w:rsidRDefault="00B31578" w14:paraId="47E06B2F" w14:textId="77777777">
            <w:pPr>
              <w:rPr>
                <w:rFonts w:ascii="Palatino Linotype" w:hAnsi="Palatino Linotype" w:cs="Calibri"/>
                <w:color w:val="000000"/>
                <w:sz w:val="24"/>
                <w:szCs w:val="24"/>
              </w:rPr>
            </w:pPr>
            <w:r w:rsidRPr="006E0B57">
              <w:rPr>
                <w:rFonts w:ascii="Palatino Linotype" w:hAnsi="Palatino Linotype" w:cs="Calibri"/>
                <w:color w:val="000000"/>
                <w:sz w:val="24"/>
                <w:szCs w:val="24"/>
              </w:rPr>
              <w:t>Training Cost for engineering, design</w:t>
            </w:r>
            <w:r w:rsidRPr="006E0B57" w:rsidR="001760E7">
              <w:rPr>
                <w:rFonts w:ascii="Palatino Linotype" w:hAnsi="Palatino Linotype" w:cs="Calibri"/>
                <w:color w:val="000000"/>
                <w:sz w:val="24"/>
                <w:szCs w:val="24"/>
              </w:rPr>
              <w:t>,</w:t>
            </w:r>
            <w:r w:rsidRPr="006E0B57">
              <w:rPr>
                <w:rFonts w:ascii="Palatino Linotype" w:hAnsi="Palatino Linotype" w:cs="Calibri"/>
                <w:color w:val="000000"/>
                <w:sz w:val="24"/>
                <w:szCs w:val="24"/>
              </w:rPr>
              <w:t xml:space="preserve"> and construction inspection cost</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1415A0" w:rsidRDefault="00B31578" w14:paraId="077CBB73"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1415A0" w:rsidRDefault="00B31578" w14:paraId="572FE84B" w14:textId="77777777">
            <w:pPr>
              <w:rPr>
                <w:rFonts w:ascii="Palatino Linotype" w:hAnsi="Palatino Linotype" w:cs="Calibri"/>
                <w:color w:val="000000"/>
                <w:sz w:val="24"/>
                <w:szCs w:val="24"/>
              </w:rPr>
            </w:pP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1415A0" w:rsidRDefault="00B31578" w14:paraId="63EF63F4" w14:textId="77777777">
            <w:pPr>
              <w:rPr>
                <w:rFonts w:ascii="Palatino Linotype" w:hAnsi="Palatino Linotype" w:cs="Calibri"/>
                <w:color w:val="000000"/>
                <w:sz w:val="24"/>
                <w:szCs w:val="24"/>
              </w:rPr>
            </w:pPr>
          </w:p>
        </w:tc>
        <w:tc>
          <w:tcPr>
            <w:tcW w:w="716" w:type="dxa"/>
            <w:gridSpan w:val="2"/>
            <w:tcBorders>
              <w:top w:val="single" w:color="auto" w:sz="4" w:space="0"/>
              <w:left w:val="nil"/>
              <w:bottom w:val="single" w:color="auto" w:sz="4" w:space="0"/>
              <w:right w:val="single" w:color="auto" w:sz="4" w:space="0"/>
            </w:tcBorders>
          </w:tcPr>
          <w:p w:rsidRPr="003A681C" w:rsidR="00B31578" w:rsidP="001415A0" w:rsidRDefault="00B31578" w14:paraId="71DA7841"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1415A0" w:rsidRDefault="00B31578" w14:paraId="6544560A"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1415A0" w:rsidRDefault="00B31578" w14:paraId="098784A5"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1415A0" w:rsidRDefault="00B31578" w14:paraId="09A5A45D" w14:textId="3D127E64">
            <w:pPr>
              <w:rPr>
                <w:rFonts w:ascii="Palatino Linotype" w:hAnsi="Palatino Linotype" w:cs="Calibri"/>
                <w:color w:val="000000"/>
                <w:sz w:val="24"/>
                <w:szCs w:val="24"/>
              </w:rPr>
            </w:pPr>
          </w:p>
        </w:tc>
      </w:tr>
      <w:tr w:rsidRPr="003A681C" w:rsidR="00B31578" w:rsidTr="00F07CFF" w14:paraId="3D944785" w14:textId="77777777">
        <w:trPr>
          <w:gridBefore w:val="1"/>
          <w:wBefore w:w="6" w:type="dxa"/>
          <w:trHeight w:val="1260"/>
        </w:trPr>
        <w:tc>
          <w:tcPr>
            <w:tcW w:w="3370" w:type="dxa"/>
            <w:tcBorders>
              <w:top w:val="single" w:color="auto" w:sz="4" w:space="0"/>
              <w:left w:val="single" w:color="auto" w:sz="4" w:space="0"/>
              <w:bottom w:val="single" w:color="auto" w:sz="4" w:space="0"/>
              <w:right w:val="single" w:color="auto" w:sz="4" w:space="0"/>
            </w:tcBorders>
            <w:noWrap/>
            <w:vAlign w:val="center"/>
            <w:hideMark/>
          </w:tcPr>
          <w:p w:rsidRPr="003A681C" w:rsidR="00B31578" w:rsidP="00300C0A" w:rsidRDefault="00B31578" w14:paraId="679B40B0" w14:textId="77777777">
            <w:pPr>
              <w:ind w:firstLine="600" w:firstLineChars="250"/>
              <w:rPr>
                <w:rFonts w:ascii="Palatino Linotype" w:hAnsi="Palatino Linotype" w:cs="Calibri"/>
                <w:color w:val="000000"/>
                <w:sz w:val="24"/>
                <w:szCs w:val="24"/>
              </w:rPr>
            </w:pPr>
            <w:r w:rsidRPr="003A681C">
              <w:rPr>
                <w:rFonts w:ascii="Palatino Linotype" w:hAnsi="Palatino Linotype" w:cs="Calibri"/>
                <w:color w:val="000000"/>
                <w:sz w:val="24"/>
                <w:szCs w:val="24"/>
              </w:rPr>
              <w:t>Non-Labor</w:t>
            </w:r>
          </w:p>
        </w:tc>
        <w:tc>
          <w:tcPr>
            <w:tcW w:w="3776" w:type="dxa"/>
            <w:gridSpan w:val="2"/>
            <w:tcBorders>
              <w:top w:val="single" w:color="auto" w:sz="4" w:space="0"/>
              <w:left w:val="nil"/>
              <w:bottom w:val="single" w:color="auto" w:sz="4" w:space="0"/>
              <w:right w:val="single" w:color="auto" w:sz="4" w:space="0"/>
            </w:tcBorders>
            <w:vAlign w:val="center"/>
            <w:hideMark/>
          </w:tcPr>
          <w:p w:rsidRPr="003A681C" w:rsidR="00B31578" w:rsidP="003A681C" w:rsidRDefault="00B31578" w14:paraId="4A0D810B"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Cancelled Project Costs from MHPs that have failed to complete the MHP agreement or have cancelled the project</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031C6C6D"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7"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74783483"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noWrap/>
            <w:vAlign w:val="center"/>
            <w:hideMark/>
          </w:tcPr>
          <w:p w:rsidRPr="003A681C" w:rsidR="00B31578" w:rsidP="003A681C" w:rsidRDefault="00B31578" w14:paraId="42837828" w14:textId="77777777">
            <w:pPr>
              <w:rPr>
                <w:rFonts w:ascii="Palatino Linotype" w:hAnsi="Palatino Linotype" w:cs="Calibri"/>
                <w:color w:val="000000"/>
                <w:sz w:val="24"/>
                <w:szCs w:val="24"/>
              </w:rPr>
            </w:pPr>
            <w:r w:rsidRPr="003A681C">
              <w:rPr>
                <w:rFonts w:ascii="Palatino Linotype" w:hAnsi="Palatino Linotype" w:cs="Calibri"/>
                <w:color w:val="000000"/>
                <w:sz w:val="24"/>
                <w:szCs w:val="24"/>
              </w:rPr>
              <w:t> </w:t>
            </w:r>
          </w:p>
        </w:tc>
        <w:tc>
          <w:tcPr>
            <w:tcW w:w="716" w:type="dxa"/>
            <w:gridSpan w:val="2"/>
            <w:tcBorders>
              <w:top w:val="single" w:color="auto" w:sz="4" w:space="0"/>
              <w:left w:val="nil"/>
              <w:bottom w:val="single" w:color="auto" w:sz="4" w:space="0"/>
              <w:right w:val="single" w:color="auto" w:sz="4" w:space="0"/>
            </w:tcBorders>
          </w:tcPr>
          <w:p w:rsidRPr="003A681C" w:rsidR="00B31578" w:rsidP="003A681C" w:rsidRDefault="00B31578" w14:paraId="48A57CF5" w14:textId="77777777">
            <w:pPr>
              <w:rPr>
                <w:rFonts w:ascii="Palatino Linotype" w:hAnsi="Palatino Linotype" w:cs="Calibri"/>
                <w:color w:val="000000"/>
                <w:sz w:val="24"/>
                <w:szCs w:val="24"/>
              </w:rPr>
            </w:pPr>
          </w:p>
        </w:tc>
        <w:tc>
          <w:tcPr>
            <w:tcW w:w="717" w:type="dxa"/>
            <w:gridSpan w:val="2"/>
            <w:tcBorders>
              <w:top w:val="single" w:color="auto" w:sz="4" w:space="0"/>
              <w:left w:val="nil"/>
              <w:bottom w:val="single" w:color="auto" w:sz="4" w:space="0"/>
              <w:right w:val="single" w:color="auto" w:sz="4" w:space="0"/>
            </w:tcBorders>
          </w:tcPr>
          <w:p w:rsidRPr="003A681C" w:rsidR="00B31578" w:rsidP="003A681C" w:rsidRDefault="00B31578" w14:paraId="0FB7A876" w14:textId="77777777">
            <w:pPr>
              <w:rPr>
                <w:rFonts w:ascii="Palatino Linotype" w:hAnsi="Palatino Linotype" w:cs="Calibri"/>
                <w:color w:val="000000"/>
                <w:sz w:val="24"/>
                <w:szCs w:val="24"/>
              </w:rPr>
            </w:pPr>
          </w:p>
        </w:tc>
        <w:tc>
          <w:tcPr>
            <w:tcW w:w="319" w:type="dxa"/>
            <w:gridSpan w:val="2"/>
            <w:tcBorders>
              <w:top w:val="single" w:color="auto" w:sz="4" w:space="0"/>
              <w:left w:val="nil"/>
              <w:bottom w:val="single" w:color="auto" w:sz="4" w:space="0"/>
              <w:right w:val="nil"/>
            </w:tcBorders>
          </w:tcPr>
          <w:p w:rsidRPr="003A681C" w:rsidR="00B31578" w:rsidP="003A681C" w:rsidRDefault="00B31578" w14:paraId="7977F0EF" w14:textId="77777777">
            <w:pPr>
              <w:rPr>
                <w:rFonts w:ascii="Palatino Linotype" w:hAnsi="Palatino Linotype" w:cs="Calibri"/>
                <w:color w:val="000000"/>
                <w:sz w:val="24"/>
                <w:szCs w:val="24"/>
              </w:rPr>
            </w:pPr>
          </w:p>
        </w:tc>
        <w:tc>
          <w:tcPr>
            <w:tcW w:w="456" w:type="dxa"/>
            <w:tcBorders>
              <w:top w:val="single" w:color="auto" w:sz="4" w:space="0"/>
              <w:left w:val="nil"/>
              <w:bottom w:val="single" w:color="auto" w:sz="4" w:space="0"/>
              <w:right w:val="single" w:color="auto" w:sz="4" w:space="0"/>
            </w:tcBorders>
          </w:tcPr>
          <w:p w:rsidRPr="003A681C" w:rsidR="00B31578" w:rsidP="003A681C" w:rsidRDefault="00B31578" w14:paraId="13C66819" w14:textId="27AB80C6">
            <w:pPr>
              <w:rPr>
                <w:rFonts w:ascii="Palatino Linotype" w:hAnsi="Palatino Linotype" w:cs="Calibri"/>
                <w:color w:val="000000"/>
                <w:sz w:val="24"/>
                <w:szCs w:val="24"/>
              </w:rPr>
            </w:pPr>
          </w:p>
        </w:tc>
      </w:tr>
      <w:tr w:rsidRPr="003A681C" w:rsidR="00EB7B58" w:rsidTr="00F07CFF" w14:paraId="101681DA" w14:textId="77777777">
        <w:trPr>
          <w:gridBefore w:val="1"/>
          <w:wBefore w:w="6" w:type="dxa"/>
          <w:trHeight w:val="502"/>
        </w:trPr>
        <w:tc>
          <w:tcPr>
            <w:tcW w:w="3370" w:type="dxa"/>
            <w:tcBorders>
              <w:top w:val="single" w:color="auto" w:sz="4" w:space="0"/>
              <w:left w:val="single" w:color="auto" w:sz="4" w:space="0"/>
              <w:bottom w:val="single" w:color="auto" w:sz="4" w:space="0"/>
              <w:right w:val="single" w:color="auto" w:sz="4" w:space="0"/>
            </w:tcBorders>
            <w:noWrap/>
            <w:vAlign w:val="center"/>
          </w:tcPr>
          <w:p w:rsidRPr="003A681C" w:rsidR="00EB7B58" w:rsidP="00300C0A" w:rsidRDefault="00EB7B58" w14:paraId="45AE1386" w14:textId="361ED468">
            <w:pPr>
              <w:ind w:firstLine="600" w:firstLineChars="250"/>
              <w:rPr>
                <w:rFonts w:ascii="Palatino Linotype" w:hAnsi="Palatino Linotype" w:cs="Calibri"/>
                <w:color w:val="000000"/>
                <w:sz w:val="24"/>
                <w:szCs w:val="24"/>
              </w:rPr>
            </w:pPr>
            <w:r w:rsidRPr="006E0B57">
              <w:rPr>
                <w:rFonts w:ascii="Palatino Linotype" w:hAnsi="Palatino Linotype" w:cs="Calibri"/>
                <w:color w:val="000000"/>
                <w:sz w:val="24"/>
                <w:szCs w:val="24"/>
              </w:rPr>
              <w:t>Cancelled project cost</w:t>
            </w:r>
          </w:p>
        </w:tc>
        <w:tc>
          <w:tcPr>
            <w:tcW w:w="3776" w:type="dxa"/>
            <w:gridSpan w:val="2"/>
            <w:tcBorders>
              <w:top w:val="single" w:color="auto" w:sz="4" w:space="0"/>
              <w:left w:val="single" w:color="auto" w:sz="4" w:space="0"/>
              <w:bottom w:val="single" w:color="auto" w:sz="4" w:space="0"/>
              <w:right w:val="single" w:color="auto" w:sz="4" w:space="0"/>
            </w:tcBorders>
            <w:vAlign w:val="center"/>
          </w:tcPr>
          <w:p w:rsidRPr="003A681C" w:rsidR="00EB7B58" w:rsidP="003A681C" w:rsidRDefault="00EB7B58" w14:paraId="422FC569" w14:textId="77777777">
            <w:pPr>
              <w:rPr>
                <w:rFonts w:ascii="Palatino Linotype" w:hAnsi="Palatino Linotype" w:cs="Calibri"/>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noWrap/>
            <w:vAlign w:val="center"/>
          </w:tcPr>
          <w:p w:rsidRPr="003A681C" w:rsidR="00EB7B58" w:rsidP="003A681C" w:rsidRDefault="00EB7B58" w14:paraId="3DB51CCB" w14:textId="77777777">
            <w:pPr>
              <w:rPr>
                <w:rFonts w:ascii="Palatino Linotype" w:hAnsi="Palatino Linotype" w:cs="Calibri"/>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noWrap/>
            <w:vAlign w:val="center"/>
          </w:tcPr>
          <w:p w:rsidRPr="003A681C" w:rsidR="00EB7B58" w:rsidP="003A681C" w:rsidRDefault="00EB7B58" w14:paraId="681E74CE" w14:textId="77777777">
            <w:pPr>
              <w:rPr>
                <w:rFonts w:ascii="Palatino Linotype" w:hAnsi="Palatino Linotype" w:cs="Calibri"/>
                <w:color w:val="000000"/>
                <w:sz w:val="24"/>
                <w:szCs w:val="24"/>
              </w:rPr>
            </w:pPr>
          </w:p>
        </w:tc>
        <w:tc>
          <w:tcPr>
            <w:tcW w:w="716" w:type="dxa"/>
            <w:gridSpan w:val="2"/>
            <w:tcBorders>
              <w:top w:val="single" w:color="auto" w:sz="4" w:space="0"/>
              <w:left w:val="single" w:color="auto" w:sz="4" w:space="0"/>
              <w:bottom w:val="single" w:color="auto" w:sz="4" w:space="0"/>
              <w:right w:val="single" w:color="auto" w:sz="4" w:space="0"/>
            </w:tcBorders>
            <w:noWrap/>
            <w:vAlign w:val="center"/>
          </w:tcPr>
          <w:p w:rsidRPr="003A681C" w:rsidR="00EB7B58" w:rsidP="003A681C" w:rsidRDefault="00EB7B58" w14:paraId="7373F39A" w14:textId="77777777">
            <w:pPr>
              <w:rPr>
                <w:rFonts w:ascii="Palatino Linotype" w:hAnsi="Palatino Linotype" w:cs="Calibri"/>
                <w:color w:val="000000"/>
                <w:sz w:val="24"/>
                <w:szCs w:val="24"/>
              </w:rPr>
            </w:pPr>
          </w:p>
        </w:tc>
        <w:tc>
          <w:tcPr>
            <w:tcW w:w="716" w:type="dxa"/>
            <w:gridSpan w:val="2"/>
            <w:tcBorders>
              <w:top w:val="single" w:color="auto" w:sz="4" w:space="0"/>
              <w:left w:val="single" w:color="auto" w:sz="4" w:space="0"/>
              <w:bottom w:val="single" w:color="auto" w:sz="4" w:space="0"/>
              <w:right w:val="single" w:color="auto" w:sz="4" w:space="0"/>
            </w:tcBorders>
          </w:tcPr>
          <w:p w:rsidRPr="003A681C" w:rsidR="00EB7B58" w:rsidP="003A681C" w:rsidRDefault="00EB7B58" w14:paraId="425542F2" w14:textId="77777777">
            <w:pPr>
              <w:rPr>
                <w:rFonts w:ascii="Palatino Linotype" w:hAnsi="Palatino Linotype" w:cs="Calibri"/>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tcPr>
          <w:p w:rsidRPr="003A681C" w:rsidR="00EB7B58" w:rsidP="003A681C" w:rsidRDefault="00EB7B58" w14:paraId="5BF61C3F" w14:textId="77777777">
            <w:pPr>
              <w:rPr>
                <w:rFonts w:ascii="Palatino Linotype" w:hAnsi="Palatino Linotype" w:cs="Calibri"/>
                <w:color w:val="000000"/>
                <w:sz w:val="24"/>
                <w:szCs w:val="24"/>
              </w:rPr>
            </w:pPr>
          </w:p>
        </w:tc>
        <w:tc>
          <w:tcPr>
            <w:tcW w:w="775" w:type="dxa"/>
            <w:gridSpan w:val="3"/>
            <w:tcBorders>
              <w:top w:val="single" w:color="auto" w:sz="4" w:space="0"/>
              <w:left w:val="single" w:color="auto" w:sz="4" w:space="0"/>
              <w:bottom w:val="single" w:color="auto" w:sz="4" w:space="0"/>
              <w:right w:val="single" w:color="auto" w:sz="4" w:space="0"/>
            </w:tcBorders>
          </w:tcPr>
          <w:p w:rsidRPr="003A681C" w:rsidR="00EB7B58" w:rsidP="003A681C" w:rsidRDefault="00EB7B58" w14:paraId="0BA69107" w14:textId="62872814">
            <w:pPr>
              <w:rPr>
                <w:rFonts w:ascii="Palatino Linotype" w:hAnsi="Palatino Linotype" w:cs="Calibri"/>
                <w:color w:val="000000"/>
                <w:sz w:val="24"/>
                <w:szCs w:val="24"/>
              </w:rPr>
            </w:pPr>
          </w:p>
        </w:tc>
      </w:tr>
      <w:tr w:rsidRPr="003A681C" w:rsidR="00B31578" w:rsidTr="00F07CFF" w14:paraId="6DF71131" w14:textId="77777777">
        <w:trPr>
          <w:gridBefore w:val="1"/>
          <w:wBefore w:w="6" w:type="dxa"/>
          <w:trHeight w:val="476"/>
        </w:trPr>
        <w:tc>
          <w:tcPr>
            <w:tcW w:w="7146" w:type="dxa"/>
            <w:gridSpan w:val="3"/>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3A681C" w:rsidR="00B31578" w:rsidP="003A681C" w:rsidRDefault="00D345BE" w14:paraId="7C889B3F" w14:textId="723F5A04">
            <w:pPr>
              <w:rPr>
                <w:rFonts w:ascii="Palatino Linotype" w:hAnsi="Palatino Linotype" w:cs="Calibri"/>
                <w:b/>
                <w:bCs/>
                <w:color w:val="000000"/>
                <w:sz w:val="24"/>
                <w:szCs w:val="24"/>
              </w:rPr>
            </w:pPr>
            <w:r>
              <w:rPr>
                <w:rFonts w:ascii="Palatino Linotype" w:hAnsi="Palatino Linotype" w:cs="Calibri"/>
                <w:b/>
                <w:bCs/>
                <w:color w:val="000000"/>
                <w:sz w:val="24"/>
                <w:szCs w:val="24"/>
              </w:rPr>
              <w:t>Sub-</w:t>
            </w:r>
            <w:r w:rsidRPr="003A681C" w:rsidR="00B31578">
              <w:rPr>
                <w:rFonts w:ascii="Palatino Linotype" w:hAnsi="Palatino Linotype" w:cs="Calibri"/>
                <w:b/>
                <w:bCs/>
                <w:color w:val="000000"/>
                <w:sz w:val="24"/>
                <w:szCs w:val="24"/>
              </w:rPr>
              <w:t>Total To-The-Meter</w:t>
            </w:r>
          </w:p>
        </w:tc>
        <w:tc>
          <w:tcPr>
            <w:tcW w:w="717"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3A681C" w:rsidR="00B31578" w:rsidP="003A681C" w:rsidRDefault="00B31578" w14:paraId="1FB8A93D"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3A681C" w:rsidR="00B31578" w:rsidP="003A681C" w:rsidRDefault="00B31578" w14:paraId="0A414BA0"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3A681C" w:rsidR="00B31578" w:rsidP="003A681C" w:rsidRDefault="00B31578" w14:paraId="05FEF106" w14:textId="77777777">
            <w:pPr>
              <w:rPr>
                <w:rFonts w:ascii="Palatino Linotype" w:hAnsi="Palatino Linotype" w:cs="Calibri"/>
                <w:b/>
                <w:bCs/>
                <w:color w:val="000000"/>
                <w:sz w:val="24"/>
                <w:szCs w:val="24"/>
              </w:rPr>
            </w:pPr>
            <w:r w:rsidRPr="003A681C">
              <w:rPr>
                <w:rFonts w:ascii="Palatino Linotype" w:hAnsi="Palatino Linotype" w:cs="Calibri"/>
                <w:b/>
                <w:bCs/>
                <w:color w:val="000000"/>
                <w:sz w:val="24"/>
                <w:szCs w:val="24"/>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FCE4D6"/>
          </w:tcPr>
          <w:p w:rsidRPr="003A681C" w:rsidR="00B31578" w:rsidP="003A681C" w:rsidRDefault="00B31578" w14:paraId="207139FD" w14:textId="77777777">
            <w:pPr>
              <w:rPr>
                <w:rFonts w:ascii="Palatino Linotype" w:hAnsi="Palatino Linotype" w:cs="Calibri"/>
                <w:b/>
                <w:bCs/>
                <w:color w:val="000000"/>
                <w:sz w:val="24"/>
                <w:szCs w:val="24"/>
              </w:rPr>
            </w:pPr>
          </w:p>
        </w:tc>
        <w:tc>
          <w:tcPr>
            <w:tcW w:w="717" w:type="dxa"/>
            <w:gridSpan w:val="2"/>
            <w:tcBorders>
              <w:top w:val="single" w:color="auto" w:sz="4" w:space="0"/>
              <w:left w:val="single" w:color="auto" w:sz="4" w:space="0"/>
              <w:bottom w:val="single" w:color="auto" w:sz="4" w:space="0"/>
              <w:right w:val="single" w:color="auto" w:sz="4" w:space="0"/>
            </w:tcBorders>
            <w:shd w:val="clear" w:color="auto" w:fill="FCE4D6"/>
          </w:tcPr>
          <w:p w:rsidRPr="003A681C" w:rsidR="00B31578" w:rsidP="003A681C" w:rsidRDefault="00B31578" w14:paraId="32CA6B57" w14:textId="77777777">
            <w:pPr>
              <w:rPr>
                <w:rFonts w:ascii="Palatino Linotype" w:hAnsi="Palatino Linotype" w:cs="Calibri"/>
                <w:b/>
                <w:bCs/>
                <w:color w:val="000000"/>
                <w:sz w:val="24"/>
                <w:szCs w:val="24"/>
              </w:rPr>
            </w:pPr>
          </w:p>
        </w:tc>
        <w:tc>
          <w:tcPr>
            <w:tcW w:w="775" w:type="dxa"/>
            <w:gridSpan w:val="3"/>
            <w:tcBorders>
              <w:top w:val="single" w:color="auto" w:sz="4" w:space="0"/>
              <w:left w:val="single" w:color="auto" w:sz="4" w:space="0"/>
              <w:bottom w:val="single" w:color="auto" w:sz="4" w:space="0"/>
              <w:right w:val="single" w:color="auto" w:sz="4" w:space="0"/>
            </w:tcBorders>
            <w:shd w:val="clear" w:color="auto" w:fill="FCE4D6"/>
          </w:tcPr>
          <w:p w:rsidRPr="003A681C" w:rsidR="00B31578" w:rsidP="003A681C" w:rsidRDefault="00B31578" w14:paraId="1A84A693" w14:textId="470AA8F1">
            <w:pPr>
              <w:rPr>
                <w:rFonts w:ascii="Palatino Linotype" w:hAnsi="Palatino Linotype" w:cs="Calibri"/>
                <w:b/>
                <w:bCs/>
                <w:color w:val="000000"/>
                <w:sz w:val="24"/>
                <w:szCs w:val="24"/>
              </w:rPr>
            </w:pPr>
          </w:p>
        </w:tc>
      </w:tr>
      <w:tr w:rsidRPr="00B31578" w:rsidR="0095699D" w:rsidTr="249DB94A" w14:paraId="2CD189C9" w14:textId="1E4329A0">
        <w:trPr>
          <w:gridBefore w:val="1"/>
          <w:wBefore w:w="6" w:type="dxa"/>
          <w:trHeight w:val="1575"/>
        </w:trPr>
        <w:tc>
          <w:tcPr>
            <w:tcW w:w="3388" w:type="dxa"/>
            <w:gridSpan w:val="2"/>
            <w:tcBorders>
              <w:top w:val="single" w:color="auto" w:sz="4" w:space="0"/>
              <w:left w:val="single" w:color="auto" w:sz="4" w:space="0"/>
              <w:bottom w:val="single" w:color="auto" w:sz="4" w:space="0"/>
              <w:right w:val="single" w:color="auto" w:sz="4" w:space="0"/>
            </w:tcBorders>
            <w:shd w:val="clear" w:color="auto" w:fill="9BC2E6"/>
            <w:noWrap/>
            <w:vAlign w:val="center"/>
            <w:hideMark/>
          </w:tcPr>
          <w:p w:rsidRPr="00F07CFF" w:rsidR="00B31578" w:rsidP="00B31578" w:rsidRDefault="00B31578" w14:paraId="0886BDBF" w14:textId="4218D1BD">
            <w:pPr>
              <w:rPr>
                <w:rFonts w:ascii="Palatino Linotype" w:hAnsi="Palatino Linotype"/>
                <w:b/>
                <w:bCs/>
                <w:sz w:val="24"/>
                <w:szCs w:val="24"/>
              </w:rPr>
            </w:pPr>
            <w:r w:rsidRPr="00F07CFF">
              <w:rPr>
                <w:rFonts w:ascii="Palatino Linotype" w:hAnsi="Palatino Linotype"/>
                <w:b/>
                <w:bCs/>
                <w:sz w:val="24"/>
                <w:szCs w:val="24"/>
              </w:rPr>
              <w:t>Beyond</w:t>
            </w:r>
            <w:r w:rsidRPr="00F07CFF" w:rsidR="00D50B25">
              <w:rPr>
                <w:rFonts w:ascii="Palatino Linotype" w:hAnsi="Palatino Linotype"/>
                <w:b/>
                <w:bCs/>
                <w:sz w:val="24"/>
                <w:szCs w:val="24"/>
              </w:rPr>
              <w:t>-</w:t>
            </w:r>
            <w:r w:rsidRPr="00F07CFF">
              <w:rPr>
                <w:rFonts w:ascii="Palatino Linotype" w:hAnsi="Palatino Linotype"/>
                <w:b/>
                <w:bCs/>
                <w:sz w:val="24"/>
                <w:szCs w:val="24"/>
              </w:rPr>
              <w:t>The</w:t>
            </w:r>
            <w:r w:rsidRPr="00F07CFF" w:rsidR="00D50B25">
              <w:rPr>
                <w:rFonts w:ascii="Palatino Linotype" w:hAnsi="Palatino Linotype"/>
                <w:b/>
                <w:bCs/>
                <w:sz w:val="24"/>
                <w:szCs w:val="24"/>
              </w:rPr>
              <w:t>-</w:t>
            </w:r>
            <w:r w:rsidRPr="00F07CFF">
              <w:rPr>
                <w:rFonts w:ascii="Palatino Linotype" w:hAnsi="Palatino Linotype"/>
                <w:b/>
                <w:bCs/>
                <w:sz w:val="24"/>
                <w:szCs w:val="24"/>
              </w:rPr>
              <w:t>Meter - Capital</w:t>
            </w:r>
          </w:p>
        </w:tc>
        <w:tc>
          <w:tcPr>
            <w:tcW w:w="3758" w:type="dxa"/>
            <w:tcBorders>
              <w:top w:val="single" w:color="auto" w:sz="4" w:space="0"/>
              <w:left w:val="single" w:color="auto" w:sz="4" w:space="0"/>
              <w:bottom w:val="single" w:color="auto" w:sz="4" w:space="0"/>
              <w:right w:val="single" w:color="auto" w:sz="4" w:space="0"/>
            </w:tcBorders>
            <w:shd w:val="clear" w:color="auto" w:fill="9BC2E6"/>
            <w:vAlign w:val="center"/>
            <w:hideMark/>
          </w:tcPr>
          <w:p w:rsidRPr="00F07CFF" w:rsidR="00B31578" w:rsidP="00B31578" w:rsidRDefault="00B31578" w14:paraId="3429F951" w14:textId="42288EDF">
            <w:pPr>
              <w:rPr>
                <w:rFonts w:ascii="Palatino Linotype" w:hAnsi="Palatino Linotype"/>
                <w:sz w:val="24"/>
                <w:szCs w:val="24"/>
              </w:rPr>
            </w:pPr>
            <w:r w:rsidRPr="00F07CFF">
              <w:rPr>
                <w:rFonts w:ascii="Palatino Linotype" w:hAnsi="Palatino Linotype"/>
                <w:sz w:val="24"/>
                <w:szCs w:val="24"/>
              </w:rPr>
              <w:t>Pass through cost where the MHP Owner is responsible for overseeing the vendor's work and PG&amp;E to reimburse the MHP owners</w:t>
            </w:r>
          </w:p>
        </w:tc>
        <w:tc>
          <w:tcPr>
            <w:tcW w:w="717" w:type="dxa"/>
            <w:gridSpan w:val="2"/>
            <w:tcBorders>
              <w:top w:val="single" w:color="auto" w:sz="4" w:space="0"/>
              <w:left w:val="single" w:color="auto" w:sz="4" w:space="0"/>
              <w:bottom w:val="single" w:color="auto" w:sz="4" w:space="0"/>
              <w:right w:val="single" w:color="auto" w:sz="4" w:space="0"/>
            </w:tcBorders>
            <w:shd w:val="clear" w:color="auto" w:fill="9BC2E6"/>
            <w:noWrap/>
            <w:vAlign w:val="center"/>
            <w:hideMark/>
          </w:tcPr>
          <w:p w:rsidRPr="00B31578" w:rsidR="00B31578" w:rsidP="00B31578" w:rsidRDefault="00B31578" w14:paraId="494E635B"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9BC2E6"/>
            <w:noWrap/>
            <w:vAlign w:val="center"/>
            <w:hideMark/>
          </w:tcPr>
          <w:p w:rsidRPr="00B31578" w:rsidR="00B31578" w:rsidP="00B31578" w:rsidRDefault="00B31578" w14:paraId="58A933C9" w14:textId="77777777">
            <w:pPr>
              <w:rPr>
                <w:rFonts w:ascii="Palatino Linotype" w:hAnsi="Palatino Linotype"/>
                <w:b/>
                <w:bCs/>
              </w:rPr>
            </w:pPr>
            <w:r w:rsidRPr="00B31578">
              <w:rPr>
                <w:rFonts w:ascii="Palatino Linotype" w:hAnsi="Palatino Linotype"/>
                <w:b/>
                <w:bCs/>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9BC2E6"/>
            <w:vAlign w:val="center"/>
          </w:tcPr>
          <w:p w:rsidRPr="00B31578" w:rsidR="00B31578" w:rsidP="00B31578" w:rsidRDefault="00B31578" w14:paraId="5F46661C" w14:textId="0E2FBE6E">
            <w:pPr>
              <w:rPr>
                <w:rFonts w:ascii="Palatino Linotype" w:hAnsi="Palatino Linotype"/>
                <w:b/>
                <w:bCs/>
              </w:rPr>
            </w:pPr>
          </w:p>
        </w:tc>
        <w:tc>
          <w:tcPr>
            <w:tcW w:w="716" w:type="dxa"/>
            <w:gridSpan w:val="2"/>
            <w:tcBorders>
              <w:top w:val="single" w:color="auto" w:sz="4" w:space="0"/>
              <w:left w:val="single" w:color="auto" w:sz="4" w:space="0"/>
              <w:bottom w:val="single" w:color="auto" w:sz="4" w:space="0"/>
              <w:right w:val="single" w:color="auto" w:sz="4" w:space="0"/>
            </w:tcBorders>
            <w:shd w:val="clear" w:color="auto" w:fill="9BC2E6"/>
            <w:noWrap/>
            <w:vAlign w:val="center"/>
            <w:hideMark/>
          </w:tcPr>
          <w:p w:rsidRPr="00B31578" w:rsidR="00B31578" w:rsidP="00B31578" w:rsidRDefault="00B31578" w14:paraId="2AC82806"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9BC2E6"/>
            <w:noWrap/>
            <w:vAlign w:val="center"/>
            <w:hideMark/>
          </w:tcPr>
          <w:p w:rsidRPr="00B31578" w:rsidR="00B31578" w:rsidP="00B31578" w:rsidRDefault="00B31578" w14:paraId="5BB43E94" w14:textId="77777777">
            <w:pPr>
              <w:rPr>
                <w:rFonts w:ascii="Palatino Linotype" w:hAnsi="Palatino Linotype"/>
                <w:b/>
                <w:bCs/>
              </w:rPr>
            </w:pPr>
            <w:r w:rsidRPr="00B31578">
              <w:rPr>
                <w:rFonts w:ascii="Palatino Linotype" w:hAnsi="Palatino Linotype"/>
                <w:b/>
                <w:bCs/>
              </w:rPr>
              <w:t> </w:t>
            </w:r>
          </w:p>
        </w:tc>
        <w:tc>
          <w:tcPr>
            <w:tcW w:w="775" w:type="dxa"/>
            <w:gridSpan w:val="3"/>
            <w:tcBorders>
              <w:top w:val="single" w:color="auto" w:sz="4" w:space="0"/>
              <w:left w:val="single" w:color="auto" w:sz="4" w:space="0"/>
              <w:bottom w:val="single" w:color="auto" w:sz="4" w:space="0"/>
              <w:right w:val="single" w:color="auto" w:sz="4" w:space="0"/>
            </w:tcBorders>
            <w:shd w:val="clear" w:color="auto" w:fill="9BC2E6"/>
          </w:tcPr>
          <w:p w:rsidRPr="00B31578" w:rsidR="00B31578" w:rsidP="00B31578" w:rsidRDefault="00B31578" w14:paraId="11A0A2A3" w14:textId="77777777">
            <w:pPr>
              <w:rPr>
                <w:rFonts w:ascii="Palatino Linotype" w:hAnsi="Palatino Linotype"/>
                <w:b/>
                <w:bCs/>
              </w:rPr>
            </w:pPr>
          </w:p>
        </w:tc>
      </w:tr>
      <w:tr w:rsidRPr="00B31578" w:rsidR="00B31578" w:rsidTr="00F07CFF" w14:paraId="6EC22BFB" w14:textId="6F9173FF">
        <w:trPr>
          <w:gridBefore w:val="1"/>
          <w:wBefore w:w="6" w:type="dxa"/>
          <w:trHeight w:val="315"/>
        </w:trPr>
        <w:tc>
          <w:tcPr>
            <w:tcW w:w="33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7D9FAB93" w14:textId="77777777">
            <w:pPr>
              <w:rPr>
                <w:rFonts w:ascii="Palatino Linotype" w:hAnsi="Palatino Linotype"/>
                <w:b/>
                <w:bCs/>
              </w:rPr>
            </w:pPr>
            <w:r w:rsidRPr="00B31578">
              <w:rPr>
                <w:rFonts w:ascii="Palatino Linotype" w:hAnsi="Palatino Linotype"/>
                <w:b/>
                <w:bCs/>
              </w:rPr>
              <w:t>Civil/Trenching</w:t>
            </w:r>
          </w:p>
        </w:tc>
        <w:tc>
          <w:tcPr>
            <w:tcW w:w="3758" w:type="dxa"/>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71861226" w14:textId="77777777">
            <w:pPr>
              <w:rPr>
                <w:rFonts w:ascii="Palatino Linotype" w:hAnsi="Palatino Linotype"/>
              </w:rPr>
            </w:pPr>
            <w:r w:rsidRPr="00B31578">
              <w:rPr>
                <w:rFonts w:ascii="Palatino Linotype" w:hAnsi="Palatino Linotype"/>
              </w:rPr>
              <w:t>NA</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3F731D70"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2D140E5E" w14:textId="77777777">
            <w:pPr>
              <w:rPr>
                <w:rFonts w:ascii="Palatino Linotype" w:hAnsi="Palatino Linotype"/>
                <w:b/>
                <w:bCs/>
              </w:rPr>
            </w:pPr>
            <w:r w:rsidRPr="00B31578">
              <w:rPr>
                <w:rFonts w:ascii="Palatino Linotype" w:hAnsi="Palatino Linotype"/>
                <w:b/>
                <w:bCs/>
              </w:rPr>
              <w:t> </w:t>
            </w:r>
          </w:p>
        </w:tc>
        <w:tc>
          <w:tcPr>
            <w:tcW w:w="716" w:type="dxa"/>
            <w:gridSpan w:val="2"/>
            <w:tcBorders>
              <w:top w:val="single" w:color="auto" w:sz="4" w:space="0"/>
              <w:left w:val="nil"/>
              <w:bottom w:val="single" w:color="auto" w:sz="4" w:space="0"/>
              <w:right w:val="single" w:color="auto" w:sz="4" w:space="0"/>
            </w:tcBorders>
            <w:shd w:val="clear" w:color="auto" w:fill="auto"/>
            <w:vAlign w:val="center"/>
          </w:tcPr>
          <w:p w:rsidRPr="00B31578" w:rsidR="00B31578" w:rsidP="00B31578" w:rsidRDefault="00B31578" w14:paraId="3E3D1F3D" w14:textId="15E92A9A">
            <w:pPr>
              <w:rPr>
                <w:rFonts w:ascii="Palatino Linotype" w:hAnsi="Palatino Linotype"/>
                <w:b/>
                <w:bCs/>
              </w:rPr>
            </w:pPr>
          </w:p>
        </w:tc>
        <w:tc>
          <w:tcPr>
            <w:tcW w:w="716"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49E440ED"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549B8ECD" w14:textId="77777777">
            <w:pPr>
              <w:rPr>
                <w:rFonts w:ascii="Palatino Linotype" w:hAnsi="Palatino Linotype"/>
                <w:b/>
                <w:bCs/>
              </w:rPr>
            </w:pPr>
            <w:r w:rsidRPr="00B31578">
              <w:rPr>
                <w:rFonts w:ascii="Palatino Linotype" w:hAnsi="Palatino Linotype"/>
                <w:b/>
                <w:bCs/>
              </w:rPr>
              <w:t> </w:t>
            </w:r>
          </w:p>
        </w:tc>
        <w:tc>
          <w:tcPr>
            <w:tcW w:w="775" w:type="dxa"/>
            <w:gridSpan w:val="3"/>
            <w:tcBorders>
              <w:top w:val="single" w:color="auto" w:sz="4" w:space="0"/>
              <w:left w:val="nil"/>
              <w:bottom w:val="single" w:color="auto" w:sz="4" w:space="0"/>
              <w:right w:val="single" w:color="auto" w:sz="4" w:space="0"/>
            </w:tcBorders>
          </w:tcPr>
          <w:p w:rsidRPr="00B31578" w:rsidR="00B31578" w:rsidP="00B31578" w:rsidRDefault="00B31578" w14:paraId="3A1BFD64" w14:textId="77777777">
            <w:pPr>
              <w:rPr>
                <w:rFonts w:ascii="Palatino Linotype" w:hAnsi="Palatino Linotype"/>
                <w:b/>
                <w:bCs/>
              </w:rPr>
            </w:pPr>
          </w:p>
        </w:tc>
      </w:tr>
      <w:tr w:rsidRPr="00B31578" w:rsidR="00B31578" w:rsidTr="009A2015" w14:paraId="78B4881B" w14:textId="7DBAB178">
        <w:trPr>
          <w:gridBefore w:val="1"/>
          <w:wBefore w:w="6" w:type="dxa"/>
          <w:trHeight w:val="315"/>
        </w:trPr>
        <w:tc>
          <w:tcPr>
            <w:tcW w:w="3388" w:type="dxa"/>
            <w:gridSpan w:val="2"/>
            <w:tcBorders>
              <w:top w:val="nil"/>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2A1E3066" w14:textId="77777777">
            <w:pPr>
              <w:rPr>
                <w:rFonts w:ascii="Palatino Linotype" w:hAnsi="Palatino Linotype"/>
                <w:b/>
                <w:bCs/>
              </w:rPr>
            </w:pPr>
            <w:r w:rsidRPr="00B31578">
              <w:rPr>
                <w:rFonts w:ascii="Palatino Linotype" w:hAnsi="Palatino Linotype"/>
                <w:b/>
                <w:bCs/>
              </w:rPr>
              <w:t>Electric System</w:t>
            </w:r>
          </w:p>
        </w:tc>
        <w:tc>
          <w:tcPr>
            <w:tcW w:w="3758" w:type="dxa"/>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63338867" w14:textId="77777777">
            <w:pPr>
              <w:rPr>
                <w:rFonts w:ascii="Palatino Linotype" w:hAnsi="Palatino Linotype"/>
                <w:b/>
                <w:bCs/>
              </w:rPr>
            </w:pPr>
            <w:r w:rsidRPr="00B31578">
              <w:rPr>
                <w:rFonts w:ascii="Palatino Linotype" w:hAnsi="Palatino Linotype"/>
                <w:b/>
                <w:bCs/>
              </w:rPr>
              <w:t> </w:t>
            </w:r>
          </w:p>
        </w:tc>
        <w:tc>
          <w:tcPr>
            <w:tcW w:w="717"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4B04BEF8" w14:textId="77777777">
            <w:pPr>
              <w:rPr>
                <w:rFonts w:ascii="Palatino Linotype" w:hAnsi="Palatino Linotype"/>
                <w:b/>
                <w:bCs/>
              </w:rPr>
            </w:pPr>
            <w:r w:rsidRPr="00B31578">
              <w:rPr>
                <w:rFonts w:ascii="Palatino Linotype" w:hAnsi="Palatino Linotype"/>
                <w:b/>
                <w:bCs/>
              </w:rPr>
              <w:t> </w:t>
            </w:r>
          </w:p>
        </w:tc>
        <w:tc>
          <w:tcPr>
            <w:tcW w:w="717"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2FFEF21C" w14:textId="77777777">
            <w:pPr>
              <w:rPr>
                <w:rFonts w:ascii="Palatino Linotype" w:hAnsi="Palatino Linotype"/>
                <w:b/>
                <w:bCs/>
              </w:rPr>
            </w:pPr>
            <w:r w:rsidRPr="00B31578">
              <w:rPr>
                <w:rFonts w:ascii="Palatino Linotype" w:hAnsi="Palatino Linotype"/>
                <w:b/>
                <w:bCs/>
              </w:rPr>
              <w:t> </w:t>
            </w:r>
          </w:p>
        </w:tc>
        <w:tc>
          <w:tcPr>
            <w:tcW w:w="716" w:type="dxa"/>
            <w:gridSpan w:val="2"/>
            <w:tcBorders>
              <w:top w:val="nil"/>
              <w:left w:val="nil"/>
              <w:bottom w:val="single" w:color="auto" w:sz="4" w:space="0"/>
              <w:right w:val="single" w:color="auto" w:sz="4" w:space="0"/>
            </w:tcBorders>
            <w:shd w:val="clear" w:color="auto" w:fill="auto"/>
            <w:vAlign w:val="center"/>
          </w:tcPr>
          <w:p w:rsidRPr="00B31578" w:rsidR="00B31578" w:rsidP="00B31578" w:rsidRDefault="00B31578" w14:paraId="101F0AFC" w14:textId="6584BACB">
            <w:pPr>
              <w:rPr>
                <w:rFonts w:ascii="Palatino Linotype" w:hAnsi="Palatino Linotype"/>
                <w:b/>
                <w:bCs/>
              </w:rPr>
            </w:pPr>
          </w:p>
        </w:tc>
        <w:tc>
          <w:tcPr>
            <w:tcW w:w="716"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11F525B0" w14:textId="77777777">
            <w:pPr>
              <w:rPr>
                <w:rFonts w:ascii="Palatino Linotype" w:hAnsi="Palatino Linotype"/>
                <w:b/>
                <w:bCs/>
              </w:rPr>
            </w:pPr>
            <w:r w:rsidRPr="00B31578">
              <w:rPr>
                <w:rFonts w:ascii="Palatino Linotype" w:hAnsi="Palatino Linotype"/>
                <w:b/>
                <w:bCs/>
              </w:rPr>
              <w:t> </w:t>
            </w:r>
          </w:p>
        </w:tc>
        <w:tc>
          <w:tcPr>
            <w:tcW w:w="717"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04B39700" w14:textId="77777777">
            <w:pPr>
              <w:rPr>
                <w:rFonts w:ascii="Palatino Linotype" w:hAnsi="Palatino Linotype"/>
                <w:b/>
                <w:bCs/>
              </w:rPr>
            </w:pPr>
            <w:r w:rsidRPr="00B31578">
              <w:rPr>
                <w:rFonts w:ascii="Palatino Linotype" w:hAnsi="Palatino Linotype"/>
                <w:b/>
                <w:bCs/>
              </w:rPr>
              <w:t> </w:t>
            </w:r>
          </w:p>
        </w:tc>
        <w:tc>
          <w:tcPr>
            <w:tcW w:w="775" w:type="dxa"/>
            <w:gridSpan w:val="3"/>
            <w:tcBorders>
              <w:top w:val="nil"/>
              <w:left w:val="nil"/>
              <w:bottom w:val="single" w:color="auto" w:sz="4" w:space="0"/>
              <w:right w:val="single" w:color="auto" w:sz="4" w:space="0"/>
            </w:tcBorders>
          </w:tcPr>
          <w:p w:rsidRPr="00B31578" w:rsidR="00B31578" w:rsidP="00B31578" w:rsidRDefault="00B31578" w14:paraId="7E375036" w14:textId="77777777">
            <w:pPr>
              <w:rPr>
                <w:rFonts w:ascii="Palatino Linotype" w:hAnsi="Palatino Linotype"/>
                <w:b/>
                <w:bCs/>
              </w:rPr>
            </w:pPr>
          </w:p>
        </w:tc>
      </w:tr>
      <w:tr w:rsidRPr="00B31578" w:rsidR="00B31578" w:rsidTr="009A2015" w14:paraId="1BE95BEF" w14:textId="3157BF50">
        <w:trPr>
          <w:gridBefore w:val="1"/>
          <w:wBefore w:w="6" w:type="dxa"/>
          <w:trHeight w:val="315"/>
        </w:trPr>
        <w:tc>
          <w:tcPr>
            <w:tcW w:w="3388" w:type="dxa"/>
            <w:gridSpan w:val="2"/>
            <w:tcBorders>
              <w:top w:val="nil"/>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40D65AFC" w14:textId="77777777">
            <w:pPr>
              <w:rPr>
                <w:rFonts w:ascii="Palatino Linotype" w:hAnsi="Palatino Linotype"/>
              </w:rPr>
            </w:pPr>
            <w:r w:rsidRPr="00B31578">
              <w:rPr>
                <w:rFonts w:ascii="Palatino Linotype" w:hAnsi="Palatino Linotype"/>
              </w:rPr>
              <w:t>Labor</w:t>
            </w:r>
          </w:p>
        </w:tc>
        <w:tc>
          <w:tcPr>
            <w:tcW w:w="3758"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B31578" w:rsidR="00B31578" w:rsidP="00B31578" w:rsidRDefault="00B31578" w14:paraId="7A6D5407" w14:textId="2BF1D2BB">
            <w:pPr>
              <w:rPr>
                <w:rFonts w:ascii="Palatino Linotype" w:hAnsi="Palatino Linotype"/>
              </w:rPr>
            </w:pPr>
            <w:r w:rsidRPr="00B31578">
              <w:rPr>
                <w:rFonts w:ascii="Palatino Linotype" w:hAnsi="Palatino Linotype"/>
              </w:rPr>
              <w:t xml:space="preserve">Labor and material for installing </w:t>
            </w:r>
            <w:r w:rsidRPr="00703BEB" w:rsidR="00703BEB">
              <w:rPr>
                <w:rFonts w:ascii="Palatino Linotype" w:hAnsi="Palatino Linotype"/>
                <w:bCs/>
              </w:rPr>
              <w:t>beyond-the-meter</w:t>
            </w:r>
            <w:r w:rsidRPr="00B31578">
              <w:rPr>
                <w:rFonts w:ascii="Palatino Linotype" w:hAnsi="Palatino Linotype"/>
              </w:rPr>
              <w:t xml:space="preserve"> Electric </w:t>
            </w:r>
            <w:r w:rsidRPr="00B31578" w:rsidR="001E05A5">
              <w:rPr>
                <w:rFonts w:ascii="Palatino Linotype" w:hAnsi="Palatino Linotype"/>
              </w:rPr>
              <w:t>Pedestal</w:t>
            </w:r>
            <w:r w:rsidRPr="001E05A5" w:rsidR="001E05A5">
              <w:rPr>
                <w:rFonts w:ascii="Palatino Linotype" w:hAnsi="Palatino Linotype"/>
              </w:rPr>
              <w:t xml:space="preserve"> </w:t>
            </w:r>
            <w:r w:rsidRPr="00B31578">
              <w:rPr>
                <w:rFonts w:ascii="Palatino Linotype" w:hAnsi="Palatino Linotype"/>
              </w:rPr>
              <w:t>(e.g., foundation, meter protection, grounding rods)</w:t>
            </w:r>
          </w:p>
        </w:tc>
        <w:tc>
          <w:tcPr>
            <w:tcW w:w="717"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4F3D929E" w14:textId="77777777">
            <w:pPr>
              <w:rPr>
                <w:rFonts w:ascii="Palatino Linotype" w:hAnsi="Palatino Linotype"/>
              </w:rPr>
            </w:pPr>
            <w:r w:rsidRPr="00B31578">
              <w:rPr>
                <w:rFonts w:ascii="Palatino Linotype" w:hAnsi="Palatino Linotype"/>
              </w:rPr>
              <w:t> </w:t>
            </w:r>
          </w:p>
        </w:tc>
        <w:tc>
          <w:tcPr>
            <w:tcW w:w="717"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7E145CEE" w14:textId="77777777">
            <w:pPr>
              <w:rPr>
                <w:rFonts w:ascii="Palatino Linotype" w:hAnsi="Palatino Linotype"/>
              </w:rPr>
            </w:pPr>
            <w:r w:rsidRPr="00B31578">
              <w:rPr>
                <w:rFonts w:ascii="Palatino Linotype" w:hAnsi="Palatino Linotype"/>
              </w:rPr>
              <w:t> </w:t>
            </w:r>
          </w:p>
        </w:tc>
        <w:tc>
          <w:tcPr>
            <w:tcW w:w="716" w:type="dxa"/>
            <w:gridSpan w:val="2"/>
            <w:tcBorders>
              <w:top w:val="nil"/>
              <w:left w:val="nil"/>
              <w:bottom w:val="single" w:color="auto" w:sz="4" w:space="0"/>
              <w:right w:val="single" w:color="auto" w:sz="4" w:space="0"/>
            </w:tcBorders>
            <w:shd w:val="clear" w:color="auto" w:fill="auto"/>
            <w:vAlign w:val="center"/>
          </w:tcPr>
          <w:p w:rsidRPr="00B31578" w:rsidR="00B31578" w:rsidP="00B31578" w:rsidRDefault="00B31578" w14:paraId="082E9DD4" w14:textId="11A4E5E6">
            <w:pPr>
              <w:rPr>
                <w:rFonts w:ascii="Palatino Linotype" w:hAnsi="Palatino Linotype"/>
              </w:rPr>
            </w:pPr>
          </w:p>
        </w:tc>
        <w:tc>
          <w:tcPr>
            <w:tcW w:w="716"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7F698D1A" w14:textId="77777777">
            <w:pPr>
              <w:rPr>
                <w:rFonts w:ascii="Palatino Linotype" w:hAnsi="Palatino Linotype"/>
              </w:rPr>
            </w:pPr>
            <w:r w:rsidRPr="00B31578">
              <w:rPr>
                <w:rFonts w:ascii="Palatino Linotype" w:hAnsi="Palatino Linotype"/>
              </w:rPr>
              <w:t> </w:t>
            </w:r>
          </w:p>
        </w:tc>
        <w:tc>
          <w:tcPr>
            <w:tcW w:w="717" w:type="dxa"/>
            <w:gridSpan w:val="2"/>
            <w:tcBorders>
              <w:top w:val="nil"/>
              <w:left w:val="nil"/>
              <w:bottom w:val="single" w:color="auto" w:sz="4" w:space="0"/>
              <w:right w:val="single" w:color="auto" w:sz="4" w:space="0"/>
            </w:tcBorders>
            <w:shd w:val="clear" w:color="auto" w:fill="auto"/>
            <w:noWrap/>
            <w:vAlign w:val="center"/>
            <w:hideMark/>
          </w:tcPr>
          <w:p w:rsidRPr="00B31578" w:rsidR="00B31578" w:rsidP="00B31578" w:rsidRDefault="00B31578" w14:paraId="0F571C67" w14:textId="77777777">
            <w:pPr>
              <w:rPr>
                <w:rFonts w:ascii="Palatino Linotype" w:hAnsi="Palatino Linotype"/>
              </w:rPr>
            </w:pPr>
            <w:r w:rsidRPr="00B31578">
              <w:rPr>
                <w:rFonts w:ascii="Palatino Linotype" w:hAnsi="Palatino Linotype"/>
              </w:rPr>
              <w:t> </w:t>
            </w:r>
          </w:p>
        </w:tc>
        <w:tc>
          <w:tcPr>
            <w:tcW w:w="775" w:type="dxa"/>
            <w:gridSpan w:val="3"/>
            <w:tcBorders>
              <w:top w:val="nil"/>
              <w:left w:val="nil"/>
              <w:bottom w:val="single" w:color="auto" w:sz="4" w:space="0"/>
              <w:right w:val="single" w:color="auto" w:sz="4" w:space="0"/>
            </w:tcBorders>
          </w:tcPr>
          <w:p w:rsidRPr="00B31578" w:rsidR="00B31578" w:rsidP="00B31578" w:rsidRDefault="00B31578" w14:paraId="0E532513" w14:textId="77777777">
            <w:pPr>
              <w:rPr>
                <w:rFonts w:ascii="Palatino Linotype" w:hAnsi="Palatino Linotype"/>
              </w:rPr>
            </w:pPr>
          </w:p>
        </w:tc>
      </w:tr>
      <w:tr w:rsidRPr="00B31578" w:rsidR="00CB0FE4" w:rsidTr="009A2015" w14:paraId="4793D9D0" w14:textId="1B8FBCBF">
        <w:trPr>
          <w:gridBefore w:val="1"/>
          <w:wBefore w:w="6" w:type="dxa"/>
          <w:trHeight w:val="315"/>
        </w:trPr>
        <w:tc>
          <w:tcPr>
            <w:tcW w:w="338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CB0FE4" w:rsidP="00B31578" w:rsidRDefault="00CB0FE4" w14:paraId="6278A25C" w14:textId="77777777">
            <w:pPr>
              <w:rPr>
                <w:rFonts w:ascii="Palatino Linotype" w:hAnsi="Palatino Linotype"/>
              </w:rPr>
            </w:pPr>
            <w:r w:rsidRPr="00B31578">
              <w:rPr>
                <w:rFonts w:ascii="Palatino Linotype" w:hAnsi="Palatino Linotype"/>
              </w:rPr>
              <w:t>Material / Structures</w:t>
            </w:r>
          </w:p>
        </w:tc>
        <w:tc>
          <w:tcPr>
            <w:tcW w:w="3758" w:type="dxa"/>
            <w:vMerge/>
            <w:tcBorders>
              <w:top w:val="single" w:color="auto" w:sz="4" w:space="0"/>
              <w:bottom w:val="single" w:color="auto" w:sz="4" w:space="0"/>
              <w:right w:val="single" w:color="auto" w:sz="4" w:space="0"/>
            </w:tcBorders>
            <w:vAlign w:val="center"/>
            <w:hideMark/>
          </w:tcPr>
          <w:p w:rsidRPr="00B31578" w:rsidR="00CB0FE4" w:rsidP="00B31578" w:rsidRDefault="00CB0FE4" w14:paraId="48F988A6" w14:textId="77777777">
            <w:pPr>
              <w:rPr>
                <w:rFonts w:ascii="Palatino Linotype" w:hAnsi="Palatino Linotype"/>
              </w:rPr>
            </w:pPr>
          </w:p>
        </w:tc>
        <w:tc>
          <w:tcPr>
            <w:tcW w:w="7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CB0FE4" w:rsidP="00B31578" w:rsidRDefault="00CB0FE4" w14:paraId="27FC315B" w14:textId="77777777">
            <w:pPr>
              <w:rPr>
                <w:rFonts w:ascii="Palatino Linotype" w:hAnsi="Palatino Linotype"/>
              </w:rPr>
            </w:pPr>
            <w:r w:rsidRPr="00B31578">
              <w:rPr>
                <w:rFonts w:ascii="Palatino Linotype" w:hAnsi="Palatino Linotype"/>
              </w:rPr>
              <w:t> </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CB0FE4" w:rsidP="00B31578" w:rsidRDefault="00CB0FE4" w14:paraId="48E98D7C" w14:textId="77777777">
            <w:pPr>
              <w:rPr>
                <w:rFonts w:ascii="Palatino Linotype" w:hAnsi="Palatino Linotype"/>
              </w:rPr>
            </w:pPr>
            <w:r w:rsidRPr="00B31578">
              <w:rPr>
                <w:rFonts w:ascii="Palatino Linotype" w:hAnsi="Palatino Linotype"/>
              </w:rPr>
              <w:t> </w:t>
            </w:r>
          </w:p>
        </w:tc>
        <w:tc>
          <w:tcPr>
            <w:tcW w:w="716" w:type="dxa"/>
            <w:gridSpan w:val="2"/>
            <w:tcBorders>
              <w:top w:val="single" w:color="auto" w:sz="4" w:space="0"/>
              <w:left w:val="nil"/>
              <w:bottom w:val="single" w:color="auto" w:sz="4" w:space="0"/>
              <w:right w:val="single" w:color="auto" w:sz="4" w:space="0"/>
            </w:tcBorders>
            <w:shd w:val="clear" w:color="auto" w:fill="auto"/>
            <w:vAlign w:val="center"/>
          </w:tcPr>
          <w:p w:rsidRPr="00B31578" w:rsidR="00CB0FE4" w:rsidP="00B31578" w:rsidRDefault="00CB0FE4" w14:paraId="10FE3CDD" w14:textId="33A7D6D6">
            <w:pPr>
              <w:rPr>
                <w:rFonts w:ascii="Palatino Linotype" w:hAnsi="Palatino Linotype"/>
              </w:rPr>
            </w:pPr>
          </w:p>
        </w:tc>
        <w:tc>
          <w:tcPr>
            <w:tcW w:w="716"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CB0FE4" w:rsidP="00B31578" w:rsidRDefault="00CB0FE4" w14:paraId="0471A4BC" w14:textId="77777777">
            <w:pPr>
              <w:rPr>
                <w:rFonts w:ascii="Palatino Linotype" w:hAnsi="Palatino Linotype"/>
              </w:rPr>
            </w:pPr>
            <w:r w:rsidRPr="00B31578">
              <w:rPr>
                <w:rFonts w:ascii="Palatino Linotype" w:hAnsi="Palatino Linotype"/>
              </w:rPr>
              <w:t> </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CB0FE4" w:rsidP="00B31578" w:rsidRDefault="00CB0FE4" w14:paraId="16C9677D" w14:textId="77777777">
            <w:pPr>
              <w:rPr>
                <w:rFonts w:ascii="Palatino Linotype" w:hAnsi="Palatino Linotype"/>
              </w:rPr>
            </w:pPr>
            <w:r w:rsidRPr="00B31578">
              <w:rPr>
                <w:rFonts w:ascii="Palatino Linotype" w:hAnsi="Palatino Linotype"/>
              </w:rPr>
              <w:t> </w:t>
            </w:r>
          </w:p>
        </w:tc>
        <w:tc>
          <w:tcPr>
            <w:tcW w:w="775" w:type="dxa"/>
            <w:gridSpan w:val="3"/>
            <w:tcBorders>
              <w:top w:val="single" w:color="auto" w:sz="4" w:space="0"/>
              <w:left w:val="nil"/>
              <w:bottom w:val="single" w:color="auto" w:sz="4" w:space="0"/>
              <w:right w:val="single" w:color="auto" w:sz="4" w:space="0"/>
            </w:tcBorders>
          </w:tcPr>
          <w:p w:rsidRPr="00B31578" w:rsidR="00CB0FE4" w:rsidP="00B31578" w:rsidRDefault="00CB0FE4" w14:paraId="7448A4DB" w14:textId="77777777">
            <w:pPr>
              <w:rPr>
                <w:rFonts w:ascii="Palatino Linotype" w:hAnsi="Palatino Linotype"/>
              </w:rPr>
            </w:pPr>
          </w:p>
        </w:tc>
      </w:tr>
      <w:tr w:rsidRPr="00B31578" w:rsidR="00CB0FE4" w:rsidTr="009A2015" w14:paraId="278AFE0F" w14:textId="77777777">
        <w:trPr>
          <w:gridBefore w:val="1"/>
          <w:wBefore w:w="6" w:type="dxa"/>
          <w:trHeight w:val="630"/>
        </w:trPr>
        <w:tc>
          <w:tcPr>
            <w:tcW w:w="3388" w:type="dxa"/>
            <w:gridSpan w:val="2"/>
            <w:vMerge/>
            <w:tcBorders>
              <w:top w:val="single" w:color="auto" w:sz="4" w:space="0"/>
              <w:left w:val="single" w:color="auto" w:sz="4" w:space="0"/>
              <w:bottom w:val="single" w:color="auto" w:sz="4" w:space="0"/>
              <w:right w:val="single" w:color="auto" w:sz="4" w:space="0"/>
            </w:tcBorders>
            <w:noWrap/>
            <w:vAlign w:val="center"/>
          </w:tcPr>
          <w:p w:rsidRPr="00F07D64" w:rsidR="00CB0FE4" w:rsidP="00B31578" w:rsidRDefault="00CB0FE4" w14:paraId="78222C06" w14:textId="77777777">
            <w:pPr>
              <w:rPr>
                <w:rFonts w:ascii="Palatino Linotype" w:hAnsi="Palatino Linotype"/>
              </w:rPr>
            </w:pPr>
          </w:p>
        </w:tc>
        <w:tc>
          <w:tcPr>
            <w:tcW w:w="3758" w:type="dxa"/>
            <w:tcBorders>
              <w:top w:val="single" w:color="auto" w:sz="4" w:space="0"/>
              <w:left w:val="single" w:color="auto" w:sz="4" w:space="0"/>
              <w:bottom w:val="single" w:color="auto" w:sz="4" w:space="0"/>
              <w:right w:val="single" w:color="auto" w:sz="4" w:space="0"/>
            </w:tcBorders>
            <w:shd w:val="clear" w:color="auto" w:fill="auto"/>
            <w:vAlign w:val="bottom"/>
          </w:tcPr>
          <w:p w:rsidR="00CB0FE4" w:rsidP="00B31578" w:rsidRDefault="00CB0FE4" w14:paraId="51FFD711" w14:textId="16820E84">
            <w:pPr>
              <w:rPr>
                <w:rFonts w:ascii="Palatino Linotype" w:hAnsi="Palatino Linotype"/>
                <w:bCs/>
              </w:rPr>
            </w:pPr>
            <w:r>
              <w:rPr>
                <w:rFonts w:ascii="Palatino Linotype" w:hAnsi="Palatino Linotype"/>
                <w:bCs/>
              </w:rPr>
              <w:t>Number of Electric Pedestal</w:t>
            </w:r>
            <w:r w:rsidR="00CA26B5">
              <w:rPr>
                <w:rFonts w:ascii="Palatino Linotype" w:hAnsi="Palatino Linotype"/>
                <w:bCs/>
              </w:rPr>
              <w:t>s</w:t>
            </w:r>
            <w:r>
              <w:rPr>
                <w:rFonts w:ascii="Palatino Linotype" w:hAnsi="Palatino Linotype"/>
                <w:bCs/>
              </w:rPr>
              <w:t xml:space="preserve"> installed</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tcPr>
          <w:p w:rsidRPr="00B31578" w:rsidR="00CB0FE4" w:rsidP="00B31578" w:rsidRDefault="00CB0FE4" w14:paraId="5EEA8ECD" w14:textId="77777777">
            <w:pPr>
              <w:rPr>
                <w:rFonts w:ascii="Palatino Linotype" w:hAnsi="Palatino Linotype"/>
                <w:b/>
                <w:bCs/>
              </w:rPr>
            </w:pP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tcPr>
          <w:p w:rsidRPr="00B31578" w:rsidR="00CB0FE4" w:rsidP="00B31578" w:rsidRDefault="00CB0FE4" w14:paraId="67753054" w14:textId="77777777">
            <w:pPr>
              <w:rPr>
                <w:rFonts w:ascii="Palatino Linotype" w:hAnsi="Palatino Linotype"/>
                <w:b/>
                <w:bCs/>
              </w:rPr>
            </w:pPr>
          </w:p>
        </w:tc>
        <w:tc>
          <w:tcPr>
            <w:tcW w:w="716" w:type="dxa"/>
            <w:gridSpan w:val="2"/>
            <w:tcBorders>
              <w:top w:val="single" w:color="auto" w:sz="4" w:space="0"/>
              <w:left w:val="nil"/>
              <w:bottom w:val="single" w:color="auto" w:sz="4" w:space="0"/>
              <w:right w:val="single" w:color="auto" w:sz="4" w:space="0"/>
            </w:tcBorders>
            <w:shd w:val="clear" w:color="auto" w:fill="auto"/>
            <w:vAlign w:val="center"/>
          </w:tcPr>
          <w:p w:rsidRPr="00B31578" w:rsidR="00CB0FE4" w:rsidP="00B31578" w:rsidRDefault="00CB0FE4" w14:paraId="15CBE8E6" w14:textId="77777777">
            <w:pPr>
              <w:rPr>
                <w:rFonts w:ascii="Palatino Linotype" w:hAnsi="Palatino Linotype"/>
                <w:b/>
                <w:bCs/>
              </w:rPr>
            </w:pPr>
          </w:p>
        </w:tc>
        <w:tc>
          <w:tcPr>
            <w:tcW w:w="716" w:type="dxa"/>
            <w:gridSpan w:val="2"/>
            <w:tcBorders>
              <w:top w:val="single" w:color="auto" w:sz="4" w:space="0"/>
              <w:left w:val="nil"/>
              <w:bottom w:val="single" w:color="auto" w:sz="4" w:space="0"/>
              <w:right w:val="single" w:color="auto" w:sz="4" w:space="0"/>
            </w:tcBorders>
            <w:shd w:val="clear" w:color="auto" w:fill="auto"/>
            <w:noWrap/>
            <w:vAlign w:val="center"/>
          </w:tcPr>
          <w:p w:rsidRPr="00B31578" w:rsidR="00CB0FE4" w:rsidP="00B31578" w:rsidRDefault="00CB0FE4" w14:paraId="4AB285FD" w14:textId="77777777">
            <w:pPr>
              <w:rPr>
                <w:rFonts w:ascii="Palatino Linotype" w:hAnsi="Palatino Linotype"/>
                <w:b/>
                <w:bCs/>
              </w:rPr>
            </w:pP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tcPr>
          <w:p w:rsidRPr="00B31578" w:rsidR="00CB0FE4" w:rsidP="00B31578" w:rsidRDefault="00CB0FE4" w14:paraId="3DCB0ADC" w14:textId="77777777">
            <w:pPr>
              <w:rPr>
                <w:rFonts w:ascii="Palatino Linotype" w:hAnsi="Palatino Linotype"/>
                <w:b/>
                <w:bCs/>
              </w:rPr>
            </w:pPr>
          </w:p>
        </w:tc>
        <w:tc>
          <w:tcPr>
            <w:tcW w:w="775" w:type="dxa"/>
            <w:gridSpan w:val="3"/>
            <w:tcBorders>
              <w:top w:val="single" w:color="auto" w:sz="4" w:space="0"/>
              <w:left w:val="nil"/>
              <w:bottom w:val="single" w:color="auto" w:sz="4" w:space="0"/>
              <w:right w:val="single" w:color="auto" w:sz="4" w:space="0"/>
            </w:tcBorders>
          </w:tcPr>
          <w:p w:rsidRPr="00B31578" w:rsidR="00CB0FE4" w:rsidP="00B31578" w:rsidRDefault="00CB0FE4" w14:paraId="316C6C7E" w14:textId="77777777">
            <w:pPr>
              <w:rPr>
                <w:rFonts w:ascii="Palatino Linotype" w:hAnsi="Palatino Linotype"/>
                <w:b/>
                <w:bCs/>
              </w:rPr>
            </w:pPr>
          </w:p>
        </w:tc>
      </w:tr>
      <w:tr w:rsidRPr="00B31578" w:rsidR="00B31578" w:rsidTr="009A2015" w14:paraId="59485346" w14:textId="2BBACDE1">
        <w:trPr>
          <w:gridBefore w:val="1"/>
          <w:wBefore w:w="6" w:type="dxa"/>
          <w:trHeight w:val="630"/>
        </w:trPr>
        <w:tc>
          <w:tcPr>
            <w:tcW w:w="33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7D64" w:rsidR="00B31578" w:rsidP="00B31578" w:rsidRDefault="00B31578" w14:paraId="08BB4A82" w14:textId="77777777">
            <w:pPr>
              <w:rPr>
                <w:rFonts w:ascii="Palatino Linotype" w:hAnsi="Palatino Linotype"/>
              </w:rPr>
            </w:pPr>
            <w:r w:rsidRPr="00F07D64">
              <w:rPr>
                <w:rFonts w:ascii="Palatino Linotype" w:hAnsi="Palatino Linotype"/>
              </w:rPr>
              <w:t>Other</w:t>
            </w:r>
          </w:p>
        </w:tc>
        <w:tc>
          <w:tcPr>
            <w:tcW w:w="3758" w:type="dxa"/>
            <w:tcBorders>
              <w:top w:val="single" w:color="auto" w:sz="4" w:space="0"/>
              <w:left w:val="nil"/>
              <w:bottom w:val="single" w:color="auto" w:sz="4" w:space="0"/>
              <w:right w:val="single" w:color="auto" w:sz="4" w:space="0"/>
            </w:tcBorders>
            <w:shd w:val="clear" w:color="auto" w:fill="auto"/>
            <w:vAlign w:val="bottom"/>
            <w:hideMark/>
          </w:tcPr>
          <w:p w:rsidRPr="00B31578" w:rsidR="00B31578" w:rsidP="00B31578" w:rsidRDefault="00703BEB" w14:paraId="14260697" w14:textId="772E158A">
            <w:pPr>
              <w:rPr>
                <w:rFonts w:ascii="Palatino Linotype" w:hAnsi="Palatino Linotype"/>
              </w:rPr>
            </w:pPr>
            <w:r>
              <w:rPr>
                <w:rFonts w:ascii="Palatino Linotype" w:hAnsi="Palatino Linotype"/>
                <w:bCs/>
              </w:rPr>
              <w:t>B</w:t>
            </w:r>
            <w:r w:rsidRPr="00703BEB">
              <w:rPr>
                <w:rFonts w:ascii="Palatino Linotype" w:hAnsi="Palatino Linotype"/>
                <w:bCs/>
              </w:rPr>
              <w:t>eyond-</w:t>
            </w:r>
            <w:r>
              <w:rPr>
                <w:rFonts w:ascii="Palatino Linotype" w:hAnsi="Palatino Linotype"/>
                <w:bCs/>
              </w:rPr>
              <w:t>T</w:t>
            </w:r>
            <w:r w:rsidRPr="00703BEB">
              <w:rPr>
                <w:rFonts w:ascii="Palatino Linotype" w:hAnsi="Palatino Linotype"/>
                <w:bCs/>
              </w:rPr>
              <w:t>he-</w:t>
            </w:r>
            <w:r>
              <w:rPr>
                <w:rFonts w:ascii="Palatino Linotype" w:hAnsi="Palatino Linotype"/>
                <w:bCs/>
              </w:rPr>
              <w:t>M</w:t>
            </w:r>
            <w:r w:rsidRPr="00703BEB">
              <w:rPr>
                <w:rFonts w:ascii="Palatino Linotype" w:hAnsi="Palatino Linotype"/>
                <w:bCs/>
              </w:rPr>
              <w:t>eter</w:t>
            </w:r>
            <w:r w:rsidRPr="00B31578" w:rsidR="00B31578">
              <w:rPr>
                <w:rFonts w:ascii="Palatino Linotype" w:hAnsi="Palatino Linotype"/>
              </w:rPr>
              <w:t xml:space="preserve"> Permits, including HCD fees</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11D78C86"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466D67D1" w14:textId="77777777">
            <w:pPr>
              <w:rPr>
                <w:rFonts w:ascii="Palatino Linotype" w:hAnsi="Palatino Linotype"/>
                <w:b/>
                <w:bCs/>
              </w:rPr>
            </w:pPr>
            <w:r w:rsidRPr="00B31578">
              <w:rPr>
                <w:rFonts w:ascii="Palatino Linotype" w:hAnsi="Palatino Linotype"/>
                <w:b/>
                <w:bCs/>
              </w:rPr>
              <w:t> </w:t>
            </w:r>
          </w:p>
        </w:tc>
        <w:tc>
          <w:tcPr>
            <w:tcW w:w="716" w:type="dxa"/>
            <w:gridSpan w:val="2"/>
            <w:tcBorders>
              <w:top w:val="single" w:color="auto" w:sz="4" w:space="0"/>
              <w:left w:val="nil"/>
              <w:bottom w:val="single" w:color="auto" w:sz="4" w:space="0"/>
              <w:right w:val="single" w:color="auto" w:sz="4" w:space="0"/>
            </w:tcBorders>
            <w:shd w:val="clear" w:color="auto" w:fill="auto"/>
            <w:vAlign w:val="center"/>
          </w:tcPr>
          <w:p w:rsidRPr="00B31578" w:rsidR="00B31578" w:rsidP="00B31578" w:rsidRDefault="00B31578" w14:paraId="1536B6F7" w14:textId="274613AC">
            <w:pPr>
              <w:rPr>
                <w:rFonts w:ascii="Palatino Linotype" w:hAnsi="Palatino Linotype"/>
                <w:b/>
                <w:bCs/>
              </w:rPr>
            </w:pPr>
          </w:p>
        </w:tc>
        <w:tc>
          <w:tcPr>
            <w:tcW w:w="716"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6F15E3BD"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B31578" w:rsidR="00B31578" w:rsidP="00B31578" w:rsidRDefault="00B31578" w14:paraId="35CECAD6" w14:textId="77777777">
            <w:pPr>
              <w:rPr>
                <w:rFonts w:ascii="Palatino Linotype" w:hAnsi="Palatino Linotype"/>
                <w:b/>
                <w:bCs/>
              </w:rPr>
            </w:pPr>
            <w:r w:rsidRPr="00B31578">
              <w:rPr>
                <w:rFonts w:ascii="Palatino Linotype" w:hAnsi="Palatino Linotype"/>
                <w:b/>
                <w:bCs/>
              </w:rPr>
              <w:t> </w:t>
            </w:r>
          </w:p>
        </w:tc>
        <w:tc>
          <w:tcPr>
            <w:tcW w:w="775" w:type="dxa"/>
            <w:gridSpan w:val="3"/>
            <w:tcBorders>
              <w:top w:val="single" w:color="auto" w:sz="4" w:space="0"/>
              <w:left w:val="nil"/>
              <w:bottom w:val="single" w:color="auto" w:sz="4" w:space="0"/>
              <w:right w:val="single" w:color="auto" w:sz="4" w:space="0"/>
            </w:tcBorders>
          </w:tcPr>
          <w:p w:rsidRPr="00B31578" w:rsidR="00B31578" w:rsidP="00B31578" w:rsidRDefault="00B31578" w14:paraId="38790D6D" w14:textId="77777777">
            <w:pPr>
              <w:rPr>
                <w:rFonts w:ascii="Palatino Linotype" w:hAnsi="Palatino Linotype"/>
                <w:b/>
                <w:bCs/>
              </w:rPr>
            </w:pPr>
          </w:p>
        </w:tc>
      </w:tr>
      <w:tr w:rsidRPr="00B31578" w:rsidR="00B31578" w:rsidTr="00F07CFF" w14:paraId="5B3D45AC" w14:textId="261DF833">
        <w:trPr>
          <w:gridBefore w:val="1"/>
          <w:wBefore w:w="6" w:type="dxa"/>
          <w:trHeight w:val="315"/>
        </w:trPr>
        <w:tc>
          <w:tcPr>
            <w:tcW w:w="33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46AF94F9" w14:textId="04F971DC">
            <w:pPr>
              <w:rPr>
                <w:rFonts w:ascii="Palatino Linotype" w:hAnsi="Palatino Linotype"/>
              </w:rPr>
            </w:pPr>
            <w:r w:rsidRPr="00B31578">
              <w:rPr>
                <w:rFonts w:ascii="Palatino Linotype" w:hAnsi="Palatino Linotype"/>
              </w:rPr>
              <w:t>Other Labor (Internal)</w:t>
            </w:r>
            <w:r w:rsidR="00D345BE">
              <w:rPr>
                <w:rStyle w:val="FootnoteReference"/>
                <w:rFonts w:ascii="Palatino Linotype" w:hAnsi="Palatino Linotype"/>
              </w:rPr>
              <w:footnoteReference w:id="181"/>
            </w:r>
          </w:p>
        </w:tc>
        <w:tc>
          <w:tcPr>
            <w:tcW w:w="375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31578" w:rsidR="00B31578" w:rsidP="00B31578" w:rsidRDefault="00B31578" w14:paraId="58F2E78D" w14:textId="77777777">
            <w:pPr>
              <w:rPr>
                <w:rFonts w:ascii="Palatino Linotype" w:hAnsi="Palatino Linotype"/>
              </w:rPr>
            </w:pPr>
            <w:r w:rsidRPr="00B31578">
              <w:rPr>
                <w:rFonts w:ascii="Palatino Linotype" w:hAnsi="Palatino Linotype"/>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79A9F6EB"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5D01BCB5" w14:textId="77777777">
            <w:pPr>
              <w:rPr>
                <w:rFonts w:ascii="Palatino Linotype" w:hAnsi="Palatino Linotype"/>
                <w:b/>
                <w:bCs/>
              </w:rPr>
            </w:pPr>
            <w:r w:rsidRPr="00B31578">
              <w:rPr>
                <w:rFonts w:ascii="Palatino Linotype" w:hAnsi="Palatino Linotype"/>
                <w:b/>
                <w:bCs/>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31578" w:rsidR="00B31578" w:rsidP="00B31578" w:rsidRDefault="00B31578" w14:paraId="08728864" w14:textId="360E488B">
            <w:pPr>
              <w:rPr>
                <w:rFonts w:ascii="Palatino Linotype" w:hAnsi="Palatino Linotype"/>
                <w:b/>
                <w:bCs/>
              </w:rPr>
            </w:pPr>
          </w:p>
        </w:tc>
        <w:tc>
          <w:tcPr>
            <w:tcW w:w="7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2CE710E9"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B31578" w:rsidR="00B31578" w:rsidP="00B31578" w:rsidRDefault="00B31578" w14:paraId="37809768" w14:textId="77777777">
            <w:pPr>
              <w:rPr>
                <w:rFonts w:ascii="Palatino Linotype" w:hAnsi="Palatino Linotype"/>
                <w:b/>
                <w:bCs/>
              </w:rPr>
            </w:pPr>
            <w:r w:rsidRPr="00B31578">
              <w:rPr>
                <w:rFonts w:ascii="Palatino Linotype" w:hAnsi="Palatino Linotype"/>
                <w:b/>
                <w:bCs/>
              </w:rPr>
              <w:t> </w:t>
            </w:r>
          </w:p>
        </w:tc>
        <w:tc>
          <w:tcPr>
            <w:tcW w:w="775" w:type="dxa"/>
            <w:gridSpan w:val="3"/>
            <w:tcBorders>
              <w:top w:val="single" w:color="auto" w:sz="4" w:space="0"/>
              <w:left w:val="single" w:color="auto" w:sz="4" w:space="0"/>
              <w:bottom w:val="single" w:color="auto" w:sz="4" w:space="0"/>
              <w:right w:val="single" w:color="auto" w:sz="4" w:space="0"/>
            </w:tcBorders>
          </w:tcPr>
          <w:p w:rsidRPr="00B31578" w:rsidR="00B31578" w:rsidP="00B31578" w:rsidRDefault="00B31578" w14:paraId="66C7758C" w14:textId="77777777">
            <w:pPr>
              <w:rPr>
                <w:rFonts w:ascii="Palatino Linotype" w:hAnsi="Palatino Linotype"/>
                <w:b/>
                <w:bCs/>
              </w:rPr>
            </w:pPr>
          </w:p>
        </w:tc>
      </w:tr>
      <w:tr w:rsidRPr="00B31578" w:rsidR="0095699D" w:rsidTr="249DB94A" w14:paraId="2C73C887" w14:textId="7875629F">
        <w:trPr>
          <w:gridBefore w:val="1"/>
          <w:wBefore w:w="6" w:type="dxa"/>
          <w:trHeight w:val="330"/>
        </w:trPr>
        <w:tc>
          <w:tcPr>
            <w:tcW w:w="3388"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F07CFF" w:rsidR="00B31578" w:rsidP="00B31578" w:rsidRDefault="00B31578" w14:paraId="58A6CFF8" w14:textId="2BCA9F3A">
            <w:pPr>
              <w:rPr>
                <w:rFonts w:ascii="Palatino Linotype" w:hAnsi="Palatino Linotype"/>
                <w:b/>
                <w:bCs/>
                <w:sz w:val="24"/>
                <w:szCs w:val="24"/>
              </w:rPr>
            </w:pPr>
            <w:r w:rsidRPr="00F07CFF">
              <w:rPr>
                <w:rFonts w:ascii="Palatino Linotype" w:hAnsi="Palatino Linotype"/>
                <w:b/>
                <w:bCs/>
                <w:sz w:val="24"/>
                <w:szCs w:val="24"/>
              </w:rPr>
              <w:t>Sub-Total Beyond</w:t>
            </w:r>
            <w:r w:rsidRPr="00F07CFF" w:rsidR="00D50B25">
              <w:rPr>
                <w:rFonts w:ascii="Palatino Linotype" w:hAnsi="Palatino Linotype"/>
                <w:b/>
                <w:bCs/>
                <w:sz w:val="24"/>
                <w:szCs w:val="24"/>
              </w:rPr>
              <w:t>-</w:t>
            </w:r>
            <w:r w:rsidRPr="00F07CFF">
              <w:rPr>
                <w:rFonts w:ascii="Palatino Linotype" w:hAnsi="Palatino Linotype"/>
                <w:b/>
                <w:bCs/>
                <w:sz w:val="24"/>
                <w:szCs w:val="24"/>
              </w:rPr>
              <w:t>The</w:t>
            </w:r>
            <w:r w:rsidRPr="00F07CFF" w:rsidR="00D50B25">
              <w:rPr>
                <w:rFonts w:ascii="Palatino Linotype" w:hAnsi="Palatino Linotype"/>
                <w:b/>
                <w:bCs/>
                <w:sz w:val="24"/>
                <w:szCs w:val="24"/>
              </w:rPr>
              <w:t>-</w:t>
            </w:r>
            <w:r w:rsidRPr="00F07CFF">
              <w:rPr>
                <w:rFonts w:ascii="Palatino Linotype" w:hAnsi="Palatino Linotype"/>
                <w:b/>
                <w:bCs/>
                <w:sz w:val="24"/>
                <w:szCs w:val="24"/>
              </w:rPr>
              <w:t xml:space="preserve"> Meter</w:t>
            </w:r>
          </w:p>
        </w:tc>
        <w:tc>
          <w:tcPr>
            <w:tcW w:w="3758" w:type="dxa"/>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B31578" w:rsidR="00B31578" w:rsidP="00B31578" w:rsidRDefault="00B31578" w14:paraId="128539EF"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B31578" w:rsidR="00B31578" w:rsidP="00B31578" w:rsidRDefault="00B31578" w14:paraId="1C0C3B53"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B31578" w:rsidR="00B31578" w:rsidP="00B31578" w:rsidRDefault="00B31578" w14:paraId="44A4A42C" w14:textId="77777777">
            <w:pPr>
              <w:rPr>
                <w:rFonts w:ascii="Palatino Linotype" w:hAnsi="Palatino Linotype"/>
                <w:b/>
                <w:bCs/>
              </w:rPr>
            </w:pPr>
            <w:r w:rsidRPr="00B31578">
              <w:rPr>
                <w:rFonts w:ascii="Palatino Linotype" w:hAnsi="Palatino Linotype"/>
                <w:b/>
                <w:bCs/>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FCE4D6"/>
            <w:vAlign w:val="center"/>
          </w:tcPr>
          <w:p w:rsidRPr="00B31578" w:rsidR="00B31578" w:rsidP="00B31578" w:rsidRDefault="00B31578" w14:paraId="1C4CAD28" w14:textId="3CE8A8E8">
            <w:pPr>
              <w:rPr>
                <w:rFonts w:ascii="Palatino Linotype" w:hAnsi="Palatino Linotype"/>
                <w:b/>
                <w:bCs/>
              </w:rPr>
            </w:pPr>
          </w:p>
        </w:tc>
        <w:tc>
          <w:tcPr>
            <w:tcW w:w="716"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B31578" w:rsidR="00B31578" w:rsidP="00B31578" w:rsidRDefault="00B31578" w14:paraId="449B8E61"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CE4D6"/>
            <w:noWrap/>
            <w:vAlign w:val="center"/>
            <w:hideMark/>
          </w:tcPr>
          <w:p w:rsidRPr="00B31578" w:rsidR="00B31578" w:rsidP="00B31578" w:rsidRDefault="00B31578" w14:paraId="1EB1F795" w14:textId="77777777">
            <w:pPr>
              <w:rPr>
                <w:rFonts w:ascii="Palatino Linotype" w:hAnsi="Palatino Linotype"/>
                <w:b/>
                <w:bCs/>
              </w:rPr>
            </w:pPr>
            <w:r w:rsidRPr="00B31578">
              <w:rPr>
                <w:rFonts w:ascii="Palatino Linotype" w:hAnsi="Palatino Linotype"/>
                <w:b/>
                <w:bCs/>
              </w:rPr>
              <w:t> </w:t>
            </w:r>
          </w:p>
        </w:tc>
        <w:tc>
          <w:tcPr>
            <w:tcW w:w="775" w:type="dxa"/>
            <w:gridSpan w:val="3"/>
            <w:tcBorders>
              <w:top w:val="single" w:color="auto" w:sz="4" w:space="0"/>
              <w:left w:val="single" w:color="auto" w:sz="4" w:space="0"/>
              <w:bottom w:val="single" w:color="auto" w:sz="4" w:space="0"/>
              <w:right w:val="single" w:color="auto" w:sz="4" w:space="0"/>
            </w:tcBorders>
            <w:shd w:val="clear" w:color="auto" w:fill="FCE4D6"/>
          </w:tcPr>
          <w:p w:rsidRPr="00B31578" w:rsidR="00B31578" w:rsidP="00B31578" w:rsidRDefault="00B31578" w14:paraId="4A5567D2" w14:textId="77777777">
            <w:pPr>
              <w:rPr>
                <w:rFonts w:ascii="Palatino Linotype" w:hAnsi="Palatino Linotype"/>
                <w:b/>
                <w:bCs/>
              </w:rPr>
            </w:pPr>
          </w:p>
        </w:tc>
      </w:tr>
      <w:tr w:rsidRPr="00B31578" w:rsidR="0095699D" w:rsidTr="249DB94A" w14:paraId="061FA654" w14:textId="1E2B12B1">
        <w:trPr>
          <w:gridBefore w:val="1"/>
          <w:wBefore w:w="6" w:type="dxa"/>
          <w:trHeight w:val="494"/>
        </w:trPr>
        <w:tc>
          <w:tcPr>
            <w:tcW w:w="3388" w:type="dxa"/>
            <w:gridSpan w:val="2"/>
            <w:tcBorders>
              <w:top w:val="single" w:color="auto" w:sz="4" w:space="0"/>
              <w:left w:val="single" w:color="auto" w:sz="4" w:space="0"/>
              <w:bottom w:val="single" w:color="auto" w:sz="4" w:space="0"/>
              <w:right w:val="single" w:color="auto" w:sz="4" w:space="0"/>
            </w:tcBorders>
            <w:shd w:val="clear" w:color="auto" w:fill="F4B084"/>
            <w:noWrap/>
            <w:vAlign w:val="center"/>
            <w:hideMark/>
          </w:tcPr>
          <w:p w:rsidRPr="00B31578" w:rsidR="00B31578" w:rsidP="00B31578" w:rsidRDefault="00B31578" w14:paraId="70E09BC3" w14:textId="3860D8DB">
            <w:pPr>
              <w:rPr>
                <w:rFonts w:ascii="Palatino Linotype" w:hAnsi="Palatino Linotype"/>
                <w:b/>
                <w:bCs/>
              </w:rPr>
            </w:pPr>
            <w:r w:rsidRPr="00B31578">
              <w:rPr>
                <w:rFonts w:ascii="Palatino Linotype" w:hAnsi="Palatino Linotype"/>
                <w:b/>
                <w:bCs/>
              </w:rPr>
              <w:t xml:space="preserve">Total </w:t>
            </w:r>
            <w:r w:rsidR="00C84710">
              <w:rPr>
                <w:rFonts w:ascii="Palatino Linotype" w:hAnsi="Palatino Linotype"/>
                <w:b/>
                <w:bCs/>
              </w:rPr>
              <w:t>T</w:t>
            </w:r>
            <w:r w:rsidR="0095170C">
              <w:rPr>
                <w:rFonts w:ascii="Palatino Linotype" w:hAnsi="Palatino Linotype"/>
                <w:b/>
                <w:bCs/>
              </w:rPr>
              <w:t>o</w:t>
            </w:r>
            <w:r w:rsidR="00C84710">
              <w:rPr>
                <w:rFonts w:ascii="Palatino Linotype" w:hAnsi="Palatino Linotype"/>
                <w:b/>
                <w:bCs/>
              </w:rPr>
              <w:t>-T</w:t>
            </w:r>
            <w:r w:rsidR="0095170C">
              <w:rPr>
                <w:rFonts w:ascii="Palatino Linotype" w:hAnsi="Palatino Linotype"/>
                <w:b/>
                <w:bCs/>
              </w:rPr>
              <w:t>he</w:t>
            </w:r>
            <w:r w:rsidR="00C84710">
              <w:rPr>
                <w:rFonts w:ascii="Palatino Linotype" w:hAnsi="Palatino Linotype"/>
                <w:b/>
                <w:bCs/>
              </w:rPr>
              <w:t>-M</w:t>
            </w:r>
            <w:r w:rsidR="0095170C">
              <w:rPr>
                <w:rFonts w:ascii="Palatino Linotype" w:hAnsi="Palatino Linotype"/>
                <w:b/>
                <w:bCs/>
              </w:rPr>
              <w:t>eter</w:t>
            </w:r>
            <w:r w:rsidRPr="00B31578">
              <w:rPr>
                <w:rFonts w:ascii="Palatino Linotype" w:hAnsi="Palatino Linotype"/>
                <w:b/>
                <w:bCs/>
              </w:rPr>
              <w:t xml:space="preserve"> &amp; </w:t>
            </w:r>
            <w:r w:rsidR="00703BEB">
              <w:rPr>
                <w:rFonts w:ascii="Palatino Linotype" w:hAnsi="Palatino Linotype"/>
                <w:b/>
                <w:bCs/>
              </w:rPr>
              <w:t>B</w:t>
            </w:r>
            <w:r w:rsidRPr="00703BEB" w:rsidR="00703BEB">
              <w:rPr>
                <w:rFonts w:ascii="Palatino Linotype" w:hAnsi="Palatino Linotype"/>
                <w:b/>
                <w:bCs/>
              </w:rPr>
              <w:t>eyond-</w:t>
            </w:r>
            <w:r w:rsidR="00703BEB">
              <w:rPr>
                <w:rFonts w:ascii="Palatino Linotype" w:hAnsi="Palatino Linotype"/>
                <w:b/>
                <w:bCs/>
              </w:rPr>
              <w:t>T</w:t>
            </w:r>
            <w:r w:rsidRPr="00703BEB" w:rsidR="00703BEB">
              <w:rPr>
                <w:rFonts w:ascii="Palatino Linotype" w:hAnsi="Palatino Linotype"/>
                <w:b/>
                <w:bCs/>
              </w:rPr>
              <w:t>he-</w:t>
            </w:r>
            <w:r w:rsidR="00703BEB">
              <w:rPr>
                <w:rFonts w:ascii="Palatino Linotype" w:hAnsi="Palatino Linotype"/>
                <w:b/>
                <w:bCs/>
              </w:rPr>
              <w:t>M</w:t>
            </w:r>
            <w:r w:rsidRPr="00703BEB" w:rsidR="00703BEB">
              <w:rPr>
                <w:rFonts w:ascii="Palatino Linotype" w:hAnsi="Palatino Linotype"/>
                <w:b/>
                <w:bCs/>
              </w:rPr>
              <w:t>eter</w:t>
            </w:r>
          </w:p>
        </w:tc>
        <w:tc>
          <w:tcPr>
            <w:tcW w:w="3758" w:type="dxa"/>
            <w:tcBorders>
              <w:top w:val="single" w:color="auto" w:sz="4" w:space="0"/>
              <w:left w:val="single" w:color="auto" w:sz="4" w:space="0"/>
              <w:bottom w:val="single" w:color="auto" w:sz="4" w:space="0"/>
              <w:right w:val="single" w:color="auto" w:sz="4" w:space="0"/>
            </w:tcBorders>
            <w:shd w:val="clear" w:color="auto" w:fill="F4B084"/>
            <w:noWrap/>
            <w:vAlign w:val="center"/>
            <w:hideMark/>
          </w:tcPr>
          <w:p w:rsidRPr="00B31578" w:rsidR="00B31578" w:rsidP="00B31578" w:rsidRDefault="00B31578" w14:paraId="73C474EF"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4B084"/>
            <w:noWrap/>
            <w:vAlign w:val="center"/>
            <w:hideMark/>
          </w:tcPr>
          <w:p w:rsidRPr="00B31578" w:rsidR="00B31578" w:rsidP="00B31578" w:rsidRDefault="00B31578" w14:paraId="52C6E0A5"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4B084"/>
            <w:noWrap/>
            <w:vAlign w:val="center"/>
            <w:hideMark/>
          </w:tcPr>
          <w:p w:rsidRPr="00B31578" w:rsidR="00B31578" w:rsidP="00B31578" w:rsidRDefault="00B31578" w14:paraId="44C5BBF9" w14:textId="77777777">
            <w:pPr>
              <w:rPr>
                <w:rFonts w:ascii="Palatino Linotype" w:hAnsi="Palatino Linotype"/>
                <w:b/>
                <w:bCs/>
              </w:rPr>
            </w:pPr>
            <w:r w:rsidRPr="00B31578">
              <w:rPr>
                <w:rFonts w:ascii="Palatino Linotype" w:hAnsi="Palatino Linotype"/>
                <w:b/>
                <w:bCs/>
              </w:rPr>
              <w:t> </w:t>
            </w:r>
          </w:p>
        </w:tc>
        <w:tc>
          <w:tcPr>
            <w:tcW w:w="716" w:type="dxa"/>
            <w:gridSpan w:val="2"/>
            <w:tcBorders>
              <w:top w:val="single" w:color="auto" w:sz="4" w:space="0"/>
              <w:left w:val="single" w:color="auto" w:sz="4" w:space="0"/>
              <w:bottom w:val="single" w:color="auto" w:sz="4" w:space="0"/>
              <w:right w:val="single" w:color="auto" w:sz="4" w:space="0"/>
            </w:tcBorders>
            <w:shd w:val="clear" w:color="auto" w:fill="F4B084"/>
            <w:vAlign w:val="center"/>
          </w:tcPr>
          <w:p w:rsidRPr="00B31578" w:rsidR="00B31578" w:rsidP="00B31578" w:rsidRDefault="00B31578" w14:paraId="32A50278" w14:textId="38418630">
            <w:pPr>
              <w:rPr>
                <w:rFonts w:ascii="Palatino Linotype" w:hAnsi="Palatino Linotype"/>
                <w:b/>
                <w:bCs/>
              </w:rPr>
            </w:pPr>
          </w:p>
        </w:tc>
        <w:tc>
          <w:tcPr>
            <w:tcW w:w="716" w:type="dxa"/>
            <w:gridSpan w:val="2"/>
            <w:tcBorders>
              <w:top w:val="single" w:color="auto" w:sz="4" w:space="0"/>
              <w:left w:val="single" w:color="auto" w:sz="4" w:space="0"/>
              <w:bottom w:val="single" w:color="auto" w:sz="4" w:space="0"/>
              <w:right w:val="single" w:color="auto" w:sz="4" w:space="0"/>
            </w:tcBorders>
            <w:shd w:val="clear" w:color="auto" w:fill="F4B084"/>
            <w:noWrap/>
            <w:vAlign w:val="center"/>
            <w:hideMark/>
          </w:tcPr>
          <w:p w:rsidRPr="00B31578" w:rsidR="00B31578" w:rsidP="00B31578" w:rsidRDefault="00B31578" w14:paraId="7F5C77FA" w14:textId="77777777">
            <w:pPr>
              <w:rPr>
                <w:rFonts w:ascii="Palatino Linotype" w:hAnsi="Palatino Linotype"/>
                <w:b/>
                <w:bCs/>
              </w:rPr>
            </w:pPr>
            <w:r w:rsidRPr="00B31578">
              <w:rPr>
                <w:rFonts w:ascii="Palatino Linotype" w:hAnsi="Palatino Linotype"/>
                <w:b/>
                <w:bCs/>
              </w:rPr>
              <w:t> </w:t>
            </w:r>
          </w:p>
        </w:tc>
        <w:tc>
          <w:tcPr>
            <w:tcW w:w="717" w:type="dxa"/>
            <w:gridSpan w:val="2"/>
            <w:tcBorders>
              <w:top w:val="single" w:color="auto" w:sz="4" w:space="0"/>
              <w:left w:val="single" w:color="auto" w:sz="4" w:space="0"/>
              <w:bottom w:val="single" w:color="auto" w:sz="4" w:space="0"/>
              <w:right w:val="single" w:color="auto" w:sz="4" w:space="0"/>
            </w:tcBorders>
            <w:shd w:val="clear" w:color="auto" w:fill="F4B084"/>
            <w:noWrap/>
            <w:vAlign w:val="center"/>
            <w:hideMark/>
          </w:tcPr>
          <w:p w:rsidRPr="00B31578" w:rsidR="00B31578" w:rsidP="00B31578" w:rsidRDefault="00B31578" w14:paraId="1973AF7A" w14:textId="77777777">
            <w:pPr>
              <w:rPr>
                <w:rFonts w:ascii="Palatino Linotype" w:hAnsi="Palatino Linotype"/>
                <w:b/>
                <w:bCs/>
              </w:rPr>
            </w:pPr>
            <w:r w:rsidRPr="00B31578">
              <w:rPr>
                <w:rFonts w:ascii="Palatino Linotype" w:hAnsi="Palatino Linotype"/>
                <w:b/>
                <w:bCs/>
              </w:rPr>
              <w:t> </w:t>
            </w:r>
          </w:p>
        </w:tc>
        <w:tc>
          <w:tcPr>
            <w:tcW w:w="775" w:type="dxa"/>
            <w:gridSpan w:val="3"/>
            <w:tcBorders>
              <w:top w:val="single" w:color="auto" w:sz="4" w:space="0"/>
              <w:left w:val="single" w:color="auto" w:sz="4" w:space="0"/>
              <w:bottom w:val="single" w:color="auto" w:sz="4" w:space="0"/>
              <w:right w:val="single" w:color="auto" w:sz="4" w:space="0"/>
            </w:tcBorders>
            <w:shd w:val="clear" w:color="auto" w:fill="F4B084"/>
          </w:tcPr>
          <w:p w:rsidRPr="00B31578" w:rsidR="00B31578" w:rsidP="00B31578" w:rsidRDefault="00B31578" w14:paraId="7578CA4B" w14:textId="77777777">
            <w:pPr>
              <w:rPr>
                <w:rFonts w:ascii="Palatino Linotype" w:hAnsi="Palatino Linotype"/>
                <w:b/>
                <w:bCs/>
              </w:rPr>
            </w:pPr>
          </w:p>
        </w:tc>
      </w:tr>
    </w:tbl>
    <w:p w:rsidR="0034263D" w:rsidRDefault="0034263D" w14:paraId="1C47BA85" w14:textId="3266334F">
      <w:pPr>
        <w:rPr>
          <w:rFonts w:ascii="Palatino Linotype" w:hAnsi="Palatino Linotype"/>
        </w:rPr>
      </w:pPr>
    </w:p>
    <w:p w:rsidR="00944E1C" w:rsidRDefault="00944E1C" w14:paraId="14A827A2" w14:textId="77777777">
      <w:pPr>
        <w:rPr>
          <w:rFonts w:ascii="Palatino Linotype" w:hAnsi="Palatino Linotype"/>
        </w:rPr>
      </w:pPr>
    </w:p>
    <w:p w:rsidR="00944E1C" w:rsidRDefault="00944E1C" w14:paraId="6B1C91AF" w14:textId="77777777">
      <w:pPr>
        <w:rPr>
          <w:rFonts w:ascii="Palatino Linotype" w:hAnsi="Palatino Linotype"/>
        </w:rPr>
      </w:pPr>
    </w:p>
    <w:p w:rsidR="004E3979" w:rsidRDefault="004E3979" w14:paraId="0BC7FE1F" w14:textId="77777777">
      <w:pPr>
        <w:rPr>
          <w:rFonts w:ascii="Palatino Linotype" w:hAnsi="Palatino Linotype"/>
        </w:rPr>
        <w:sectPr w:rsidR="004E3979" w:rsidSect="00720ADE">
          <w:pgSz w:w="12240" w:h="15840" w:code="1"/>
          <w:pgMar w:top="720" w:right="1440" w:bottom="1080" w:left="360" w:header="720" w:footer="720" w:gutter="0"/>
          <w:cols w:space="720"/>
          <w:docGrid w:linePitch="354"/>
        </w:sectPr>
      </w:pPr>
    </w:p>
    <w:p w:rsidRPr="00C63C96" w:rsidR="00C63C96" w:rsidP="00C63C96" w:rsidRDefault="00C63C96" w14:paraId="50FA0459" w14:textId="67F96A37">
      <w:pPr>
        <w:rPr>
          <w:rFonts w:ascii="Palatino Linotype" w:hAnsi="Palatino Linotype"/>
          <w:b/>
          <w:bCs/>
        </w:rPr>
      </w:pPr>
      <w:r w:rsidRPr="00C63C96">
        <w:rPr>
          <w:rFonts w:ascii="Palatino Linotype" w:hAnsi="Palatino Linotype"/>
          <w:b/>
          <w:bCs/>
        </w:rPr>
        <w:t xml:space="preserve">Appendix </w:t>
      </w:r>
      <w:r>
        <w:rPr>
          <w:rFonts w:ascii="Palatino Linotype" w:hAnsi="Palatino Linotype"/>
          <w:b/>
          <w:bCs/>
        </w:rPr>
        <w:t>B</w:t>
      </w:r>
    </w:p>
    <w:p w:rsidRPr="00C63C96" w:rsidR="00C63C96" w:rsidP="00C63C96" w:rsidRDefault="00C63C96" w14:paraId="2285BDCC" w14:textId="77777777">
      <w:pPr>
        <w:rPr>
          <w:rFonts w:ascii="Palatino Linotype" w:hAnsi="Palatino Linotype"/>
          <w:b/>
          <w:bCs/>
        </w:rPr>
      </w:pPr>
    </w:p>
    <w:p w:rsidRPr="00C63C96" w:rsidR="00C63C96" w:rsidP="00C63C96" w:rsidRDefault="00C63C96" w14:paraId="7FCF116C" w14:textId="685FE513">
      <w:pPr>
        <w:rPr>
          <w:rFonts w:ascii="Palatino Linotype" w:hAnsi="Palatino Linotype"/>
        </w:rPr>
      </w:pPr>
      <w:r w:rsidRPr="00C63C96">
        <w:rPr>
          <w:rFonts w:ascii="Palatino Linotype" w:hAnsi="Palatino Linotype"/>
        </w:rPr>
        <w:t xml:space="preserve">Table </w:t>
      </w:r>
      <w:r>
        <w:rPr>
          <w:rFonts w:ascii="Palatino Linotype" w:hAnsi="Palatino Linotype"/>
        </w:rPr>
        <w:t>2</w:t>
      </w:r>
      <w:r w:rsidRPr="00C63C96">
        <w:rPr>
          <w:rFonts w:ascii="Palatino Linotype" w:hAnsi="Palatino Linotype"/>
        </w:rPr>
        <w:t xml:space="preserve">: </w:t>
      </w:r>
      <w:r w:rsidR="00E740B3">
        <w:rPr>
          <w:rFonts w:ascii="Palatino Linotype" w:hAnsi="Palatino Linotype"/>
        </w:rPr>
        <w:t>Design Status b</w:t>
      </w:r>
      <w:r w:rsidR="004C0FD8">
        <w:rPr>
          <w:rFonts w:ascii="Palatino Linotype" w:hAnsi="Palatino Linotype"/>
        </w:rPr>
        <w:t xml:space="preserve">y </w:t>
      </w:r>
      <w:r w:rsidR="0015454B">
        <w:rPr>
          <w:rFonts w:ascii="Palatino Linotype" w:hAnsi="Palatino Linotype"/>
        </w:rPr>
        <w:t xml:space="preserve">MHP </w:t>
      </w:r>
      <w:r w:rsidR="00FD557E">
        <w:rPr>
          <w:rFonts w:ascii="Palatino Linotype" w:hAnsi="Palatino Linotype"/>
        </w:rPr>
        <w:t xml:space="preserve">Provided by </w:t>
      </w:r>
      <w:r w:rsidR="000607A6">
        <w:rPr>
          <w:rFonts w:ascii="Palatino Linotype" w:hAnsi="Palatino Linotype"/>
        </w:rPr>
        <w:t>PG&amp;E on 5/</w:t>
      </w:r>
      <w:r w:rsidR="002B1BC7">
        <w:rPr>
          <w:rFonts w:ascii="Palatino Linotype" w:hAnsi="Palatino Linotype"/>
        </w:rPr>
        <w:t>11/2021.</w:t>
      </w:r>
    </w:p>
    <w:p w:rsidR="00944E1C" w:rsidRDefault="00944E1C" w14:paraId="28F6C214" w14:textId="0C9D5B66">
      <w:pPr>
        <w:rPr>
          <w:rFonts w:ascii="Palatino Linotype" w:hAnsi="Palatino Linotype"/>
        </w:rPr>
      </w:pPr>
    </w:p>
    <w:tbl>
      <w:tblPr>
        <w:tblW w:w="10890" w:type="dxa"/>
        <w:tblInd w:w="3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60"/>
        <w:gridCol w:w="2520"/>
        <w:gridCol w:w="1260"/>
        <w:gridCol w:w="4950"/>
      </w:tblGrid>
      <w:tr w:rsidRPr="00576C7C" w:rsidR="00E54E32" w:rsidTr="00D2684E" w14:paraId="45215C85" w14:textId="77777777">
        <w:trPr>
          <w:trHeight w:val="493"/>
        </w:trPr>
        <w:tc>
          <w:tcPr>
            <w:tcW w:w="5940" w:type="dxa"/>
            <w:gridSpan w:val="3"/>
            <w:shd w:val="clear" w:color="auto" w:fill="D9D9D9"/>
            <w:vAlign w:val="center"/>
          </w:tcPr>
          <w:p w:rsidRPr="00D2684E" w:rsidR="00E54E32" w:rsidP="002238AE" w:rsidRDefault="00E54E32" w14:paraId="2DC2BE85" w14:textId="1FD79B90">
            <w:pPr>
              <w:pStyle w:val="TableParagraph"/>
              <w:spacing w:before="32"/>
              <w:ind w:left="1419" w:right="1401"/>
              <w:jc w:val="center"/>
              <w:rPr>
                <w:rFonts w:ascii="Palatino Linotype" w:hAnsi="Palatino Linotype"/>
                <w:b/>
              </w:rPr>
            </w:pPr>
            <w:r w:rsidRPr="00D2684E">
              <w:rPr>
                <w:rFonts w:ascii="Palatino Linotype" w:hAnsi="Palatino Linotype"/>
                <w:b/>
              </w:rPr>
              <w:t>Park</w:t>
            </w:r>
            <w:r w:rsidRPr="00D2684E">
              <w:rPr>
                <w:rFonts w:ascii="Palatino Linotype" w:hAnsi="Palatino Linotype"/>
                <w:b/>
                <w:spacing w:val="-2"/>
              </w:rPr>
              <w:t xml:space="preserve"> </w:t>
            </w:r>
            <w:r w:rsidR="00F7178D">
              <w:rPr>
                <w:rFonts w:ascii="Palatino Linotype" w:hAnsi="Palatino Linotype"/>
                <w:b/>
                <w:spacing w:val="-2"/>
              </w:rPr>
              <w:t>N</w:t>
            </w:r>
            <w:r w:rsidRPr="00D2684E">
              <w:rPr>
                <w:rFonts w:ascii="Palatino Linotype" w:hAnsi="Palatino Linotype"/>
                <w:b/>
              </w:rPr>
              <w:t>ame</w:t>
            </w:r>
          </w:p>
        </w:tc>
        <w:tc>
          <w:tcPr>
            <w:tcW w:w="4950" w:type="dxa"/>
            <w:shd w:val="clear" w:color="auto" w:fill="D9D9D9"/>
            <w:vAlign w:val="center"/>
          </w:tcPr>
          <w:p w:rsidRPr="00D2684E" w:rsidR="00E54E32" w:rsidP="002238AE" w:rsidRDefault="00E54E32" w14:paraId="2313AEB0" w14:textId="77777777">
            <w:pPr>
              <w:pStyle w:val="TableParagraph"/>
              <w:spacing w:before="32"/>
              <w:ind w:left="1130"/>
              <w:rPr>
                <w:rFonts w:ascii="Palatino Linotype" w:hAnsi="Palatino Linotype"/>
                <w:b/>
              </w:rPr>
            </w:pPr>
            <w:r w:rsidRPr="00D2684E">
              <w:rPr>
                <w:rFonts w:ascii="Palatino Linotype" w:hAnsi="Palatino Linotype"/>
                <w:b/>
              </w:rPr>
              <w:t>IFC</w:t>
            </w:r>
            <w:r w:rsidRPr="00D2684E">
              <w:rPr>
                <w:rFonts w:ascii="Palatino Linotype" w:hAnsi="Palatino Linotype"/>
                <w:b/>
                <w:spacing w:val="-2"/>
              </w:rPr>
              <w:t xml:space="preserve"> </w:t>
            </w:r>
            <w:r w:rsidRPr="00D2684E">
              <w:rPr>
                <w:rFonts w:ascii="Palatino Linotype" w:hAnsi="Palatino Linotype"/>
                <w:b/>
              </w:rPr>
              <w:t>Design</w:t>
            </w:r>
            <w:r w:rsidRPr="00D2684E">
              <w:rPr>
                <w:rFonts w:ascii="Palatino Linotype" w:hAnsi="Palatino Linotype"/>
                <w:b/>
                <w:spacing w:val="-2"/>
              </w:rPr>
              <w:t xml:space="preserve"> </w:t>
            </w:r>
            <w:r w:rsidRPr="00D2684E">
              <w:rPr>
                <w:rFonts w:ascii="Palatino Linotype" w:hAnsi="Palatino Linotype"/>
                <w:b/>
              </w:rPr>
              <w:t>Status</w:t>
            </w:r>
          </w:p>
        </w:tc>
      </w:tr>
      <w:tr w:rsidRPr="00477079" w:rsidR="00477079" w:rsidTr="00A17B0C" w14:paraId="3F65D5BA" w14:textId="77777777">
        <w:trPr>
          <w:trHeight w:val="299"/>
        </w:trPr>
        <w:tc>
          <w:tcPr>
            <w:tcW w:w="5940" w:type="dxa"/>
            <w:gridSpan w:val="3"/>
            <w:shd w:val="clear" w:color="auto" w:fill="DDEBF7"/>
            <w:vAlign w:val="center"/>
          </w:tcPr>
          <w:p w:rsidRPr="00D2684E" w:rsidR="00E54E32" w:rsidP="00D2684E" w:rsidRDefault="00733AC1" w14:paraId="2BE73834" w14:textId="58C352BA">
            <w:pPr>
              <w:pStyle w:val="TableParagraph"/>
              <w:ind w:firstLine="518"/>
              <w:rPr>
                <w:rFonts w:ascii="Palatino Linotype" w:hAnsi="Palatino Linotype"/>
              </w:rPr>
            </w:pPr>
            <w:r w:rsidRPr="00A46D28">
              <w:rPr>
                <w:rFonts w:ascii="Palatino Linotype" w:hAnsi="Palatino Linotype"/>
              </w:rPr>
              <w:t>FOREST</w:t>
            </w:r>
            <w:r w:rsidRPr="00A46D28">
              <w:rPr>
                <w:rFonts w:ascii="Palatino Linotype" w:hAnsi="Palatino Linotype"/>
                <w:spacing w:val="-2"/>
              </w:rPr>
              <w:t xml:space="preserve"> </w:t>
            </w:r>
            <w:r w:rsidRPr="00C41703">
              <w:rPr>
                <w:rFonts w:ascii="Palatino Linotype" w:hAnsi="Palatino Linotype"/>
              </w:rPr>
              <w:t>GLEN</w:t>
            </w:r>
            <w:r w:rsidRPr="00C41703">
              <w:rPr>
                <w:rFonts w:ascii="Palatino Linotype" w:hAnsi="Palatino Linotype"/>
                <w:spacing w:val="-4"/>
              </w:rPr>
              <w:t xml:space="preserve"> </w:t>
            </w:r>
            <w:r w:rsidRPr="00C41703">
              <w:rPr>
                <w:rFonts w:ascii="Palatino Linotype" w:hAnsi="Palatino Linotype"/>
              </w:rPr>
              <w:t>M</w:t>
            </w:r>
            <w:r>
              <w:rPr>
                <w:rFonts w:ascii="Palatino Linotype" w:hAnsi="Palatino Linotype"/>
              </w:rPr>
              <w:t>HP</w:t>
            </w:r>
          </w:p>
        </w:tc>
        <w:tc>
          <w:tcPr>
            <w:tcW w:w="4950" w:type="dxa"/>
            <w:shd w:val="clear" w:color="auto" w:fill="C5DFB4"/>
            <w:vAlign w:val="center"/>
          </w:tcPr>
          <w:p w:rsidRPr="00D2684E" w:rsidR="00E54E32" w:rsidP="00D2684E" w:rsidRDefault="00E54E32" w14:paraId="6063ED38"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0C1349AA" w14:textId="77777777">
        <w:trPr>
          <w:trHeight w:val="299"/>
        </w:trPr>
        <w:tc>
          <w:tcPr>
            <w:tcW w:w="5940" w:type="dxa"/>
            <w:gridSpan w:val="3"/>
            <w:shd w:val="clear" w:color="auto" w:fill="DDEBF7"/>
            <w:vAlign w:val="center"/>
          </w:tcPr>
          <w:p w:rsidRPr="00D2684E" w:rsidR="00E54E32" w:rsidP="00D2684E" w:rsidRDefault="00733AC1" w14:paraId="61816B54" w14:textId="0D42EBA0">
            <w:pPr>
              <w:pStyle w:val="TableParagraph"/>
              <w:ind w:firstLine="518"/>
              <w:rPr>
                <w:rFonts w:ascii="Palatino Linotype" w:hAnsi="Palatino Linotype"/>
              </w:rPr>
            </w:pPr>
            <w:r w:rsidRPr="00A46D28">
              <w:rPr>
                <w:rFonts w:ascii="Palatino Linotype" w:hAnsi="Palatino Linotype"/>
              </w:rPr>
              <w:t>FOREST</w:t>
            </w:r>
            <w:r w:rsidRPr="00A46D28">
              <w:rPr>
                <w:rFonts w:ascii="Palatino Linotype" w:hAnsi="Palatino Linotype"/>
                <w:spacing w:val="-3"/>
              </w:rPr>
              <w:t xml:space="preserve"> </w:t>
            </w:r>
            <w:r w:rsidRPr="00C41703">
              <w:rPr>
                <w:rFonts w:ascii="Palatino Linotype" w:hAnsi="Palatino Linotype"/>
              </w:rPr>
              <w:t>GROVE</w:t>
            </w:r>
            <w:r w:rsidRPr="00C41703">
              <w:rPr>
                <w:rFonts w:ascii="Palatino Linotype" w:hAnsi="Palatino Linotype"/>
                <w:spacing w:val="-4"/>
              </w:rPr>
              <w:t xml:space="preserve"> </w:t>
            </w:r>
            <w:r w:rsidRPr="00C41703">
              <w:rPr>
                <w:rFonts w:ascii="Palatino Linotype" w:hAnsi="Palatino Linotype"/>
              </w:rPr>
              <w:t>MOBILE</w:t>
            </w:r>
            <w:r w:rsidRPr="00C41703">
              <w:rPr>
                <w:rFonts w:ascii="Palatino Linotype" w:hAnsi="Palatino Linotype"/>
                <w:spacing w:val="-1"/>
              </w:rPr>
              <w:t xml:space="preserve"> </w:t>
            </w:r>
            <w:r w:rsidRPr="00C41703">
              <w:rPr>
                <w:rFonts w:ascii="Palatino Linotype" w:hAnsi="Palatino Linotype"/>
              </w:rPr>
              <w:t>HOME</w:t>
            </w:r>
          </w:p>
        </w:tc>
        <w:tc>
          <w:tcPr>
            <w:tcW w:w="4950" w:type="dxa"/>
            <w:shd w:val="clear" w:color="auto" w:fill="C5DFB4"/>
            <w:vAlign w:val="center"/>
          </w:tcPr>
          <w:p w:rsidRPr="00D2684E" w:rsidR="00E54E32" w:rsidP="00D2684E" w:rsidRDefault="00E54E32" w14:paraId="3CFF696E"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61FE15A6" w14:textId="77777777">
        <w:trPr>
          <w:trHeight w:val="302"/>
        </w:trPr>
        <w:tc>
          <w:tcPr>
            <w:tcW w:w="5940" w:type="dxa"/>
            <w:gridSpan w:val="3"/>
            <w:shd w:val="clear" w:color="auto" w:fill="DDEBF7"/>
            <w:vAlign w:val="center"/>
          </w:tcPr>
          <w:p w:rsidRPr="00D2684E" w:rsidR="00E54E32" w:rsidP="00D2684E" w:rsidRDefault="00733AC1" w14:paraId="1B7CFC47" w14:textId="5FF242C4">
            <w:pPr>
              <w:pStyle w:val="TableParagraph"/>
              <w:spacing w:before="33"/>
              <w:ind w:firstLine="518"/>
              <w:rPr>
                <w:rFonts w:ascii="Palatino Linotype" w:hAnsi="Palatino Linotype"/>
              </w:rPr>
            </w:pPr>
            <w:r w:rsidRPr="00A46D28">
              <w:rPr>
                <w:rFonts w:ascii="Palatino Linotype" w:hAnsi="Palatino Linotype"/>
              </w:rPr>
              <w:t>J</w:t>
            </w:r>
            <w:r w:rsidRPr="00A46D28">
              <w:rPr>
                <w:rFonts w:ascii="Palatino Linotype" w:hAnsi="Palatino Linotype"/>
                <w:spacing w:val="-1"/>
              </w:rPr>
              <w:t xml:space="preserve"> </w:t>
            </w:r>
            <w:r w:rsidRPr="00C41703">
              <w:rPr>
                <w:rFonts w:ascii="Palatino Linotype" w:hAnsi="Palatino Linotype"/>
              </w:rPr>
              <w:t>AND</w:t>
            </w:r>
            <w:r w:rsidRPr="00C41703">
              <w:rPr>
                <w:rFonts w:ascii="Palatino Linotype" w:hAnsi="Palatino Linotype"/>
                <w:spacing w:val="1"/>
              </w:rPr>
              <w:t xml:space="preserve"> </w:t>
            </w:r>
            <w:r w:rsidRPr="00C41703">
              <w:rPr>
                <w:rFonts w:ascii="Palatino Linotype" w:hAnsi="Palatino Linotype"/>
              </w:rPr>
              <w:t>M</w:t>
            </w:r>
          </w:p>
        </w:tc>
        <w:tc>
          <w:tcPr>
            <w:tcW w:w="4950" w:type="dxa"/>
            <w:shd w:val="clear" w:color="auto" w:fill="C5DFB4"/>
            <w:vAlign w:val="center"/>
          </w:tcPr>
          <w:p w:rsidRPr="00D2684E" w:rsidR="00E54E32" w:rsidP="00D2684E" w:rsidRDefault="00E54E32" w14:paraId="24E6E6F1" w14:textId="77777777">
            <w:pPr>
              <w:pStyle w:val="TableParagraph"/>
              <w:spacing w:before="33"/>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6FF75B65" w14:textId="77777777">
        <w:trPr>
          <w:trHeight w:val="299"/>
        </w:trPr>
        <w:tc>
          <w:tcPr>
            <w:tcW w:w="5940" w:type="dxa"/>
            <w:gridSpan w:val="3"/>
            <w:shd w:val="clear" w:color="auto" w:fill="DDEBF7"/>
            <w:vAlign w:val="center"/>
          </w:tcPr>
          <w:p w:rsidRPr="00D2684E" w:rsidR="00E54E32" w:rsidP="00D2684E" w:rsidRDefault="00733AC1" w14:paraId="49DC33B1" w14:textId="1647711B">
            <w:pPr>
              <w:pStyle w:val="TableParagraph"/>
              <w:ind w:firstLine="518"/>
              <w:rPr>
                <w:rFonts w:ascii="Palatino Linotype" w:hAnsi="Palatino Linotype"/>
              </w:rPr>
            </w:pPr>
            <w:r w:rsidRPr="00A46D28">
              <w:rPr>
                <w:rFonts w:ascii="Palatino Linotype" w:hAnsi="Palatino Linotype"/>
              </w:rPr>
              <w:t>OAK</w:t>
            </w:r>
            <w:r w:rsidRPr="00A46D28">
              <w:rPr>
                <w:rFonts w:ascii="Palatino Linotype" w:hAnsi="Palatino Linotype"/>
                <w:spacing w:val="-3"/>
              </w:rPr>
              <w:t xml:space="preserve"> </w:t>
            </w:r>
            <w:r w:rsidRPr="00C41703">
              <w:rPr>
                <w:rFonts w:ascii="Palatino Linotype" w:hAnsi="Palatino Linotype"/>
              </w:rPr>
              <w:t>HILL</w:t>
            </w:r>
            <w:r w:rsidRPr="00C41703">
              <w:rPr>
                <w:rFonts w:ascii="Palatino Linotype" w:hAnsi="Palatino Linotype"/>
                <w:spacing w:val="-2"/>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1FB7EDE3"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1218A7A8" w14:textId="77777777">
        <w:trPr>
          <w:trHeight w:val="299"/>
        </w:trPr>
        <w:tc>
          <w:tcPr>
            <w:tcW w:w="5940" w:type="dxa"/>
            <w:gridSpan w:val="3"/>
            <w:shd w:val="clear" w:color="auto" w:fill="DDEBF7"/>
            <w:vAlign w:val="center"/>
          </w:tcPr>
          <w:p w:rsidRPr="00D2684E" w:rsidR="00E54E32" w:rsidP="00D2684E" w:rsidRDefault="00733AC1" w14:paraId="6F7BD64C" w14:textId="5B72FD87">
            <w:pPr>
              <w:pStyle w:val="TableParagraph"/>
              <w:ind w:firstLine="518"/>
              <w:rPr>
                <w:rFonts w:ascii="Palatino Linotype" w:hAnsi="Palatino Linotype"/>
              </w:rPr>
            </w:pPr>
            <w:r w:rsidRPr="00A46D28">
              <w:rPr>
                <w:rFonts w:ascii="Palatino Linotype" w:hAnsi="Palatino Linotype"/>
              </w:rPr>
              <w:t>PINE RIDGE</w:t>
            </w:r>
            <w:r w:rsidRPr="00A46D28">
              <w:rPr>
                <w:rFonts w:ascii="Palatino Linotype" w:hAnsi="Palatino Linotype"/>
                <w:spacing w:val="-2"/>
              </w:rPr>
              <w:t xml:space="preserve"> </w:t>
            </w:r>
            <w:r w:rsidRPr="00C41703">
              <w:rPr>
                <w:rFonts w:ascii="Palatino Linotype" w:hAnsi="Palatino Linotype"/>
              </w:rPr>
              <w:t>PARK</w:t>
            </w:r>
          </w:p>
        </w:tc>
        <w:tc>
          <w:tcPr>
            <w:tcW w:w="4950" w:type="dxa"/>
            <w:shd w:val="clear" w:color="auto" w:fill="C5DFB4"/>
            <w:vAlign w:val="center"/>
          </w:tcPr>
          <w:p w:rsidRPr="00D2684E" w:rsidR="00E54E32" w:rsidP="00D2684E" w:rsidRDefault="00E54E32" w14:paraId="7CD911A0"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237BD49E" w14:textId="77777777">
        <w:trPr>
          <w:trHeight w:val="301"/>
        </w:trPr>
        <w:tc>
          <w:tcPr>
            <w:tcW w:w="5940" w:type="dxa"/>
            <w:gridSpan w:val="3"/>
            <w:shd w:val="clear" w:color="auto" w:fill="DDEBF7"/>
            <w:vAlign w:val="center"/>
          </w:tcPr>
          <w:p w:rsidRPr="00D2684E" w:rsidR="00E54E32" w:rsidP="00D2684E" w:rsidRDefault="00733AC1" w14:paraId="691030BF" w14:textId="074B6281">
            <w:pPr>
              <w:pStyle w:val="TableParagraph"/>
              <w:spacing w:before="32"/>
              <w:ind w:firstLine="518"/>
              <w:rPr>
                <w:rFonts w:ascii="Palatino Linotype" w:hAnsi="Palatino Linotype"/>
              </w:rPr>
            </w:pPr>
            <w:r w:rsidRPr="00A46D28">
              <w:rPr>
                <w:rFonts w:ascii="Palatino Linotype" w:hAnsi="Palatino Linotype"/>
              </w:rPr>
              <w:t>SKYWAY</w:t>
            </w:r>
            <w:r w:rsidRPr="00A46D28">
              <w:rPr>
                <w:rFonts w:ascii="Palatino Linotype" w:hAnsi="Palatino Linotype"/>
                <w:spacing w:val="-5"/>
              </w:rPr>
              <w:t xml:space="preserve"> </w:t>
            </w:r>
            <w:r w:rsidRPr="00C41703">
              <w:rPr>
                <w:rFonts w:ascii="Palatino Linotype" w:hAnsi="Palatino Linotype"/>
              </w:rPr>
              <w:t>TRAILER</w:t>
            </w:r>
            <w:r w:rsidRPr="00C41703">
              <w:rPr>
                <w:rFonts w:ascii="Palatino Linotype" w:hAnsi="Palatino Linotype"/>
                <w:spacing w:val="-2"/>
              </w:rPr>
              <w:t xml:space="preserve"> </w:t>
            </w:r>
            <w:r w:rsidRPr="00C41703">
              <w:rPr>
                <w:rFonts w:ascii="Palatino Linotype" w:hAnsi="Palatino Linotype"/>
              </w:rPr>
              <w:t>COURT</w:t>
            </w:r>
          </w:p>
        </w:tc>
        <w:tc>
          <w:tcPr>
            <w:tcW w:w="4950" w:type="dxa"/>
            <w:shd w:val="clear" w:color="auto" w:fill="C5DFB4"/>
            <w:vAlign w:val="center"/>
          </w:tcPr>
          <w:p w:rsidRPr="00D2684E" w:rsidR="00E54E32" w:rsidP="00D2684E" w:rsidRDefault="00E54E32" w14:paraId="2D2B02A1" w14:textId="77777777">
            <w:pPr>
              <w:pStyle w:val="TableParagraph"/>
              <w:spacing w:before="32"/>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3962A310" w14:textId="77777777">
        <w:trPr>
          <w:trHeight w:val="299"/>
        </w:trPr>
        <w:tc>
          <w:tcPr>
            <w:tcW w:w="5940" w:type="dxa"/>
            <w:gridSpan w:val="3"/>
            <w:shd w:val="clear" w:color="auto" w:fill="DDEBF7"/>
            <w:vAlign w:val="center"/>
          </w:tcPr>
          <w:p w:rsidRPr="00D2684E" w:rsidR="00E54E32" w:rsidP="00D2684E" w:rsidRDefault="00733AC1" w14:paraId="2639B659" w14:textId="0A8C156E">
            <w:pPr>
              <w:pStyle w:val="TableParagraph"/>
              <w:ind w:firstLine="518"/>
              <w:rPr>
                <w:rFonts w:ascii="Palatino Linotype" w:hAnsi="Palatino Linotype"/>
              </w:rPr>
            </w:pPr>
            <w:r w:rsidRPr="00A46D28">
              <w:rPr>
                <w:rFonts w:ascii="Palatino Linotype" w:hAnsi="Palatino Linotype"/>
              </w:rPr>
              <w:t>ACRES</w:t>
            </w:r>
            <w:r w:rsidRPr="00A46D28">
              <w:rPr>
                <w:rFonts w:ascii="Palatino Linotype" w:hAnsi="Palatino Linotype"/>
                <w:spacing w:val="-1"/>
              </w:rPr>
              <w:t xml:space="preserve"> </w:t>
            </w:r>
            <w:r w:rsidRPr="00C41703">
              <w:rPr>
                <w:rFonts w:ascii="Palatino Linotype" w:hAnsi="Palatino Linotype"/>
              </w:rPr>
              <w:t>OF</w:t>
            </w:r>
            <w:r w:rsidRPr="00C41703">
              <w:rPr>
                <w:rFonts w:ascii="Palatino Linotype" w:hAnsi="Palatino Linotype"/>
                <w:spacing w:val="-3"/>
              </w:rPr>
              <w:t xml:space="preserve"> </w:t>
            </w:r>
            <w:r w:rsidRPr="00C41703">
              <w:rPr>
                <w:rFonts w:ascii="Palatino Linotype" w:hAnsi="Palatino Linotype"/>
              </w:rPr>
              <w:t>PARADISE</w:t>
            </w:r>
            <w:r w:rsidRPr="00C41703">
              <w:rPr>
                <w:rFonts w:ascii="Palatino Linotype" w:hAnsi="Palatino Linotype"/>
                <w:spacing w:val="-1"/>
              </w:rPr>
              <w:t xml:space="preserve"> </w:t>
            </w:r>
            <w:r w:rsidRPr="00307EA0">
              <w:rPr>
                <w:rFonts w:ascii="Palatino Linotype" w:hAnsi="Palatino Linotype"/>
              </w:rPr>
              <w:t>M</w:t>
            </w:r>
            <w:r>
              <w:rPr>
                <w:rFonts w:ascii="Palatino Linotype" w:hAnsi="Palatino Linotype"/>
              </w:rPr>
              <w:t>HP</w:t>
            </w:r>
          </w:p>
        </w:tc>
        <w:tc>
          <w:tcPr>
            <w:tcW w:w="4950" w:type="dxa"/>
            <w:shd w:val="clear" w:color="auto" w:fill="C5DFB4"/>
            <w:vAlign w:val="center"/>
          </w:tcPr>
          <w:p w:rsidRPr="00D2684E" w:rsidR="00E54E32" w:rsidP="00D2684E" w:rsidRDefault="00E54E32" w14:paraId="0F154E79"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598B6F83" w14:textId="77777777">
        <w:trPr>
          <w:trHeight w:val="299"/>
        </w:trPr>
        <w:tc>
          <w:tcPr>
            <w:tcW w:w="5940" w:type="dxa"/>
            <w:gridSpan w:val="3"/>
            <w:shd w:val="clear" w:color="auto" w:fill="DDEBF7"/>
            <w:vAlign w:val="center"/>
          </w:tcPr>
          <w:p w:rsidRPr="00D2684E" w:rsidR="00E54E32" w:rsidP="00D2684E" w:rsidRDefault="00733AC1" w14:paraId="503310FC" w14:textId="57389FDF">
            <w:pPr>
              <w:pStyle w:val="TableParagraph"/>
              <w:ind w:firstLine="518"/>
              <w:rPr>
                <w:rFonts w:ascii="Palatino Linotype" w:hAnsi="Palatino Linotype"/>
              </w:rPr>
            </w:pPr>
            <w:r w:rsidRPr="00A46D28">
              <w:rPr>
                <w:rFonts w:ascii="Palatino Linotype" w:hAnsi="Palatino Linotype"/>
              </w:rPr>
              <w:t>BLUE</w:t>
            </w:r>
            <w:r w:rsidRPr="00A46D28">
              <w:rPr>
                <w:rFonts w:ascii="Palatino Linotype" w:hAnsi="Palatino Linotype"/>
                <w:spacing w:val="-2"/>
              </w:rPr>
              <w:t xml:space="preserve"> </w:t>
            </w:r>
            <w:r w:rsidRPr="00C41703">
              <w:rPr>
                <w:rFonts w:ascii="Palatino Linotype" w:hAnsi="Palatino Linotype"/>
              </w:rPr>
              <w:t>HAVEN</w:t>
            </w:r>
            <w:r w:rsidRPr="00C41703">
              <w:rPr>
                <w:rFonts w:ascii="Palatino Linotype" w:hAnsi="Palatino Linotype"/>
                <w:spacing w:val="-5"/>
              </w:rPr>
              <w:t xml:space="preserve"> </w:t>
            </w:r>
            <w:r w:rsidRPr="00C41703">
              <w:rPr>
                <w:rFonts w:ascii="Palatino Linotype" w:hAnsi="Palatino Linotype"/>
              </w:rPr>
              <w:t>MOBILE</w:t>
            </w:r>
            <w:r w:rsidRPr="00C41703">
              <w:rPr>
                <w:rFonts w:ascii="Palatino Linotype" w:hAnsi="Palatino Linotype"/>
                <w:spacing w:val="-3"/>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521F6345"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67BDE2C9" w14:textId="77777777">
        <w:trPr>
          <w:trHeight w:val="301"/>
        </w:trPr>
        <w:tc>
          <w:tcPr>
            <w:tcW w:w="5940" w:type="dxa"/>
            <w:gridSpan w:val="3"/>
            <w:shd w:val="clear" w:color="auto" w:fill="DDEBF7"/>
            <w:vAlign w:val="center"/>
          </w:tcPr>
          <w:p w:rsidRPr="00D2684E" w:rsidR="00E54E32" w:rsidP="00D2684E" w:rsidRDefault="00733AC1" w14:paraId="68FEAF5D" w14:textId="3D1F8247">
            <w:pPr>
              <w:pStyle w:val="TableParagraph"/>
              <w:spacing w:before="32"/>
              <w:ind w:firstLine="518"/>
              <w:rPr>
                <w:rFonts w:ascii="Palatino Linotype" w:hAnsi="Palatino Linotype"/>
              </w:rPr>
            </w:pPr>
            <w:r w:rsidRPr="00A46D28">
              <w:rPr>
                <w:rFonts w:ascii="Palatino Linotype" w:hAnsi="Palatino Linotype"/>
              </w:rPr>
              <w:t>BLUE</w:t>
            </w:r>
            <w:r w:rsidRPr="00A46D28">
              <w:rPr>
                <w:rFonts w:ascii="Palatino Linotype" w:hAnsi="Palatino Linotype"/>
                <w:spacing w:val="-2"/>
              </w:rPr>
              <w:t xml:space="preserve"> </w:t>
            </w:r>
            <w:r w:rsidRPr="00C41703">
              <w:rPr>
                <w:rFonts w:ascii="Palatino Linotype" w:hAnsi="Palatino Linotype"/>
              </w:rPr>
              <w:t>SPRUCE</w:t>
            </w:r>
            <w:r w:rsidRPr="00C41703">
              <w:rPr>
                <w:rFonts w:ascii="Palatino Linotype" w:hAnsi="Palatino Linotype"/>
                <w:spacing w:val="-2"/>
              </w:rPr>
              <w:t xml:space="preserve"> </w:t>
            </w:r>
            <w:r w:rsidRPr="00C41703">
              <w:rPr>
                <w:rFonts w:ascii="Palatino Linotype" w:hAnsi="Palatino Linotype"/>
              </w:rPr>
              <w:t>MOBILE</w:t>
            </w:r>
            <w:r w:rsidRPr="00C41703">
              <w:rPr>
                <w:rFonts w:ascii="Palatino Linotype" w:hAnsi="Palatino Linotype"/>
                <w:spacing w:val="-2"/>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0D9A6B2A" w14:textId="77777777">
            <w:pPr>
              <w:pStyle w:val="TableParagraph"/>
              <w:spacing w:before="32"/>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7F718C4C" w14:textId="77777777">
        <w:trPr>
          <w:trHeight w:val="299"/>
        </w:trPr>
        <w:tc>
          <w:tcPr>
            <w:tcW w:w="5940" w:type="dxa"/>
            <w:gridSpan w:val="3"/>
            <w:shd w:val="clear" w:color="auto" w:fill="DDEBF7"/>
            <w:vAlign w:val="center"/>
          </w:tcPr>
          <w:p w:rsidRPr="00D2684E" w:rsidR="00E54E32" w:rsidP="00D2684E" w:rsidRDefault="00733AC1" w14:paraId="4725A54A" w14:textId="349CEE7B">
            <w:pPr>
              <w:pStyle w:val="TableParagraph"/>
              <w:ind w:firstLine="518"/>
              <w:rPr>
                <w:rFonts w:ascii="Palatino Linotype" w:hAnsi="Palatino Linotype"/>
              </w:rPr>
            </w:pPr>
            <w:r w:rsidRPr="00A46D28">
              <w:rPr>
                <w:rFonts w:ascii="Palatino Linotype" w:hAnsi="Palatino Linotype"/>
              </w:rPr>
              <w:t>EL</w:t>
            </w:r>
            <w:r w:rsidRPr="00A46D28">
              <w:rPr>
                <w:rFonts w:ascii="Palatino Linotype" w:hAnsi="Palatino Linotype"/>
                <w:spacing w:val="-4"/>
              </w:rPr>
              <w:t xml:space="preserve"> </w:t>
            </w:r>
            <w:r w:rsidRPr="00C41703">
              <w:rPr>
                <w:rFonts w:ascii="Palatino Linotype" w:hAnsi="Palatino Linotype"/>
              </w:rPr>
              <w:t>DORADO</w:t>
            </w:r>
            <w:r w:rsidRPr="00C41703">
              <w:rPr>
                <w:rFonts w:ascii="Palatino Linotype" w:hAnsi="Palatino Linotype"/>
                <w:spacing w:val="-5"/>
              </w:rPr>
              <w:t xml:space="preserve"> </w:t>
            </w:r>
            <w:r w:rsidRPr="00C41703">
              <w:rPr>
                <w:rFonts w:ascii="Palatino Linotype" w:hAnsi="Palatino Linotype"/>
              </w:rPr>
              <w:t>MOBILE</w:t>
            </w:r>
            <w:r w:rsidRPr="00C41703">
              <w:rPr>
                <w:rFonts w:ascii="Palatino Linotype" w:hAnsi="Palatino Linotype"/>
                <w:spacing w:val="-3"/>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0A42D224"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6268D900" w14:textId="77777777">
        <w:trPr>
          <w:trHeight w:val="299"/>
        </w:trPr>
        <w:tc>
          <w:tcPr>
            <w:tcW w:w="5940" w:type="dxa"/>
            <w:gridSpan w:val="3"/>
            <w:shd w:val="clear" w:color="auto" w:fill="DDEBF7"/>
            <w:vAlign w:val="center"/>
          </w:tcPr>
          <w:p w:rsidRPr="00D2684E" w:rsidR="00E54E32" w:rsidP="00D2684E" w:rsidRDefault="00733AC1" w14:paraId="31CE52DF" w14:textId="5A26A34B">
            <w:pPr>
              <w:pStyle w:val="TableParagraph"/>
              <w:ind w:firstLine="518"/>
              <w:rPr>
                <w:rFonts w:ascii="Palatino Linotype" w:hAnsi="Palatino Linotype"/>
              </w:rPr>
            </w:pPr>
            <w:r w:rsidRPr="00A46D28">
              <w:rPr>
                <w:rFonts w:ascii="Palatino Linotype" w:hAnsi="Palatino Linotype"/>
              </w:rPr>
              <w:t>PONDEROSA</w:t>
            </w:r>
            <w:r w:rsidRPr="00A46D28">
              <w:rPr>
                <w:rFonts w:ascii="Palatino Linotype" w:hAnsi="Palatino Linotype"/>
                <w:spacing w:val="-7"/>
              </w:rPr>
              <w:t xml:space="preserve"> </w:t>
            </w:r>
            <w:r w:rsidRPr="00C41703">
              <w:rPr>
                <w:rFonts w:ascii="Palatino Linotype" w:hAnsi="Palatino Linotype"/>
              </w:rPr>
              <w:t>MOBILE</w:t>
            </w:r>
            <w:r w:rsidRPr="00C41703">
              <w:rPr>
                <w:rFonts w:ascii="Palatino Linotype" w:hAnsi="Palatino Linotype"/>
                <w:spacing w:val="-4"/>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534E020A"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161DEB19" w14:textId="77777777">
        <w:trPr>
          <w:trHeight w:val="340"/>
        </w:trPr>
        <w:tc>
          <w:tcPr>
            <w:tcW w:w="5940" w:type="dxa"/>
            <w:gridSpan w:val="3"/>
            <w:shd w:val="clear" w:color="auto" w:fill="DDEBF7"/>
            <w:vAlign w:val="center"/>
          </w:tcPr>
          <w:p w:rsidRPr="00D2684E" w:rsidR="00E54E32" w:rsidP="00D2684E" w:rsidRDefault="00733AC1" w14:paraId="34024356" w14:textId="05C6AA98">
            <w:pPr>
              <w:pStyle w:val="TableParagraph"/>
              <w:spacing w:before="0" w:line="267" w:lineRule="exact"/>
              <w:ind w:firstLine="518"/>
              <w:rPr>
                <w:rFonts w:ascii="Palatino Linotype" w:hAnsi="Palatino Linotype"/>
              </w:rPr>
            </w:pPr>
            <w:r w:rsidRPr="00A46D28">
              <w:rPr>
                <w:rFonts w:ascii="Palatino Linotype" w:hAnsi="Palatino Linotype"/>
              </w:rPr>
              <w:t>EDGEWOOD</w:t>
            </w:r>
            <w:r w:rsidRPr="00A46D28">
              <w:rPr>
                <w:rFonts w:ascii="Palatino Linotype" w:hAnsi="Palatino Linotype"/>
                <w:spacing w:val="-4"/>
              </w:rPr>
              <w:t xml:space="preserve"> </w:t>
            </w:r>
            <w:r w:rsidRPr="00C41703">
              <w:rPr>
                <w:rFonts w:ascii="Palatino Linotype" w:hAnsi="Palatino Linotype"/>
              </w:rPr>
              <w:t>ESTATES/SAWMILL</w:t>
            </w:r>
            <w:r>
              <w:rPr>
                <w:rFonts w:ascii="Palatino Linotype" w:hAnsi="Palatino Linotype"/>
              </w:rPr>
              <w:t xml:space="preserve"> </w:t>
            </w:r>
            <w:r w:rsidRPr="00A46D28">
              <w:rPr>
                <w:rFonts w:ascii="Palatino Linotype" w:hAnsi="Palatino Linotype"/>
              </w:rPr>
              <w:t>ESTATES</w:t>
            </w:r>
          </w:p>
        </w:tc>
        <w:tc>
          <w:tcPr>
            <w:tcW w:w="4950" w:type="dxa"/>
            <w:shd w:val="clear" w:color="auto" w:fill="C5DFB4"/>
            <w:vAlign w:val="center"/>
          </w:tcPr>
          <w:p w:rsidRPr="00D2684E" w:rsidR="00E54E32" w:rsidP="00D2684E" w:rsidRDefault="00E54E32" w14:paraId="41F1EF9B" w14:textId="77777777">
            <w:pPr>
              <w:pStyle w:val="TableParagraph"/>
              <w:spacing w:before="0"/>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39173811" w14:textId="77777777">
        <w:trPr>
          <w:trHeight w:val="302"/>
        </w:trPr>
        <w:tc>
          <w:tcPr>
            <w:tcW w:w="5940" w:type="dxa"/>
            <w:gridSpan w:val="3"/>
            <w:shd w:val="clear" w:color="auto" w:fill="DDEBF7"/>
            <w:vAlign w:val="center"/>
          </w:tcPr>
          <w:p w:rsidRPr="00D2684E" w:rsidR="00E54E32" w:rsidP="00D2684E" w:rsidRDefault="00733AC1" w14:paraId="06B5D82E" w14:textId="444E39BA">
            <w:pPr>
              <w:pStyle w:val="TableParagraph"/>
              <w:spacing w:before="33"/>
              <w:ind w:firstLine="518"/>
              <w:rPr>
                <w:rFonts w:ascii="Palatino Linotype" w:hAnsi="Palatino Linotype"/>
              </w:rPr>
            </w:pPr>
            <w:r w:rsidRPr="00A46D28">
              <w:rPr>
                <w:rFonts w:ascii="Palatino Linotype" w:hAnsi="Palatino Linotype"/>
              </w:rPr>
              <w:t>IDLEWILD</w:t>
            </w:r>
          </w:p>
        </w:tc>
        <w:tc>
          <w:tcPr>
            <w:tcW w:w="4950" w:type="dxa"/>
            <w:shd w:val="clear" w:color="auto" w:fill="C5DFB4"/>
            <w:vAlign w:val="center"/>
          </w:tcPr>
          <w:p w:rsidRPr="00D2684E" w:rsidR="00E54E32" w:rsidP="00D2684E" w:rsidRDefault="00E54E32" w14:paraId="093311FD" w14:textId="77777777">
            <w:pPr>
              <w:pStyle w:val="TableParagraph"/>
              <w:spacing w:before="33"/>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28C7D98D" w14:textId="77777777">
        <w:trPr>
          <w:trHeight w:val="299"/>
        </w:trPr>
        <w:tc>
          <w:tcPr>
            <w:tcW w:w="5940" w:type="dxa"/>
            <w:gridSpan w:val="3"/>
            <w:shd w:val="clear" w:color="auto" w:fill="DDEBF7"/>
            <w:vAlign w:val="center"/>
          </w:tcPr>
          <w:p w:rsidRPr="00D2684E" w:rsidR="00E54E32" w:rsidP="00D2684E" w:rsidRDefault="00733AC1" w14:paraId="1C499FF1" w14:textId="3F162253">
            <w:pPr>
              <w:pStyle w:val="TableParagraph"/>
              <w:ind w:firstLine="518"/>
              <w:rPr>
                <w:rFonts w:ascii="Palatino Linotype" w:hAnsi="Palatino Linotype"/>
              </w:rPr>
            </w:pPr>
            <w:r w:rsidRPr="00A46D28">
              <w:rPr>
                <w:rFonts w:ascii="Palatino Linotype" w:hAnsi="Palatino Linotype"/>
              </w:rPr>
              <w:t>PARADISE</w:t>
            </w:r>
            <w:r w:rsidRPr="00A46D28">
              <w:rPr>
                <w:rFonts w:ascii="Palatino Linotype" w:hAnsi="Palatino Linotype"/>
                <w:spacing w:val="-6"/>
              </w:rPr>
              <w:t xml:space="preserve"> </w:t>
            </w:r>
            <w:r w:rsidRPr="00C41703">
              <w:rPr>
                <w:rFonts w:ascii="Palatino Linotype" w:hAnsi="Palatino Linotype"/>
              </w:rPr>
              <w:t>MOBILE</w:t>
            </w:r>
            <w:r w:rsidRPr="00C41703">
              <w:rPr>
                <w:rFonts w:ascii="Palatino Linotype" w:hAnsi="Palatino Linotype"/>
                <w:spacing w:val="-4"/>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4F899167"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48D503EF" w14:textId="77777777">
        <w:trPr>
          <w:trHeight w:val="299"/>
        </w:trPr>
        <w:tc>
          <w:tcPr>
            <w:tcW w:w="5940" w:type="dxa"/>
            <w:gridSpan w:val="3"/>
            <w:shd w:val="clear" w:color="auto" w:fill="DDEBF7"/>
            <w:vAlign w:val="center"/>
          </w:tcPr>
          <w:p w:rsidRPr="00D2684E" w:rsidR="00E54E32" w:rsidP="00D2684E" w:rsidRDefault="00733AC1" w14:paraId="5BBB7732" w14:textId="61CD0111">
            <w:pPr>
              <w:pStyle w:val="TableParagraph"/>
              <w:ind w:firstLine="518"/>
              <w:rPr>
                <w:rFonts w:ascii="Palatino Linotype" w:hAnsi="Palatino Linotype"/>
              </w:rPr>
            </w:pPr>
            <w:r w:rsidRPr="00A46D28">
              <w:rPr>
                <w:rFonts w:ascii="Palatino Linotype" w:hAnsi="Palatino Linotype"/>
              </w:rPr>
              <w:t>PINE</w:t>
            </w:r>
            <w:r w:rsidRPr="00A46D28">
              <w:rPr>
                <w:rFonts w:ascii="Palatino Linotype" w:hAnsi="Palatino Linotype"/>
                <w:spacing w:val="-1"/>
              </w:rPr>
              <w:t xml:space="preserve"> </w:t>
            </w:r>
            <w:r w:rsidRPr="00C41703">
              <w:rPr>
                <w:rFonts w:ascii="Palatino Linotype" w:hAnsi="Palatino Linotype"/>
              </w:rPr>
              <w:t>GROVE</w:t>
            </w:r>
            <w:r w:rsidRPr="00C41703">
              <w:rPr>
                <w:rFonts w:ascii="Palatino Linotype" w:hAnsi="Palatino Linotype"/>
                <w:spacing w:val="-3"/>
              </w:rPr>
              <w:t xml:space="preserve"> </w:t>
            </w:r>
            <w:r w:rsidRPr="00307EA0">
              <w:rPr>
                <w:rFonts w:ascii="Palatino Linotype" w:hAnsi="Palatino Linotype"/>
              </w:rPr>
              <w:t>M</w:t>
            </w:r>
            <w:r>
              <w:rPr>
                <w:rFonts w:ascii="Palatino Linotype" w:hAnsi="Palatino Linotype"/>
              </w:rPr>
              <w:t>HP</w:t>
            </w:r>
          </w:p>
        </w:tc>
        <w:tc>
          <w:tcPr>
            <w:tcW w:w="4950" w:type="dxa"/>
            <w:shd w:val="clear" w:color="auto" w:fill="C5DFB4"/>
            <w:vAlign w:val="center"/>
          </w:tcPr>
          <w:p w:rsidRPr="00D2684E" w:rsidR="00E54E32" w:rsidP="00D2684E" w:rsidRDefault="00E54E32" w14:paraId="41D8A0CA"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05D2A6B2" w14:textId="77777777">
        <w:trPr>
          <w:trHeight w:val="301"/>
        </w:trPr>
        <w:tc>
          <w:tcPr>
            <w:tcW w:w="5940" w:type="dxa"/>
            <w:gridSpan w:val="3"/>
            <w:shd w:val="clear" w:color="auto" w:fill="DDEBF7"/>
            <w:vAlign w:val="center"/>
          </w:tcPr>
          <w:p w:rsidRPr="00D2684E" w:rsidR="00E54E32" w:rsidP="00D2684E" w:rsidRDefault="00733AC1" w14:paraId="62C2D18A" w14:textId="3C33F623">
            <w:pPr>
              <w:pStyle w:val="TableParagraph"/>
              <w:spacing w:before="32"/>
              <w:ind w:firstLine="518"/>
              <w:rPr>
                <w:rFonts w:ascii="Palatino Linotype" w:hAnsi="Palatino Linotype"/>
              </w:rPr>
            </w:pPr>
            <w:r w:rsidRPr="00A46D28">
              <w:rPr>
                <w:rFonts w:ascii="Palatino Linotype" w:hAnsi="Palatino Linotype"/>
              </w:rPr>
              <w:t>QUAIL</w:t>
            </w:r>
            <w:r w:rsidRPr="00A46D28">
              <w:rPr>
                <w:rFonts w:ascii="Palatino Linotype" w:hAnsi="Palatino Linotype"/>
                <w:spacing w:val="-1"/>
              </w:rPr>
              <w:t xml:space="preserve"> </w:t>
            </w:r>
            <w:r w:rsidRPr="00C41703">
              <w:rPr>
                <w:rFonts w:ascii="Palatino Linotype" w:hAnsi="Palatino Linotype"/>
              </w:rPr>
              <w:t>TRAILS</w:t>
            </w:r>
            <w:r w:rsidRPr="00C41703">
              <w:rPr>
                <w:rFonts w:ascii="Palatino Linotype" w:hAnsi="Palatino Linotype"/>
                <w:spacing w:val="-2"/>
              </w:rPr>
              <w:t xml:space="preserve"> </w:t>
            </w:r>
            <w:r w:rsidRPr="00C41703">
              <w:rPr>
                <w:rFonts w:ascii="Palatino Linotype" w:hAnsi="Palatino Linotype"/>
              </w:rPr>
              <w:t>VILLAGE</w:t>
            </w:r>
          </w:p>
        </w:tc>
        <w:tc>
          <w:tcPr>
            <w:tcW w:w="4950" w:type="dxa"/>
            <w:shd w:val="clear" w:color="auto" w:fill="C5DFB4"/>
            <w:vAlign w:val="center"/>
          </w:tcPr>
          <w:p w:rsidRPr="00D2684E" w:rsidR="00E54E32" w:rsidP="00D2684E" w:rsidRDefault="00E54E32" w14:paraId="66ED87ED" w14:textId="77777777">
            <w:pPr>
              <w:pStyle w:val="TableParagraph"/>
              <w:spacing w:before="32"/>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2DCC34E1" w14:textId="77777777">
        <w:trPr>
          <w:trHeight w:val="299"/>
        </w:trPr>
        <w:tc>
          <w:tcPr>
            <w:tcW w:w="5940" w:type="dxa"/>
            <w:gridSpan w:val="3"/>
            <w:shd w:val="clear" w:color="auto" w:fill="DDEBF7"/>
            <w:vAlign w:val="center"/>
          </w:tcPr>
          <w:p w:rsidRPr="00D2684E" w:rsidR="00E54E32" w:rsidP="00D2684E" w:rsidRDefault="00733AC1" w14:paraId="13FEDFB8" w14:textId="2FC1251D">
            <w:pPr>
              <w:pStyle w:val="TableParagraph"/>
              <w:ind w:firstLine="518"/>
              <w:rPr>
                <w:rFonts w:ascii="Palatino Linotype" w:hAnsi="Palatino Linotype"/>
              </w:rPr>
            </w:pPr>
            <w:r w:rsidRPr="00A46D28">
              <w:rPr>
                <w:rFonts w:ascii="Palatino Linotype" w:hAnsi="Palatino Linotype"/>
              </w:rPr>
              <w:t>SHERWOOD</w:t>
            </w:r>
            <w:r w:rsidRPr="00A46D28">
              <w:rPr>
                <w:rFonts w:ascii="Palatino Linotype" w:hAnsi="Palatino Linotype"/>
                <w:spacing w:val="-1"/>
              </w:rPr>
              <w:t xml:space="preserve"> </w:t>
            </w:r>
            <w:r w:rsidRPr="00C41703">
              <w:rPr>
                <w:rFonts w:ascii="Palatino Linotype" w:hAnsi="Palatino Linotype"/>
              </w:rPr>
              <w:t>FOREST</w:t>
            </w:r>
            <w:r w:rsidRPr="00C41703">
              <w:rPr>
                <w:rFonts w:ascii="Palatino Linotype" w:hAnsi="Palatino Linotype"/>
                <w:spacing w:val="-4"/>
              </w:rPr>
              <w:t xml:space="preserve"> </w:t>
            </w:r>
            <w:r w:rsidRPr="00307EA0">
              <w:rPr>
                <w:rFonts w:ascii="Palatino Linotype" w:hAnsi="Palatino Linotype"/>
              </w:rPr>
              <w:t>M</w:t>
            </w:r>
            <w:r>
              <w:rPr>
                <w:rFonts w:ascii="Palatino Linotype" w:hAnsi="Palatino Linotype"/>
              </w:rPr>
              <w:t>HP</w:t>
            </w:r>
          </w:p>
        </w:tc>
        <w:tc>
          <w:tcPr>
            <w:tcW w:w="4950" w:type="dxa"/>
            <w:shd w:val="clear" w:color="auto" w:fill="C5DFB4"/>
            <w:vAlign w:val="center"/>
          </w:tcPr>
          <w:p w:rsidRPr="00D2684E" w:rsidR="00E54E32" w:rsidP="00D2684E" w:rsidRDefault="00E54E32" w14:paraId="33D94FC4"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5490CD35" w14:textId="77777777">
        <w:trPr>
          <w:trHeight w:val="299"/>
        </w:trPr>
        <w:tc>
          <w:tcPr>
            <w:tcW w:w="5940" w:type="dxa"/>
            <w:gridSpan w:val="3"/>
            <w:shd w:val="clear" w:color="auto" w:fill="DDEBF7"/>
            <w:vAlign w:val="center"/>
          </w:tcPr>
          <w:p w:rsidRPr="00D2684E" w:rsidR="00E54E32" w:rsidP="00D2684E" w:rsidRDefault="00733AC1" w14:paraId="50663ADA" w14:textId="084295AB">
            <w:pPr>
              <w:pStyle w:val="TableParagraph"/>
              <w:ind w:firstLine="518"/>
              <w:rPr>
                <w:rFonts w:ascii="Palatino Linotype" w:hAnsi="Palatino Linotype"/>
              </w:rPr>
            </w:pPr>
            <w:r w:rsidRPr="00A46D28">
              <w:rPr>
                <w:rFonts w:ascii="Palatino Linotype" w:hAnsi="Palatino Linotype"/>
              </w:rPr>
              <w:t>HOLLY</w:t>
            </w:r>
            <w:r w:rsidRPr="00A46D28">
              <w:rPr>
                <w:rFonts w:ascii="Palatino Linotype" w:hAnsi="Palatino Linotype"/>
                <w:spacing w:val="-3"/>
              </w:rPr>
              <w:t xml:space="preserve"> </w:t>
            </w:r>
            <w:r w:rsidRPr="00C41703">
              <w:rPr>
                <w:rFonts w:ascii="Palatino Linotype" w:hAnsi="Palatino Linotype"/>
              </w:rPr>
              <w:t>HILLS</w:t>
            </w:r>
            <w:r w:rsidRPr="00C41703">
              <w:rPr>
                <w:rFonts w:ascii="Palatino Linotype" w:hAnsi="Palatino Linotype"/>
                <w:spacing w:val="-4"/>
              </w:rPr>
              <w:t xml:space="preserve"> </w:t>
            </w:r>
            <w:r w:rsidRPr="00C41703">
              <w:rPr>
                <w:rFonts w:ascii="Palatino Linotype" w:hAnsi="Palatino Linotype"/>
              </w:rPr>
              <w:t>MOBILE</w:t>
            </w:r>
            <w:r w:rsidRPr="00C41703">
              <w:rPr>
                <w:rFonts w:ascii="Palatino Linotype" w:hAnsi="Palatino Linotype"/>
                <w:spacing w:val="-3"/>
              </w:rPr>
              <w:t xml:space="preserve"> </w:t>
            </w:r>
            <w:r w:rsidRPr="00C41703">
              <w:rPr>
                <w:rFonts w:ascii="Palatino Linotype" w:hAnsi="Palatino Linotype"/>
              </w:rPr>
              <w:t>ESTATES</w:t>
            </w:r>
          </w:p>
        </w:tc>
        <w:tc>
          <w:tcPr>
            <w:tcW w:w="4950" w:type="dxa"/>
            <w:shd w:val="clear" w:color="auto" w:fill="C5DFB4"/>
            <w:vAlign w:val="center"/>
          </w:tcPr>
          <w:p w:rsidRPr="00D2684E" w:rsidR="00E54E32" w:rsidP="00D2684E" w:rsidRDefault="00E54E32" w14:paraId="7CECABA3" w14:textId="77777777">
            <w:pPr>
              <w:pStyle w:val="TableParagraph"/>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Pr="00D2684E">
              <w:rPr>
                <w:rFonts w:ascii="Palatino Linotype" w:hAnsi="Palatino Linotype"/>
              </w:rPr>
              <w:t>Complete</w:t>
            </w:r>
          </w:p>
        </w:tc>
      </w:tr>
      <w:tr w:rsidRPr="00477079" w:rsidR="00477079" w:rsidTr="00A17B0C" w14:paraId="77214E5E" w14:textId="77777777">
        <w:trPr>
          <w:trHeight w:val="301"/>
        </w:trPr>
        <w:tc>
          <w:tcPr>
            <w:tcW w:w="5940" w:type="dxa"/>
            <w:gridSpan w:val="3"/>
            <w:shd w:val="clear" w:color="auto" w:fill="DDEBF7"/>
            <w:vAlign w:val="center"/>
          </w:tcPr>
          <w:p w:rsidRPr="00D2684E" w:rsidR="00E54E32" w:rsidP="00D2684E" w:rsidRDefault="00733AC1" w14:paraId="697387F2" w14:textId="4302B99D">
            <w:pPr>
              <w:pStyle w:val="TableParagraph"/>
              <w:spacing w:before="32"/>
              <w:ind w:firstLine="518"/>
              <w:rPr>
                <w:rFonts w:ascii="Palatino Linotype" w:hAnsi="Palatino Linotype"/>
              </w:rPr>
            </w:pPr>
            <w:r w:rsidRPr="00A46D28">
              <w:rPr>
                <w:rFonts w:ascii="Palatino Linotype" w:hAnsi="Palatino Linotype"/>
              </w:rPr>
              <w:t>EVERGREEN</w:t>
            </w:r>
            <w:r w:rsidRPr="00A46D28">
              <w:rPr>
                <w:rFonts w:ascii="Palatino Linotype" w:hAnsi="Palatino Linotype"/>
                <w:spacing w:val="-4"/>
              </w:rPr>
              <w:t xml:space="preserve"> </w:t>
            </w:r>
            <w:r w:rsidRPr="00307EA0">
              <w:rPr>
                <w:rFonts w:ascii="Palatino Linotype" w:hAnsi="Palatino Linotype"/>
              </w:rPr>
              <w:t>M</w:t>
            </w:r>
            <w:r>
              <w:rPr>
                <w:rFonts w:ascii="Palatino Linotype" w:hAnsi="Palatino Linotype"/>
              </w:rPr>
              <w:t>HP</w:t>
            </w:r>
          </w:p>
        </w:tc>
        <w:tc>
          <w:tcPr>
            <w:tcW w:w="4950" w:type="dxa"/>
            <w:shd w:val="clear" w:color="auto" w:fill="FFF1CC"/>
            <w:vAlign w:val="center"/>
          </w:tcPr>
          <w:p w:rsidRPr="00D2684E" w:rsidR="00E54E32" w:rsidP="00D2684E" w:rsidRDefault="00E54E32" w14:paraId="10333E69" w14:textId="1E101F26">
            <w:pPr>
              <w:pStyle w:val="TableParagraph"/>
              <w:spacing w:before="32"/>
              <w:ind w:firstLine="518"/>
              <w:rPr>
                <w:rFonts w:ascii="Palatino Linotype" w:hAnsi="Palatino Linotype"/>
              </w:rPr>
            </w:pPr>
            <w:r w:rsidRPr="00D2684E">
              <w:rPr>
                <w:rFonts w:ascii="Palatino Linotype" w:hAnsi="Palatino Linotype"/>
              </w:rPr>
              <w:t>Design</w:t>
            </w:r>
            <w:r w:rsidRPr="00D2684E">
              <w:rPr>
                <w:rFonts w:ascii="Palatino Linotype" w:hAnsi="Palatino Linotype"/>
                <w:spacing w:val="-2"/>
              </w:rPr>
              <w:t xml:space="preserve"> </w:t>
            </w:r>
            <w:r w:rsidR="00736E7F">
              <w:rPr>
                <w:rFonts w:ascii="Palatino Linotype" w:hAnsi="Palatino Linotype"/>
              </w:rPr>
              <w:t>i</w:t>
            </w:r>
            <w:r w:rsidRPr="00D2684E">
              <w:rPr>
                <w:rFonts w:ascii="Palatino Linotype" w:hAnsi="Palatino Linotype"/>
              </w:rPr>
              <w:t>n</w:t>
            </w:r>
            <w:r w:rsidRPr="00D2684E">
              <w:rPr>
                <w:rFonts w:ascii="Palatino Linotype" w:hAnsi="Palatino Linotype"/>
                <w:spacing w:val="-4"/>
              </w:rPr>
              <w:t xml:space="preserve"> </w:t>
            </w:r>
            <w:r w:rsidRPr="00D2684E">
              <w:rPr>
                <w:rFonts w:ascii="Palatino Linotype" w:hAnsi="Palatino Linotype"/>
              </w:rPr>
              <w:t>Progress</w:t>
            </w:r>
            <w:r w:rsidRPr="00D2684E">
              <w:rPr>
                <w:rFonts w:ascii="Palatino Linotype" w:hAnsi="Palatino Linotype"/>
                <w:spacing w:val="1"/>
              </w:rPr>
              <w:t xml:space="preserve"> </w:t>
            </w:r>
            <w:r w:rsidRPr="00D2684E">
              <w:rPr>
                <w:rFonts w:ascii="Palatino Linotype" w:hAnsi="Palatino Linotype"/>
              </w:rPr>
              <w:t>-</w:t>
            </w:r>
            <w:r w:rsidRPr="00D2684E">
              <w:rPr>
                <w:rFonts w:ascii="Palatino Linotype" w:hAnsi="Palatino Linotype"/>
                <w:spacing w:val="-4"/>
              </w:rPr>
              <w:t xml:space="preserve"> </w:t>
            </w:r>
            <w:r w:rsidRPr="00D2684E">
              <w:rPr>
                <w:rFonts w:ascii="Palatino Linotype" w:hAnsi="Palatino Linotype"/>
              </w:rPr>
              <w:t>9/5/19</w:t>
            </w:r>
          </w:p>
        </w:tc>
      </w:tr>
      <w:tr w:rsidRPr="00477079" w:rsidR="00477079" w:rsidTr="00A17B0C" w14:paraId="5B445980" w14:textId="77777777">
        <w:trPr>
          <w:trHeight w:val="299"/>
        </w:trPr>
        <w:tc>
          <w:tcPr>
            <w:tcW w:w="5940" w:type="dxa"/>
            <w:gridSpan w:val="3"/>
            <w:shd w:val="clear" w:color="auto" w:fill="DDEBF7"/>
            <w:vAlign w:val="center"/>
          </w:tcPr>
          <w:p w:rsidRPr="00D2684E" w:rsidR="00E54E32" w:rsidP="00D2684E" w:rsidRDefault="00733AC1" w14:paraId="7D9293CF" w14:textId="6D9469BB">
            <w:pPr>
              <w:pStyle w:val="TableParagraph"/>
              <w:ind w:firstLine="518"/>
              <w:rPr>
                <w:rFonts w:ascii="Palatino Linotype" w:hAnsi="Palatino Linotype"/>
              </w:rPr>
            </w:pPr>
            <w:r w:rsidRPr="00A46D28">
              <w:rPr>
                <w:rFonts w:ascii="Palatino Linotype" w:hAnsi="Palatino Linotype"/>
              </w:rPr>
              <w:t>SKYWAY</w:t>
            </w:r>
            <w:r w:rsidRPr="00A46D28">
              <w:rPr>
                <w:rFonts w:ascii="Palatino Linotype" w:hAnsi="Palatino Linotype"/>
                <w:spacing w:val="-4"/>
              </w:rPr>
              <w:t xml:space="preserve"> </w:t>
            </w:r>
            <w:r w:rsidRPr="00C41703">
              <w:rPr>
                <w:rFonts w:ascii="Palatino Linotype" w:hAnsi="Palatino Linotype"/>
              </w:rPr>
              <w:t>VILLA</w:t>
            </w:r>
            <w:r w:rsidRPr="00C41703">
              <w:rPr>
                <w:rFonts w:ascii="Palatino Linotype" w:hAnsi="Palatino Linotype"/>
                <w:spacing w:val="-4"/>
              </w:rPr>
              <w:t xml:space="preserve"> </w:t>
            </w:r>
            <w:r w:rsidRPr="00307EA0">
              <w:rPr>
                <w:rFonts w:ascii="Palatino Linotype" w:hAnsi="Palatino Linotype"/>
              </w:rPr>
              <w:t>M</w:t>
            </w:r>
            <w:r>
              <w:rPr>
                <w:rFonts w:ascii="Palatino Linotype" w:hAnsi="Palatino Linotype"/>
              </w:rPr>
              <w:t>HP</w:t>
            </w:r>
          </w:p>
        </w:tc>
        <w:tc>
          <w:tcPr>
            <w:tcW w:w="4950" w:type="dxa"/>
            <w:shd w:val="clear" w:color="auto" w:fill="F8CAAC"/>
            <w:vAlign w:val="center"/>
          </w:tcPr>
          <w:p w:rsidRPr="00D2684E" w:rsidR="00E54E32" w:rsidP="00D2684E" w:rsidRDefault="00E54E32" w14:paraId="7B3D59F7" w14:textId="77777777">
            <w:pPr>
              <w:pStyle w:val="TableParagraph"/>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2"/>
              </w:rPr>
              <w:t xml:space="preserve"> </w:t>
            </w:r>
            <w:r w:rsidRPr="00D2684E">
              <w:rPr>
                <w:rFonts w:ascii="Palatino Linotype" w:hAnsi="Palatino Linotype"/>
              </w:rPr>
              <w:t>Started</w:t>
            </w:r>
            <w:r w:rsidRPr="00D2684E">
              <w:rPr>
                <w:rFonts w:ascii="Palatino Linotype" w:hAnsi="Palatino Linotype"/>
                <w:spacing w:val="-4"/>
              </w:rPr>
              <w:t xml:space="preserve"> </w:t>
            </w:r>
            <w:r w:rsidRPr="00D2684E">
              <w:rPr>
                <w:rFonts w:ascii="Palatino Linotype" w:hAnsi="Palatino Linotype"/>
              </w:rPr>
              <w:t>Design -</w:t>
            </w:r>
            <w:r w:rsidRPr="00D2684E">
              <w:rPr>
                <w:rFonts w:ascii="Palatino Linotype" w:hAnsi="Palatino Linotype"/>
                <w:spacing w:val="-1"/>
              </w:rPr>
              <w:t xml:space="preserve"> </w:t>
            </w:r>
            <w:r w:rsidRPr="00D2684E">
              <w:rPr>
                <w:rFonts w:ascii="Palatino Linotype" w:hAnsi="Palatino Linotype"/>
              </w:rPr>
              <w:t>Scheduled</w:t>
            </w:r>
            <w:r w:rsidRPr="00D2684E">
              <w:rPr>
                <w:rFonts w:ascii="Palatino Linotype" w:hAnsi="Palatino Linotype"/>
                <w:spacing w:val="-3"/>
              </w:rPr>
              <w:t xml:space="preserve"> </w:t>
            </w:r>
            <w:r w:rsidRPr="00D2684E">
              <w:rPr>
                <w:rFonts w:ascii="Palatino Linotype" w:hAnsi="Palatino Linotype"/>
              </w:rPr>
              <w:t>5/17/21</w:t>
            </w:r>
          </w:p>
        </w:tc>
      </w:tr>
      <w:tr w:rsidRPr="00477079" w:rsidR="00477079" w:rsidTr="00A17B0C" w14:paraId="24E03D59" w14:textId="77777777">
        <w:trPr>
          <w:trHeight w:val="299"/>
        </w:trPr>
        <w:tc>
          <w:tcPr>
            <w:tcW w:w="5940" w:type="dxa"/>
            <w:gridSpan w:val="3"/>
            <w:shd w:val="clear" w:color="auto" w:fill="DDEBF7"/>
            <w:vAlign w:val="center"/>
          </w:tcPr>
          <w:p w:rsidRPr="00D2684E" w:rsidR="00E54E32" w:rsidP="00D2684E" w:rsidRDefault="00733AC1" w14:paraId="5E48D396" w14:textId="162A68C0">
            <w:pPr>
              <w:pStyle w:val="TableParagraph"/>
              <w:ind w:firstLine="518"/>
              <w:rPr>
                <w:rFonts w:ascii="Palatino Linotype" w:hAnsi="Palatino Linotype"/>
              </w:rPr>
            </w:pPr>
            <w:r w:rsidRPr="00A46D28">
              <w:rPr>
                <w:rFonts w:ascii="Palatino Linotype" w:hAnsi="Palatino Linotype"/>
              </w:rPr>
              <w:t>BIG</w:t>
            </w:r>
            <w:r w:rsidRPr="00A46D28">
              <w:rPr>
                <w:rFonts w:ascii="Palatino Linotype" w:hAnsi="Palatino Linotype"/>
                <w:spacing w:val="-1"/>
              </w:rPr>
              <w:t xml:space="preserve"> </w:t>
            </w:r>
            <w:r w:rsidRPr="00C41703">
              <w:rPr>
                <w:rFonts w:ascii="Palatino Linotype" w:hAnsi="Palatino Linotype"/>
              </w:rPr>
              <w:t>BEND</w:t>
            </w:r>
            <w:r w:rsidRPr="00C41703">
              <w:rPr>
                <w:rFonts w:ascii="Palatino Linotype" w:hAnsi="Palatino Linotype"/>
                <w:spacing w:val="-2"/>
              </w:rPr>
              <w:t xml:space="preserve"> </w:t>
            </w:r>
            <w:r w:rsidRPr="00307EA0">
              <w:rPr>
                <w:rFonts w:ascii="Palatino Linotype" w:hAnsi="Palatino Linotype"/>
              </w:rPr>
              <w:t>M</w:t>
            </w:r>
            <w:r>
              <w:rPr>
                <w:rFonts w:ascii="Palatino Linotype" w:hAnsi="Palatino Linotype"/>
              </w:rPr>
              <w:t>HP</w:t>
            </w:r>
          </w:p>
        </w:tc>
        <w:tc>
          <w:tcPr>
            <w:tcW w:w="4950" w:type="dxa"/>
            <w:shd w:val="clear" w:color="auto" w:fill="F8CAAC"/>
            <w:vAlign w:val="center"/>
          </w:tcPr>
          <w:p w:rsidRPr="00D2684E" w:rsidR="00E54E32" w:rsidP="00D2684E" w:rsidRDefault="00E54E32" w14:paraId="2AEA0992" w14:textId="77777777">
            <w:pPr>
              <w:pStyle w:val="TableParagraph"/>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18573C28" w14:textId="77777777">
        <w:trPr>
          <w:trHeight w:val="301"/>
        </w:trPr>
        <w:tc>
          <w:tcPr>
            <w:tcW w:w="5940" w:type="dxa"/>
            <w:gridSpan w:val="3"/>
            <w:shd w:val="clear" w:color="auto" w:fill="DDEBF7"/>
            <w:vAlign w:val="center"/>
          </w:tcPr>
          <w:p w:rsidRPr="00D2684E" w:rsidR="00E54E32" w:rsidP="00D2684E" w:rsidRDefault="00733AC1" w14:paraId="4BC63AD6" w14:textId="6F4E7CF7">
            <w:pPr>
              <w:pStyle w:val="TableParagraph"/>
              <w:spacing w:before="32"/>
              <w:ind w:firstLine="518"/>
              <w:rPr>
                <w:rFonts w:ascii="Palatino Linotype" w:hAnsi="Palatino Linotype"/>
              </w:rPr>
            </w:pPr>
            <w:r w:rsidRPr="00A46D28">
              <w:rPr>
                <w:rFonts w:ascii="Palatino Linotype" w:hAnsi="Palatino Linotype"/>
              </w:rPr>
              <w:t>BUTTE</w:t>
            </w:r>
            <w:r w:rsidRPr="00A46D28">
              <w:rPr>
                <w:rFonts w:ascii="Palatino Linotype" w:hAnsi="Palatino Linotype"/>
                <w:spacing w:val="-3"/>
              </w:rPr>
              <w:t xml:space="preserve"> </w:t>
            </w:r>
            <w:r w:rsidRPr="00C41703">
              <w:rPr>
                <w:rFonts w:ascii="Palatino Linotype" w:hAnsi="Palatino Linotype"/>
              </w:rPr>
              <w:t>CREEK</w:t>
            </w:r>
            <w:r w:rsidRPr="00C41703">
              <w:rPr>
                <w:rFonts w:ascii="Palatino Linotype" w:hAnsi="Palatino Linotype"/>
                <w:spacing w:val="-2"/>
              </w:rPr>
              <w:t xml:space="preserve"> </w:t>
            </w:r>
            <w:r w:rsidRPr="00307EA0">
              <w:rPr>
                <w:rFonts w:ascii="Palatino Linotype" w:hAnsi="Palatino Linotype"/>
              </w:rPr>
              <w:t>M</w:t>
            </w:r>
            <w:r>
              <w:rPr>
                <w:rFonts w:ascii="Palatino Linotype" w:hAnsi="Palatino Linotype"/>
              </w:rPr>
              <w:t>HP</w:t>
            </w:r>
          </w:p>
        </w:tc>
        <w:tc>
          <w:tcPr>
            <w:tcW w:w="4950" w:type="dxa"/>
            <w:shd w:val="clear" w:color="auto" w:fill="F8CAAC"/>
            <w:vAlign w:val="center"/>
          </w:tcPr>
          <w:p w:rsidRPr="00D2684E" w:rsidR="00E54E32" w:rsidP="00D2684E" w:rsidRDefault="00E54E32" w14:paraId="0ECC12DD" w14:textId="77777777">
            <w:pPr>
              <w:pStyle w:val="TableParagraph"/>
              <w:spacing w:before="32"/>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6ACB9010" w14:textId="77777777">
        <w:trPr>
          <w:trHeight w:val="299"/>
        </w:trPr>
        <w:tc>
          <w:tcPr>
            <w:tcW w:w="5940" w:type="dxa"/>
            <w:gridSpan w:val="3"/>
            <w:shd w:val="clear" w:color="auto" w:fill="DDEBF7"/>
            <w:vAlign w:val="center"/>
          </w:tcPr>
          <w:p w:rsidRPr="00D2684E" w:rsidR="00E54E32" w:rsidP="00D2684E" w:rsidRDefault="00733AC1" w14:paraId="7F7E20CF" w14:textId="53A986B5">
            <w:pPr>
              <w:pStyle w:val="TableParagraph"/>
              <w:ind w:firstLine="518"/>
              <w:rPr>
                <w:rFonts w:ascii="Palatino Linotype" w:hAnsi="Palatino Linotype"/>
              </w:rPr>
            </w:pPr>
            <w:r w:rsidRPr="00A46D28">
              <w:rPr>
                <w:rFonts w:ascii="Palatino Linotype" w:hAnsi="Palatino Linotype"/>
              </w:rPr>
              <w:t>PHEASANT</w:t>
            </w:r>
            <w:r w:rsidRPr="00A46D28">
              <w:rPr>
                <w:rFonts w:ascii="Palatino Linotype" w:hAnsi="Palatino Linotype"/>
                <w:spacing w:val="-3"/>
              </w:rPr>
              <w:t xml:space="preserve"> </w:t>
            </w:r>
            <w:r w:rsidRPr="00C41703">
              <w:rPr>
                <w:rFonts w:ascii="Palatino Linotype" w:hAnsi="Palatino Linotype"/>
              </w:rPr>
              <w:t>RIDGE</w:t>
            </w:r>
            <w:r w:rsidRPr="00C41703">
              <w:rPr>
                <w:rFonts w:ascii="Palatino Linotype" w:hAnsi="Palatino Linotype"/>
                <w:spacing w:val="-4"/>
              </w:rPr>
              <w:t xml:space="preserve"> </w:t>
            </w:r>
            <w:r w:rsidRPr="00C41703">
              <w:rPr>
                <w:rFonts w:ascii="Palatino Linotype" w:hAnsi="Palatino Linotype"/>
              </w:rPr>
              <w:t>MOBILE</w:t>
            </w:r>
            <w:r w:rsidRPr="00C41703">
              <w:rPr>
                <w:rFonts w:ascii="Palatino Linotype" w:hAnsi="Palatino Linotype"/>
                <w:spacing w:val="-4"/>
              </w:rPr>
              <w:t xml:space="preserve"> </w:t>
            </w:r>
            <w:r w:rsidRPr="00C41703">
              <w:rPr>
                <w:rFonts w:ascii="Palatino Linotype" w:hAnsi="Palatino Linotype"/>
              </w:rPr>
              <w:t>ESTATES</w:t>
            </w:r>
          </w:p>
        </w:tc>
        <w:tc>
          <w:tcPr>
            <w:tcW w:w="4950" w:type="dxa"/>
            <w:shd w:val="clear" w:color="auto" w:fill="F8CAAC"/>
            <w:vAlign w:val="center"/>
          </w:tcPr>
          <w:p w:rsidRPr="00D2684E" w:rsidR="00E54E32" w:rsidP="00D2684E" w:rsidRDefault="00E54E32" w14:paraId="24BD9119" w14:textId="77777777">
            <w:pPr>
              <w:pStyle w:val="TableParagraph"/>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20275EDA" w14:textId="77777777">
        <w:trPr>
          <w:trHeight w:val="299"/>
        </w:trPr>
        <w:tc>
          <w:tcPr>
            <w:tcW w:w="5940" w:type="dxa"/>
            <w:gridSpan w:val="3"/>
            <w:shd w:val="clear" w:color="auto" w:fill="DDEBF7"/>
            <w:vAlign w:val="center"/>
          </w:tcPr>
          <w:p w:rsidRPr="00D2684E" w:rsidR="00E54E32" w:rsidP="00D2684E" w:rsidRDefault="00733AC1" w14:paraId="60275D60" w14:textId="49CE3FEB">
            <w:pPr>
              <w:pStyle w:val="TableParagraph"/>
              <w:ind w:firstLine="518"/>
              <w:rPr>
                <w:rFonts w:ascii="Palatino Linotype" w:hAnsi="Palatino Linotype"/>
              </w:rPr>
            </w:pPr>
            <w:r w:rsidRPr="00A46D28">
              <w:rPr>
                <w:rFonts w:ascii="Palatino Linotype" w:hAnsi="Palatino Linotype"/>
              </w:rPr>
              <w:t>PINE</w:t>
            </w:r>
            <w:r w:rsidRPr="00A46D28">
              <w:rPr>
                <w:rFonts w:ascii="Palatino Linotype" w:hAnsi="Palatino Linotype"/>
                <w:spacing w:val="-2"/>
              </w:rPr>
              <w:t xml:space="preserve"> </w:t>
            </w:r>
            <w:r w:rsidRPr="00C41703">
              <w:rPr>
                <w:rFonts w:ascii="Palatino Linotype" w:hAnsi="Palatino Linotype"/>
              </w:rPr>
              <w:t>SPRINGS</w:t>
            </w:r>
            <w:r w:rsidRPr="00C41703">
              <w:rPr>
                <w:rFonts w:ascii="Palatino Linotype" w:hAnsi="Palatino Linotype"/>
                <w:spacing w:val="-2"/>
              </w:rPr>
              <w:t xml:space="preserve"> </w:t>
            </w:r>
            <w:r w:rsidRPr="00307EA0">
              <w:rPr>
                <w:rFonts w:ascii="Palatino Linotype" w:hAnsi="Palatino Linotype"/>
              </w:rPr>
              <w:t>M</w:t>
            </w:r>
            <w:r>
              <w:rPr>
                <w:rFonts w:ascii="Palatino Linotype" w:hAnsi="Palatino Linotype"/>
              </w:rPr>
              <w:t>HP</w:t>
            </w:r>
          </w:p>
        </w:tc>
        <w:tc>
          <w:tcPr>
            <w:tcW w:w="4950" w:type="dxa"/>
            <w:shd w:val="clear" w:color="auto" w:fill="F8CAAC"/>
            <w:vAlign w:val="center"/>
          </w:tcPr>
          <w:p w:rsidRPr="00D2684E" w:rsidR="00E54E32" w:rsidP="00D2684E" w:rsidRDefault="00E54E32" w14:paraId="613607A9" w14:textId="77777777">
            <w:pPr>
              <w:pStyle w:val="TableParagraph"/>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0D00CFC1" w14:textId="77777777">
        <w:trPr>
          <w:trHeight w:val="301"/>
        </w:trPr>
        <w:tc>
          <w:tcPr>
            <w:tcW w:w="5940" w:type="dxa"/>
            <w:gridSpan w:val="3"/>
            <w:shd w:val="clear" w:color="auto" w:fill="DDEBF7"/>
            <w:vAlign w:val="center"/>
          </w:tcPr>
          <w:p w:rsidRPr="00D2684E" w:rsidR="00E54E32" w:rsidP="00D2684E" w:rsidRDefault="00733AC1" w14:paraId="1526E5B8" w14:textId="28CAE1AF">
            <w:pPr>
              <w:pStyle w:val="TableParagraph"/>
              <w:spacing w:before="32"/>
              <w:ind w:firstLine="518"/>
              <w:rPr>
                <w:rFonts w:ascii="Palatino Linotype" w:hAnsi="Palatino Linotype"/>
              </w:rPr>
            </w:pPr>
            <w:r w:rsidRPr="00A46D28">
              <w:rPr>
                <w:rFonts w:ascii="Palatino Linotype" w:hAnsi="Palatino Linotype"/>
              </w:rPr>
              <w:t>PINECREST</w:t>
            </w:r>
            <w:r w:rsidRPr="00A46D28">
              <w:rPr>
                <w:rFonts w:ascii="Palatino Linotype" w:hAnsi="Palatino Linotype"/>
                <w:spacing w:val="-4"/>
              </w:rPr>
              <w:t xml:space="preserve"> </w:t>
            </w:r>
            <w:r w:rsidRPr="00307EA0">
              <w:rPr>
                <w:rFonts w:ascii="Palatino Linotype" w:hAnsi="Palatino Linotype"/>
              </w:rPr>
              <w:t>M</w:t>
            </w:r>
            <w:r>
              <w:rPr>
                <w:rFonts w:ascii="Palatino Linotype" w:hAnsi="Palatino Linotype"/>
              </w:rPr>
              <w:t>HP</w:t>
            </w:r>
          </w:p>
        </w:tc>
        <w:tc>
          <w:tcPr>
            <w:tcW w:w="4950" w:type="dxa"/>
            <w:shd w:val="clear" w:color="auto" w:fill="F8CAAC"/>
            <w:vAlign w:val="center"/>
          </w:tcPr>
          <w:p w:rsidRPr="00D2684E" w:rsidR="00E54E32" w:rsidP="00D2684E" w:rsidRDefault="00E54E32" w14:paraId="10477586" w14:textId="77777777">
            <w:pPr>
              <w:pStyle w:val="TableParagraph"/>
              <w:spacing w:before="32"/>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1464AE85" w14:textId="77777777">
        <w:trPr>
          <w:trHeight w:val="299"/>
        </w:trPr>
        <w:tc>
          <w:tcPr>
            <w:tcW w:w="5940" w:type="dxa"/>
            <w:gridSpan w:val="3"/>
            <w:shd w:val="clear" w:color="auto" w:fill="DDEBF7"/>
            <w:vAlign w:val="center"/>
          </w:tcPr>
          <w:p w:rsidRPr="00D2684E" w:rsidR="00E54E32" w:rsidP="00D2684E" w:rsidRDefault="00733AC1" w14:paraId="2A9CD8E2" w14:textId="2DB018B2">
            <w:pPr>
              <w:pStyle w:val="TableParagraph"/>
              <w:ind w:firstLine="518"/>
              <w:rPr>
                <w:rFonts w:ascii="Palatino Linotype" w:hAnsi="Palatino Linotype"/>
              </w:rPr>
            </w:pPr>
            <w:r w:rsidRPr="00A46D28">
              <w:rPr>
                <w:rFonts w:ascii="Palatino Linotype" w:hAnsi="Palatino Linotype"/>
              </w:rPr>
              <w:t>RIDGEWOOD</w:t>
            </w:r>
            <w:r w:rsidRPr="00A46D28">
              <w:rPr>
                <w:rFonts w:ascii="Palatino Linotype" w:hAnsi="Palatino Linotype"/>
                <w:spacing w:val="-2"/>
              </w:rPr>
              <w:t xml:space="preserve"> </w:t>
            </w:r>
            <w:r w:rsidRPr="00307EA0">
              <w:rPr>
                <w:rFonts w:ascii="Palatino Linotype" w:hAnsi="Palatino Linotype"/>
              </w:rPr>
              <w:t>M</w:t>
            </w:r>
            <w:r>
              <w:rPr>
                <w:rFonts w:ascii="Palatino Linotype" w:hAnsi="Palatino Linotype"/>
              </w:rPr>
              <w:t>H</w:t>
            </w:r>
          </w:p>
        </w:tc>
        <w:tc>
          <w:tcPr>
            <w:tcW w:w="4950" w:type="dxa"/>
            <w:shd w:val="clear" w:color="auto" w:fill="F8CAAC"/>
            <w:vAlign w:val="center"/>
          </w:tcPr>
          <w:p w:rsidRPr="00D2684E" w:rsidR="00E54E32" w:rsidP="00D2684E" w:rsidRDefault="00E54E32" w14:paraId="5E391B55" w14:textId="77777777">
            <w:pPr>
              <w:pStyle w:val="TableParagraph"/>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1E304B33" w14:textId="77777777">
        <w:trPr>
          <w:trHeight w:val="299"/>
        </w:trPr>
        <w:tc>
          <w:tcPr>
            <w:tcW w:w="5940" w:type="dxa"/>
            <w:gridSpan w:val="3"/>
            <w:shd w:val="clear" w:color="auto" w:fill="DDEBF7"/>
            <w:vAlign w:val="center"/>
          </w:tcPr>
          <w:p w:rsidRPr="00D2684E" w:rsidR="00E54E32" w:rsidP="00D2684E" w:rsidRDefault="00733AC1" w14:paraId="0D4B5E2B" w14:textId="4E5CD38E">
            <w:pPr>
              <w:pStyle w:val="TableParagraph"/>
              <w:ind w:firstLine="518"/>
              <w:rPr>
                <w:rFonts w:ascii="Palatino Linotype" w:hAnsi="Palatino Linotype"/>
              </w:rPr>
            </w:pPr>
            <w:r w:rsidRPr="00A46D28">
              <w:rPr>
                <w:rFonts w:ascii="Palatino Linotype" w:hAnsi="Palatino Linotype"/>
              </w:rPr>
              <w:t>CAPE</w:t>
            </w:r>
            <w:r w:rsidRPr="00A46D28">
              <w:rPr>
                <w:rFonts w:ascii="Palatino Linotype" w:hAnsi="Palatino Linotype"/>
                <w:spacing w:val="-2"/>
              </w:rPr>
              <w:t xml:space="preserve"> </w:t>
            </w:r>
            <w:r w:rsidRPr="00C41703">
              <w:rPr>
                <w:rFonts w:ascii="Palatino Linotype" w:hAnsi="Palatino Linotype"/>
              </w:rPr>
              <w:t>COD</w:t>
            </w:r>
            <w:r w:rsidRPr="00C41703">
              <w:rPr>
                <w:rFonts w:ascii="Palatino Linotype" w:hAnsi="Palatino Linotype"/>
                <w:spacing w:val="-3"/>
              </w:rPr>
              <w:t xml:space="preserve"> </w:t>
            </w:r>
            <w:r w:rsidRPr="00C41703">
              <w:rPr>
                <w:rFonts w:ascii="Palatino Linotype" w:hAnsi="Palatino Linotype"/>
              </w:rPr>
              <w:t>MOBILE</w:t>
            </w:r>
            <w:r w:rsidRPr="00C41703">
              <w:rPr>
                <w:rFonts w:ascii="Palatino Linotype" w:hAnsi="Palatino Linotype"/>
                <w:spacing w:val="-3"/>
              </w:rPr>
              <w:t xml:space="preserve"> </w:t>
            </w:r>
            <w:r w:rsidRPr="00C41703">
              <w:rPr>
                <w:rFonts w:ascii="Palatino Linotype" w:hAnsi="Palatino Linotype"/>
              </w:rPr>
              <w:t>ESTATES</w:t>
            </w:r>
          </w:p>
        </w:tc>
        <w:tc>
          <w:tcPr>
            <w:tcW w:w="4950" w:type="dxa"/>
            <w:shd w:val="clear" w:color="auto" w:fill="F8CAAC"/>
            <w:vAlign w:val="center"/>
          </w:tcPr>
          <w:p w:rsidRPr="00D2684E" w:rsidR="00E54E32" w:rsidP="00D2684E" w:rsidRDefault="00E54E32" w14:paraId="1F684B8C" w14:textId="77777777">
            <w:pPr>
              <w:pStyle w:val="TableParagraph"/>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61EAD2A2" w14:textId="77777777">
        <w:trPr>
          <w:trHeight w:val="301"/>
        </w:trPr>
        <w:tc>
          <w:tcPr>
            <w:tcW w:w="5940" w:type="dxa"/>
            <w:gridSpan w:val="3"/>
            <w:shd w:val="clear" w:color="auto" w:fill="DDEBF7"/>
            <w:vAlign w:val="center"/>
          </w:tcPr>
          <w:p w:rsidRPr="00D2684E" w:rsidR="00E54E32" w:rsidP="00D2684E" w:rsidRDefault="00733AC1" w14:paraId="187673D9" w14:textId="0AD9C9C9">
            <w:pPr>
              <w:pStyle w:val="TableParagraph"/>
              <w:spacing w:before="32"/>
              <w:ind w:firstLine="518"/>
              <w:rPr>
                <w:rFonts w:ascii="Palatino Linotype" w:hAnsi="Palatino Linotype"/>
              </w:rPr>
            </w:pPr>
            <w:r w:rsidRPr="00A46D28">
              <w:rPr>
                <w:rFonts w:ascii="Palatino Linotype" w:hAnsi="Palatino Linotype"/>
              </w:rPr>
              <w:t>LIME</w:t>
            </w:r>
            <w:r w:rsidRPr="00A46D28">
              <w:rPr>
                <w:rFonts w:ascii="Palatino Linotype" w:hAnsi="Palatino Linotype"/>
                <w:spacing w:val="-1"/>
              </w:rPr>
              <w:t xml:space="preserve"> </w:t>
            </w:r>
            <w:r w:rsidRPr="00C41703">
              <w:rPr>
                <w:rFonts w:ascii="Palatino Linotype" w:hAnsi="Palatino Linotype"/>
              </w:rPr>
              <w:t>SADDLE</w:t>
            </w:r>
            <w:r w:rsidRPr="00C41703">
              <w:rPr>
                <w:rFonts w:ascii="Palatino Linotype" w:hAnsi="Palatino Linotype"/>
                <w:spacing w:val="-4"/>
              </w:rPr>
              <w:t xml:space="preserve"> </w:t>
            </w:r>
            <w:r w:rsidRPr="00C41703">
              <w:rPr>
                <w:rFonts w:ascii="Palatino Linotype" w:hAnsi="Palatino Linotype"/>
              </w:rPr>
              <w:t>MOBILE</w:t>
            </w:r>
            <w:r w:rsidRPr="00C41703">
              <w:rPr>
                <w:rFonts w:ascii="Palatino Linotype" w:hAnsi="Palatino Linotype"/>
                <w:spacing w:val="-3"/>
              </w:rPr>
              <w:t xml:space="preserve"> </w:t>
            </w:r>
            <w:r w:rsidRPr="00C41703">
              <w:rPr>
                <w:rFonts w:ascii="Palatino Linotype" w:hAnsi="Palatino Linotype"/>
              </w:rPr>
              <w:t>ESTATES</w:t>
            </w:r>
          </w:p>
        </w:tc>
        <w:tc>
          <w:tcPr>
            <w:tcW w:w="4950" w:type="dxa"/>
            <w:shd w:val="clear" w:color="auto" w:fill="F8CAAC"/>
            <w:vAlign w:val="center"/>
          </w:tcPr>
          <w:p w:rsidRPr="00D2684E" w:rsidR="00E54E32" w:rsidP="00D2684E" w:rsidRDefault="00E54E32" w14:paraId="13471C62" w14:textId="77777777">
            <w:pPr>
              <w:pStyle w:val="TableParagraph"/>
              <w:spacing w:before="32"/>
              <w:ind w:firstLine="518"/>
              <w:rPr>
                <w:rFonts w:ascii="Palatino Linotype" w:hAnsi="Palatino Linotype"/>
              </w:rPr>
            </w:pPr>
            <w:r w:rsidRPr="00D2684E">
              <w:rPr>
                <w:rFonts w:ascii="Palatino Linotype" w:hAnsi="Palatino Linotype"/>
              </w:rPr>
              <w:t>Not</w:t>
            </w:r>
            <w:r w:rsidRPr="00D2684E">
              <w:rPr>
                <w:rFonts w:ascii="Palatino Linotype" w:hAnsi="Palatino Linotype"/>
                <w:spacing w:val="-1"/>
              </w:rPr>
              <w:t xml:space="preserve"> </w:t>
            </w:r>
            <w:r w:rsidRPr="00D2684E">
              <w:rPr>
                <w:rFonts w:ascii="Palatino Linotype" w:hAnsi="Palatino Linotype"/>
              </w:rPr>
              <w:t>Started</w:t>
            </w:r>
            <w:r w:rsidRPr="00D2684E">
              <w:rPr>
                <w:rFonts w:ascii="Palatino Linotype" w:hAnsi="Palatino Linotype"/>
                <w:spacing w:val="-3"/>
              </w:rPr>
              <w:t xml:space="preserve"> </w:t>
            </w:r>
            <w:r w:rsidRPr="00D2684E">
              <w:rPr>
                <w:rFonts w:ascii="Palatino Linotype" w:hAnsi="Palatino Linotype"/>
              </w:rPr>
              <w:t>Design</w:t>
            </w:r>
          </w:p>
        </w:tc>
      </w:tr>
      <w:tr w:rsidRPr="00477079" w:rsidR="00477079" w:rsidTr="00A17B0C" w14:paraId="4DA8F6A7" w14:textId="77777777">
        <w:trPr>
          <w:trHeight w:val="299"/>
        </w:trPr>
        <w:tc>
          <w:tcPr>
            <w:tcW w:w="5940" w:type="dxa"/>
            <w:gridSpan w:val="3"/>
            <w:shd w:val="clear" w:color="auto" w:fill="DDEBF7"/>
            <w:vAlign w:val="center"/>
          </w:tcPr>
          <w:p w:rsidRPr="00D2684E" w:rsidR="00E54E32" w:rsidP="00D2684E" w:rsidRDefault="00733AC1" w14:paraId="0CB9D27B" w14:textId="10065F4B">
            <w:pPr>
              <w:pStyle w:val="TableParagraph"/>
              <w:ind w:firstLine="518"/>
              <w:rPr>
                <w:rFonts w:ascii="Palatino Linotype" w:hAnsi="Palatino Linotype"/>
              </w:rPr>
            </w:pPr>
            <w:r w:rsidRPr="00A46D28">
              <w:rPr>
                <w:rFonts w:ascii="Palatino Linotype" w:hAnsi="Palatino Linotype"/>
              </w:rPr>
              <w:t>APPLE</w:t>
            </w:r>
            <w:r w:rsidRPr="00A46D28">
              <w:rPr>
                <w:rFonts w:ascii="Palatino Linotype" w:hAnsi="Palatino Linotype"/>
                <w:spacing w:val="-3"/>
              </w:rPr>
              <w:t xml:space="preserve"> </w:t>
            </w:r>
            <w:r w:rsidRPr="00C41703">
              <w:rPr>
                <w:rFonts w:ascii="Palatino Linotype" w:hAnsi="Palatino Linotype"/>
              </w:rPr>
              <w:t>TREE</w:t>
            </w:r>
            <w:r w:rsidRPr="00C41703">
              <w:rPr>
                <w:rFonts w:ascii="Palatino Linotype" w:hAnsi="Palatino Linotype"/>
                <w:spacing w:val="-3"/>
              </w:rPr>
              <w:t xml:space="preserve"> </w:t>
            </w:r>
            <w:r w:rsidRPr="00C41703">
              <w:rPr>
                <w:rFonts w:ascii="Palatino Linotype" w:hAnsi="Palatino Linotype"/>
              </w:rPr>
              <w:t>VILLAGE</w:t>
            </w:r>
          </w:p>
        </w:tc>
        <w:tc>
          <w:tcPr>
            <w:tcW w:w="4950" w:type="dxa"/>
            <w:shd w:val="clear" w:color="auto" w:fill="A6A6A6"/>
            <w:vAlign w:val="center"/>
          </w:tcPr>
          <w:p w:rsidRPr="00D2684E" w:rsidR="00E54E32" w:rsidP="00D2684E" w:rsidRDefault="00E54E32" w14:paraId="4FCC7ED1" w14:textId="77777777">
            <w:pPr>
              <w:pStyle w:val="TableParagraph"/>
              <w:ind w:firstLine="518"/>
              <w:rPr>
                <w:rFonts w:ascii="Palatino Linotype" w:hAnsi="Palatino Linotype"/>
              </w:rPr>
            </w:pPr>
            <w:r w:rsidRPr="00D2684E">
              <w:rPr>
                <w:rFonts w:ascii="Palatino Linotype" w:hAnsi="Palatino Linotype"/>
              </w:rPr>
              <w:t>No PG&amp;E</w:t>
            </w:r>
            <w:r w:rsidRPr="00D2684E">
              <w:rPr>
                <w:rFonts w:ascii="Palatino Linotype" w:hAnsi="Palatino Linotype"/>
                <w:spacing w:val="-2"/>
              </w:rPr>
              <w:t xml:space="preserve"> </w:t>
            </w:r>
            <w:r w:rsidRPr="00D2684E">
              <w:rPr>
                <w:rFonts w:ascii="Palatino Linotype" w:hAnsi="Palatino Linotype"/>
              </w:rPr>
              <w:t>App</w:t>
            </w:r>
            <w:r w:rsidRPr="00D2684E">
              <w:rPr>
                <w:rFonts w:ascii="Palatino Linotype" w:hAnsi="Palatino Linotype"/>
                <w:spacing w:val="-1"/>
              </w:rPr>
              <w:t xml:space="preserve"> </w:t>
            </w:r>
            <w:r w:rsidRPr="00D2684E">
              <w:rPr>
                <w:rFonts w:ascii="Palatino Linotype" w:hAnsi="Palatino Linotype"/>
              </w:rPr>
              <w:t>Received</w:t>
            </w:r>
          </w:p>
        </w:tc>
      </w:tr>
      <w:tr w:rsidRPr="00477079" w:rsidR="00477079" w:rsidTr="00A17B0C" w14:paraId="49B0C4E0" w14:textId="77777777">
        <w:trPr>
          <w:trHeight w:val="301"/>
        </w:trPr>
        <w:tc>
          <w:tcPr>
            <w:tcW w:w="5940" w:type="dxa"/>
            <w:gridSpan w:val="3"/>
            <w:shd w:val="clear" w:color="auto" w:fill="DDEBF7"/>
            <w:vAlign w:val="center"/>
          </w:tcPr>
          <w:p w:rsidRPr="00D2684E" w:rsidR="00E54E32" w:rsidP="00D2684E" w:rsidRDefault="00733AC1" w14:paraId="2B43BCD8" w14:textId="285D27E1">
            <w:pPr>
              <w:pStyle w:val="TableParagraph"/>
              <w:spacing w:line="251" w:lineRule="exact"/>
              <w:ind w:firstLine="518"/>
              <w:rPr>
                <w:rFonts w:ascii="Palatino Linotype" w:hAnsi="Palatino Linotype"/>
              </w:rPr>
            </w:pPr>
            <w:r w:rsidRPr="00A46D28">
              <w:rPr>
                <w:rFonts w:ascii="Palatino Linotype" w:hAnsi="Palatino Linotype"/>
              </w:rPr>
              <w:t>CANYON</w:t>
            </w:r>
            <w:r w:rsidRPr="00A46D28">
              <w:rPr>
                <w:rFonts w:ascii="Palatino Linotype" w:hAnsi="Palatino Linotype"/>
                <w:spacing w:val="-3"/>
              </w:rPr>
              <w:t xml:space="preserve"> </w:t>
            </w:r>
            <w:r w:rsidRPr="00C41703">
              <w:rPr>
                <w:rFonts w:ascii="Palatino Linotype" w:hAnsi="Palatino Linotype"/>
              </w:rPr>
              <w:t>VIEW</w:t>
            </w:r>
            <w:r w:rsidRPr="00C41703">
              <w:rPr>
                <w:rFonts w:ascii="Palatino Linotype" w:hAnsi="Palatino Linotype"/>
                <w:spacing w:val="-4"/>
              </w:rPr>
              <w:t xml:space="preserve"> </w:t>
            </w:r>
            <w:r w:rsidRPr="00C41703">
              <w:rPr>
                <w:rFonts w:ascii="Palatino Linotype" w:hAnsi="Palatino Linotype"/>
              </w:rPr>
              <w:t>ESTATES</w:t>
            </w:r>
          </w:p>
        </w:tc>
        <w:tc>
          <w:tcPr>
            <w:tcW w:w="4950" w:type="dxa"/>
            <w:shd w:val="clear" w:color="auto" w:fill="A6A6A6"/>
            <w:vAlign w:val="center"/>
          </w:tcPr>
          <w:p w:rsidRPr="00D2684E" w:rsidR="00E54E32" w:rsidP="00D2684E" w:rsidRDefault="00E54E32" w14:paraId="60B0630A" w14:textId="77777777">
            <w:pPr>
              <w:pStyle w:val="TableParagraph"/>
              <w:spacing w:line="251" w:lineRule="exact"/>
              <w:ind w:firstLine="518"/>
              <w:rPr>
                <w:rFonts w:ascii="Palatino Linotype" w:hAnsi="Palatino Linotype"/>
              </w:rPr>
            </w:pPr>
            <w:r w:rsidRPr="00D2684E">
              <w:rPr>
                <w:rFonts w:ascii="Palatino Linotype" w:hAnsi="Palatino Linotype"/>
              </w:rPr>
              <w:t>No PG&amp;E</w:t>
            </w:r>
            <w:r w:rsidRPr="00D2684E">
              <w:rPr>
                <w:rFonts w:ascii="Palatino Linotype" w:hAnsi="Palatino Linotype"/>
                <w:spacing w:val="-2"/>
              </w:rPr>
              <w:t xml:space="preserve"> </w:t>
            </w:r>
            <w:r w:rsidRPr="00D2684E">
              <w:rPr>
                <w:rFonts w:ascii="Palatino Linotype" w:hAnsi="Palatino Linotype"/>
              </w:rPr>
              <w:t>App</w:t>
            </w:r>
            <w:r w:rsidRPr="00D2684E">
              <w:rPr>
                <w:rFonts w:ascii="Palatino Linotype" w:hAnsi="Palatino Linotype"/>
                <w:spacing w:val="-1"/>
              </w:rPr>
              <w:t xml:space="preserve"> </w:t>
            </w:r>
            <w:r w:rsidRPr="00D2684E">
              <w:rPr>
                <w:rFonts w:ascii="Palatino Linotype" w:hAnsi="Palatino Linotype"/>
              </w:rPr>
              <w:t>Received</w:t>
            </w:r>
          </w:p>
        </w:tc>
      </w:tr>
      <w:tr w:rsidRPr="00477079" w:rsidR="0018346C" w:rsidTr="00D2684E" w14:paraId="13431215"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DDEBF7"/>
            <w:vAlign w:val="center"/>
          </w:tcPr>
          <w:p w:rsidRPr="00D2684E" w:rsidR="004E4802" w:rsidP="00D2684E" w:rsidRDefault="00733AC1" w14:paraId="445DCC1B" w14:textId="5D67B97F">
            <w:pPr>
              <w:pStyle w:val="TableParagraph"/>
              <w:spacing w:line="251" w:lineRule="exact"/>
              <w:ind w:firstLine="518"/>
              <w:rPr>
                <w:rFonts w:ascii="Palatino Linotype" w:hAnsi="Palatino Linotype"/>
              </w:rPr>
            </w:pPr>
            <w:r w:rsidRPr="00A46D28">
              <w:rPr>
                <w:rFonts w:ascii="Palatino Linotype" w:hAnsi="Palatino Linotype"/>
              </w:rPr>
              <w:t>PARADISE T</w:t>
            </w:r>
            <w:r>
              <w:rPr>
                <w:rFonts w:ascii="Palatino Linotype" w:hAnsi="Palatino Linotype"/>
              </w:rPr>
              <w:t>P</w:t>
            </w:r>
          </w:p>
        </w:tc>
        <w:tc>
          <w:tcPr>
            <w:tcW w:w="495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D2684E" w:rsidR="004E4802" w:rsidP="00D2684E" w:rsidRDefault="004E4802" w14:paraId="5D6BFFD9" w14:textId="77777777">
            <w:pPr>
              <w:pStyle w:val="TableParagraph"/>
              <w:spacing w:line="251" w:lineRule="exact"/>
              <w:ind w:firstLine="518"/>
              <w:rPr>
                <w:rFonts w:ascii="Palatino Linotype" w:hAnsi="Palatino Linotype"/>
              </w:rPr>
            </w:pPr>
            <w:r w:rsidRPr="00D2684E">
              <w:rPr>
                <w:rFonts w:ascii="Palatino Linotype" w:hAnsi="Palatino Linotype"/>
              </w:rPr>
              <w:t>No PG&amp;E App Received</w:t>
            </w:r>
          </w:p>
        </w:tc>
      </w:tr>
      <w:tr w:rsidRPr="00477079" w:rsidR="0018346C" w:rsidTr="00D2684E" w14:paraId="52D7405D"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DDEBF7"/>
            <w:vAlign w:val="center"/>
          </w:tcPr>
          <w:p w:rsidRPr="00D2684E" w:rsidR="004E4802" w:rsidP="00D2684E" w:rsidRDefault="00733AC1" w14:paraId="0F1978D6" w14:textId="397B0E40">
            <w:pPr>
              <w:pStyle w:val="TableParagraph"/>
              <w:spacing w:line="251" w:lineRule="exact"/>
              <w:ind w:firstLine="518"/>
              <w:rPr>
                <w:rFonts w:ascii="Palatino Linotype" w:hAnsi="Palatino Linotype"/>
              </w:rPr>
            </w:pPr>
            <w:r w:rsidRPr="00477079">
              <w:rPr>
                <w:rFonts w:ascii="Palatino Linotype" w:hAnsi="Palatino Linotype"/>
              </w:rPr>
              <w:t xml:space="preserve">PINE VIEW HEIGHTS </w:t>
            </w:r>
            <w:r w:rsidRPr="00307EA0">
              <w:rPr>
                <w:rFonts w:ascii="Palatino Linotype" w:hAnsi="Palatino Linotype"/>
              </w:rPr>
              <w:t>M</w:t>
            </w:r>
            <w:r>
              <w:rPr>
                <w:rFonts w:ascii="Palatino Linotype" w:hAnsi="Palatino Linotype"/>
              </w:rPr>
              <w:t>HP</w:t>
            </w:r>
          </w:p>
        </w:tc>
        <w:tc>
          <w:tcPr>
            <w:tcW w:w="495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D2684E" w:rsidR="004E4802" w:rsidP="00D2684E" w:rsidRDefault="004E4802" w14:paraId="5F3D6EF9" w14:textId="77777777">
            <w:pPr>
              <w:pStyle w:val="TableParagraph"/>
              <w:spacing w:line="251" w:lineRule="exact"/>
              <w:ind w:firstLine="518"/>
              <w:rPr>
                <w:rFonts w:ascii="Palatino Linotype" w:hAnsi="Palatino Linotype"/>
              </w:rPr>
            </w:pPr>
            <w:r w:rsidRPr="00D2684E">
              <w:rPr>
                <w:rFonts w:ascii="Palatino Linotype" w:hAnsi="Palatino Linotype"/>
              </w:rPr>
              <w:t>No PG&amp;E App Received</w:t>
            </w:r>
          </w:p>
        </w:tc>
      </w:tr>
      <w:tr w:rsidRPr="00477079" w:rsidR="0018346C" w:rsidTr="00D2684E" w14:paraId="37D653DF"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DDEBF7"/>
            <w:vAlign w:val="center"/>
          </w:tcPr>
          <w:p w:rsidRPr="00D2684E" w:rsidR="004E4802" w:rsidP="00D2684E" w:rsidRDefault="00733AC1" w14:paraId="26CD1DEE" w14:textId="3DC94535">
            <w:pPr>
              <w:pStyle w:val="TableParagraph"/>
              <w:spacing w:line="251" w:lineRule="exact"/>
              <w:ind w:firstLine="518"/>
              <w:rPr>
                <w:rFonts w:ascii="Palatino Linotype" w:hAnsi="Palatino Linotype"/>
              </w:rPr>
            </w:pPr>
            <w:r w:rsidRPr="00477079">
              <w:rPr>
                <w:rFonts w:ascii="Palatino Linotype" w:hAnsi="Palatino Linotype"/>
              </w:rPr>
              <w:t>ROCKY LANE M</w:t>
            </w:r>
            <w:r>
              <w:rPr>
                <w:rFonts w:ascii="Palatino Linotype" w:hAnsi="Palatino Linotype"/>
              </w:rPr>
              <w:t>P</w:t>
            </w:r>
          </w:p>
        </w:tc>
        <w:tc>
          <w:tcPr>
            <w:tcW w:w="495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D2684E" w:rsidR="004E4802" w:rsidP="00D2684E" w:rsidRDefault="004E4802" w14:paraId="26020DC0" w14:textId="77777777">
            <w:pPr>
              <w:pStyle w:val="TableParagraph"/>
              <w:spacing w:line="251" w:lineRule="exact"/>
              <w:ind w:firstLine="518"/>
              <w:rPr>
                <w:rFonts w:ascii="Palatino Linotype" w:hAnsi="Palatino Linotype"/>
              </w:rPr>
            </w:pPr>
            <w:r w:rsidRPr="00D2684E">
              <w:rPr>
                <w:rFonts w:ascii="Palatino Linotype" w:hAnsi="Palatino Linotype"/>
              </w:rPr>
              <w:t>No PG&amp;E App Received</w:t>
            </w:r>
          </w:p>
        </w:tc>
      </w:tr>
      <w:tr w:rsidRPr="00477079" w:rsidR="0018346C" w:rsidTr="00D2684E" w14:paraId="2B4031C7"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DDEBF7"/>
            <w:vAlign w:val="center"/>
          </w:tcPr>
          <w:p w:rsidRPr="00D2684E" w:rsidR="004E4802" w:rsidP="00D2684E" w:rsidRDefault="00473EE1" w14:paraId="345C52AD" w14:textId="35438769">
            <w:pPr>
              <w:pStyle w:val="TableParagraph"/>
              <w:spacing w:line="251" w:lineRule="exact"/>
              <w:ind w:firstLine="518"/>
              <w:rPr>
                <w:rFonts w:ascii="Palatino Linotype" w:hAnsi="Palatino Linotype"/>
              </w:rPr>
            </w:pPr>
            <w:r w:rsidRPr="00477079">
              <w:rPr>
                <w:rFonts w:ascii="Palatino Linotype" w:hAnsi="Palatino Linotype"/>
              </w:rPr>
              <w:t>THE PLANTATION</w:t>
            </w:r>
          </w:p>
        </w:tc>
        <w:tc>
          <w:tcPr>
            <w:tcW w:w="495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D2684E" w:rsidR="004E4802" w:rsidP="00D2684E" w:rsidRDefault="004E4802" w14:paraId="54DC8752" w14:textId="77777777">
            <w:pPr>
              <w:pStyle w:val="TableParagraph"/>
              <w:spacing w:line="251" w:lineRule="exact"/>
              <w:ind w:firstLine="518"/>
              <w:rPr>
                <w:rFonts w:ascii="Palatino Linotype" w:hAnsi="Palatino Linotype"/>
              </w:rPr>
            </w:pPr>
            <w:r w:rsidRPr="00D2684E">
              <w:rPr>
                <w:rFonts w:ascii="Palatino Linotype" w:hAnsi="Palatino Linotype"/>
              </w:rPr>
              <w:t>No PG&amp;E App Received</w:t>
            </w:r>
          </w:p>
        </w:tc>
      </w:tr>
      <w:tr w:rsidRPr="00477079" w:rsidR="0018346C" w:rsidTr="00D2684E" w14:paraId="58141542"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DDEBF7"/>
            <w:vAlign w:val="center"/>
          </w:tcPr>
          <w:p w:rsidRPr="00D2684E" w:rsidR="004E4802" w:rsidP="00D2684E" w:rsidRDefault="00473EE1" w14:paraId="58C262BA" w14:textId="2A2CC422">
            <w:pPr>
              <w:pStyle w:val="TableParagraph"/>
              <w:spacing w:line="251" w:lineRule="exact"/>
              <w:ind w:firstLine="518"/>
              <w:rPr>
                <w:rFonts w:ascii="Palatino Linotype" w:hAnsi="Palatino Linotype"/>
              </w:rPr>
            </w:pPr>
            <w:r w:rsidRPr="00477079">
              <w:rPr>
                <w:rFonts w:ascii="Palatino Linotype" w:hAnsi="Palatino Linotype"/>
              </w:rPr>
              <w:t xml:space="preserve">THE WOODLANDS </w:t>
            </w:r>
            <w:r w:rsidRPr="00307EA0">
              <w:rPr>
                <w:rFonts w:ascii="Palatino Linotype" w:hAnsi="Palatino Linotype"/>
              </w:rPr>
              <w:t>M</w:t>
            </w:r>
            <w:r>
              <w:rPr>
                <w:rFonts w:ascii="Palatino Linotype" w:hAnsi="Palatino Linotype"/>
              </w:rPr>
              <w:t>HP</w:t>
            </w:r>
          </w:p>
        </w:tc>
        <w:tc>
          <w:tcPr>
            <w:tcW w:w="495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D2684E" w:rsidR="004E4802" w:rsidP="00D2684E" w:rsidRDefault="004E4802" w14:paraId="345265B1" w14:textId="77777777">
            <w:pPr>
              <w:pStyle w:val="TableParagraph"/>
              <w:spacing w:line="251" w:lineRule="exact"/>
              <w:ind w:firstLine="518"/>
              <w:rPr>
                <w:rFonts w:ascii="Palatino Linotype" w:hAnsi="Palatino Linotype"/>
              </w:rPr>
            </w:pPr>
            <w:r w:rsidRPr="00D2684E">
              <w:rPr>
                <w:rFonts w:ascii="Palatino Linotype" w:hAnsi="Palatino Linotype"/>
              </w:rPr>
              <w:t>No PG&amp;E App Received</w:t>
            </w:r>
          </w:p>
        </w:tc>
      </w:tr>
      <w:tr w:rsidRPr="00477079" w:rsidR="0018346C" w:rsidTr="00D2684E" w14:paraId="4206EC75"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DDEBF7"/>
            <w:vAlign w:val="center"/>
          </w:tcPr>
          <w:p w:rsidRPr="00D2684E" w:rsidR="004E4802" w:rsidP="00D2684E" w:rsidRDefault="00473EE1" w14:paraId="15807CA4" w14:textId="7BCD0C1B">
            <w:pPr>
              <w:pStyle w:val="TableParagraph"/>
              <w:spacing w:line="251" w:lineRule="exact"/>
              <w:ind w:firstLine="518"/>
              <w:rPr>
                <w:rFonts w:ascii="Palatino Linotype" w:hAnsi="Palatino Linotype"/>
              </w:rPr>
            </w:pPr>
            <w:r w:rsidRPr="00477079">
              <w:rPr>
                <w:rFonts w:ascii="Palatino Linotype" w:hAnsi="Palatino Linotype"/>
              </w:rPr>
              <w:t>HUDSONS MOBILE HOME PARK</w:t>
            </w:r>
          </w:p>
        </w:tc>
        <w:tc>
          <w:tcPr>
            <w:tcW w:w="495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D2684E" w:rsidR="004E4802" w:rsidP="00D2684E" w:rsidRDefault="004E4802" w14:paraId="7D3A561F" w14:textId="77777777">
            <w:pPr>
              <w:pStyle w:val="TableParagraph"/>
              <w:spacing w:line="251" w:lineRule="exact"/>
              <w:ind w:firstLine="518"/>
              <w:rPr>
                <w:rFonts w:ascii="Palatino Linotype" w:hAnsi="Palatino Linotype"/>
              </w:rPr>
            </w:pPr>
            <w:r w:rsidRPr="00D2684E">
              <w:rPr>
                <w:rFonts w:ascii="Palatino Linotype" w:hAnsi="Palatino Linotype"/>
              </w:rPr>
              <w:t>No PG&amp;E App Received</w:t>
            </w:r>
          </w:p>
        </w:tc>
      </w:tr>
      <w:tr w:rsidRPr="00576C7C" w:rsidR="00E62197" w:rsidTr="00D2684E" w14:paraId="777AA093" w14:textId="77777777">
        <w:trPr>
          <w:trHeight w:val="301"/>
        </w:trPr>
        <w:tc>
          <w:tcPr>
            <w:tcW w:w="594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rsidRPr="00D2684E" w:rsidR="00E62197" w:rsidP="00D2684E" w:rsidRDefault="00E62197" w14:paraId="732A7745" w14:textId="77777777">
            <w:pPr>
              <w:pStyle w:val="TableParagraph"/>
              <w:spacing w:line="251" w:lineRule="exact"/>
              <w:ind w:firstLine="518"/>
              <w:rPr>
                <w:rFonts w:ascii="Palatino Linotype" w:hAnsi="Palatino Linotype"/>
              </w:rPr>
            </w:pPr>
          </w:p>
        </w:tc>
        <w:tc>
          <w:tcPr>
            <w:tcW w:w="495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D2684E" w:rsidR="00E62197" w:rsidP="00D2684E" w:rsidRDefault="00E62197" w14:paraId="3F2E8A40" w14:textId="77777777">
            <w:pPr>
              <w:pStyle w:val="TableParagraph"/>
              <w:spacing w:line="251" w:lineRule="exact"/>
              <w:ind w:firstLine="518"/>
              <w:rPr>
                <w:rFonts w:ascii="Palatino Linotype" w:hAnsi="Palatino Linotype"/>
              </w:rPr>
            </w:pPr>
          </w:p>
        </w:tc>
      </w:tr>
      <w:tr w:rsidRPr="00477079" w:rsidR="00CF2ACB" w:rsidTr="00D2684E" w14:paraId="7BEC46C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trPr>
        <w:tc>
          <w:tcPr>
            <w:tcW w:w="4680" w:type="dxa"/>
            <w:gridSpan w:val="2"/>
            <w:tcBorders>
              <w:top w:val="single" w:color="000000" w:sz="8" w:space="0"/>
              <w:left w:val="single" w:color="000000" w:sz="8" w:space="0"/>
              <w:bottom w:val="single" w:color="000000" w:sz="8" w:space="0"/>
              <w:right w:val="single" w:color="000000" w:sz="8" w:space="0"/>
            </w:tcBorders>
            <w:shd w:val="clear" w:color="auto" w:fill="C5DFB4"/>
            <w:vAlign w:val="center"/>
          </w:tcPr>
          <w:p w:rsidRPr="008C5102" w:rsidR="00E62197" w:rsidP="00D2684E" w:rsidRDefault="00E62197" w14:paraId="02D48A71" w14:textId="77777777">
            <w:pPr>
              <w:pStyle w:val="TableParagraph"/>
              <w:spacing w:line="251" w:lineRule="exact"/>
              <w:ind w:firstLine="518"/>
              <w:rPr>
                <w:rFonts w:ascii="Palatino Linotype" w:hAnsi="Palatino Linotype"/>
              </w:rPr>
            </w:pPr>
            <w:r w:rsidRPr="00B977B9">
              <w:rPr>
                <w:rFonts w:ascii="Palatino Linotype" w:hAnsi="Palatino Linotype"/>
              </w:rPr>
              <w:t>Design</w:t>
            </w:r>
            <w:r w:rsidRPr="00B611F1">
              <w:rPr>
                <w:rFonts w:ascii="Palatino Linotype" w:hAnsi="Palatino Linotype"/>
              </w:rPr>
              <w:t xml:space="preserve"> </w:t>
            </w:r>
            <w:r w:rsidRPr="00E740B3">
              <w:rPr>
                <w:rFonts w:ascii="Palatino Linotype" w:hAnsi="Palatino Linotype"/>
              </w:rPr>
              <w:t>Complete</w:t>
            </w:r>
          </w:p>
        </w:tc>
        <w:tc>
          <w:tcPr>
            <w:tcW w:w="1260" w:type="dxa"/>
            <w:tcBorders>
              <w:top w:val="single" w:color="000000" w:sz="8" w:space="0"/>
              <w:left w:val="single" w:color="000000" w:sz="8" w:space="0"/>
              <w:bottom w:val="single" w:color="000000" w:sz="8" w:space="0"/>
              <w:right w:val="single" w:color="000000" w:sz="8" w:space="0"/>
            </w:tcBorders>
            <w:vAlign w:val="center"/>
          </w:tcPr>
          <w:p w:rsidRPr="008C5102" w:rsidR="00E62197" w:rsidP="00D2684E" w:rsidRDefault="00E62197" w14:paraId="2ECFC07B" w14:textId="77777777">
            <w:pPr>
              <w:pStyle w:val="TableParagraph"/>
              <w:spacing w:line="251" w:lineRule="exact"/>
              <w:ind w:firstLine="343"/>
              <w:jc w:val="center"/>
              <w:rPr>
                <w:rFonts w:ascii="Palatino Linotype" w:hAnsi="Palatino Linotype"/>
              </w:rPr>
            </w:pPr>
            <w:r w:rsidRPr="008C5102">
              <w:rPr>
                <w:rFonts w:ascii="Palatino Linotype" w:hAnsi="Palatino Linotype"/>
              </w:rPr>
              <w:t>18</w:t>
            </w:r>
          </w:p>
        </w:tc>
        <w:tc>
          <w:tcPr>
            <w:tcW w:w="4950" w:type="dxa"/>
            <w:tcBorders>
              <w:top w:val="single" w:color="000000" w:sz="8" w:space="0"/>
              <w:left w:val="single" w:color="000000" w:sz="8" w:space="0"/>
              <w:bottom w:val="single" w:color="000000" w:sz="8" w:space="0"/>
              <w:right w:val="single" w:color="000000" w:sz="8" w:space="0"/>
            </w:tcBorders>
            <w:vAlign w:val="center"/>
          </w:tcPr>
          <w:p w:rsidRPr="00AE7FED" w:rsidR="00E62197" w:rsidP="00D2684E" w:rsidRDefault="00E62197" w14:paraId="731807B3" w14:textId="77777777">
            <w:pPr>
              <w:pStyle w:val="TableParagraph"/>
              <w:spacing w:line="251" w:lineRule="exact"/>
              <w:ind w:firstLine="518"/>
              <w:rPr>
                <w:rFonts w:ascii="Palatino Linotype" w:hAnsi="Palatino Linotype"/>
              </w:rPr>
            </w:pPr>
          </w:p>
        </w:tc>
      </w:tr>
      <w:tr w:rsidRPr="00477079" w:rsidR="00CF2ACB" w:rsidTr="00D2684E" w14:paraId="2D4EB1A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trPr>
        <w:tc>
          <w:tcPr>
            <w:tcW w:w="4680" w:type="dxa"/>
            <w:gridSpan w:val="2"/>
            <w:tcBorders>
              <w:top w:val="single" w:color="000000" w:sz="8" w:space="0"/>
              <w:left w:val="single" w:color="000000" w:sz="8" w:space="0"/>
              <w:bottom w:val="single" w:color="000000" w:sz="8" w:space="0"/>
              <w:right w:val="single" w:color="000000" w:sz="8" w:space="0"/>
            </w:tcBorders>
            <w:shd w:val="clear" w:color="auto" w:fill="FFF1C9"/>
            <w:vAlign w:val="center"/>
          </w:tcPr>
          <w:p w:rsidRPr="008C5102" w:rsidR="00E62197" w:rsidP="00D2684E" w:rsidRDefault="00E62197" w14:paraId="326417BC" w14:textId="7403DEC2">
            <w:pPr>
              <w:pStyle w:val="TableParagraph"/>
              <w:spacing w:line="251" w:lineRule="exact"/>
              <w:ind w:firstLine="518"/>
              <w:rPr>
                <w:rFonts w:ascii="Palatino Linotype" w:hAnsi="Palatino Linotype"/>
              </w:rPr>
            </w:pPr>
            <w:r w:rsidRPr="00B977B9">
              <w:rPr>
                <w:rFonts w:ascii="Palatino Linotype" w:hAnsi="Palatino Linotype"/>
              </w:rPr>
              <w:t>Design</w:t>
            </w:r>
            <w:r w:rsidRPr="00B611F1">
              <w:rPr>
                <w:rFonts w:ascii="Palatino Linotype" w:hAnsi="Palatino Linotype"/>
              </w:rPr>
              <w:t xml:space="preserve"> </w:t>
            </w:r>
            <w:r w:rsidR="00497EDB">
              <w:rPr>
                <w:rFonts w:ascii="Palatino Linotype" w:hAnsi="Palatino Linotype"/>
              </w:rPr>
              <w:t>i</w:t>
            </w:r>
            <w:r w:rsidRPr="00B977B9">
              <w:rPr>
                <w:rFonts w:ascii="Palatino Linotype" w:hAnsi="Palatino Linotype"/>
              </w:rPr>
              <w:t>n</w:t>
            </w:r>
            <w:r w:rsidRPr="00B611F1">
              <w:rPr>
                <w:rFonts w:ascii="Palatino Linotype" w:hAnsi="Palatino Linotype"/>
              </w:rPr>
              <w:t xml:space="preserve"> </w:t>
            </w:r>
            <w:r w:rsidRPr="00E740B3">
              <w:rPr>
                <w:rFonts w:ascii="Palatino Linotype" w:hAnsi="Palatino Linotype"/>
              </w:rPr>
              <w:t>Progress</w:t>
            </w:r>
          </w:p>
        </w:tc>
        <w:tc>
          <w:tcPr>
            <w:tcW w:w="1260" w:type="dxa"/>
            <w:tcBorders>
              <w:top w:val="single" w:color="000000" w:sz="8" w:space="0"/>
              <w:left w:val="single" w:color="000000" w:sz="8" w:space="0"/>
              <w:bottom w:val="single" w:color="000000" w:sz="8" w:space="0"/>
              <w:right w:val="single" w:color="000000" w:sz="8" w:space="0"/>
            </w:tcBorders>
            <w:vAlign w:val="center"/>
          </w:tcPr>
          <w:p w:rsidRPr="008C5102" w:rsidR="00E62197" w:rsidP="00D2684E" w:rsidRDefault="00E62197" w14:paraId="44EF603D" w14:textId="77777777">
            <w:pPr>
              <w:pStyle w:val="TableParagraph"/>
              <w:spacing w:line="251" w:lineRule="exact"/>
              <w:ind w:firstLine="343"/>
              <w:jc w:val="center"/>
              <w:rPr>
                <w:rFonts w:ascii="Palatino Linotype" w:hAnsi="Palatino Linotype"/>
              </w:rPr>
            </w:pPr>
            <w:r w:rsidRPr="008C5102">
              <w:rPr>
                <w:rFonts w:ascii="Palatino Linotype" w:hAnsi="Palatino Linotype"/>
              </w:rPr>
              <w:t>1</w:t>
            </w:r>
          </w:p>
        </w:tc>
        <w:tc>
          <w:tcPr>
            <w:tcW w:w="4950" w:type="dxa"/>
            <w:tcBorders>
              <w:top w:val="single" w:color="000000" w:sz="8" w:space="0"/>
              <w:left w:val="single" w:color="000000" w:sz="8" w:space="0"/>
              <w:bottom w:val="single" w:color="000000" w:sz="8" w:space="0"/>
              <w:right w:val="single" w:color="000000" w:sz="8" w:space="0"/>
            </w:tcBorders>
            <w:vAlign w:val="center"/>
          </w:tcPr>
          <w:p w:rsidRPr="008C5102" w:rsidR="00E62197" w:rsidP="00D2684E" w:rsidRDefault="000F4B07" w14:paraId="2E4BCEF1" w14:textId="081C52F3">
            <w:pPr>
              <w:pStyle w:val="TableParagraph"/>
              <w:spacing w:line="251" w:lineRule="exact"/>
              <w:ind w:firstLine="518"/>
              <w:rPr>
                <w:rFonts w:ascii="Palatino Linotype" w:hAnsi="Palatino Linotype"/>
              </w:rPr>
            </w:pPr>
            <w:r>
              <w:rPr>
                <w:rFonts w:ascii="Palatino Linotype" w:hAnsi="Palatino Linotype"/>
              </w:rPr>
              <w:t xml:space="preserve">It is </w:t>
            </w:r>
            <w:r w:rsidR="00AE7FED">
              <w:rPr>
                <w:rFonts w:ascii="Palatino Linotype" w:hAnsi="Palatino Linotype"/>
              </w:rPr>
              <w:t>o</w:t>
            </w:r>
            <w:r w:rsidRPr="008C5102" w:rsidR="008C5102">
              <w:rPr>
                <w:rFonts w:ascii="Palatino Linotype" w:hAnsi="Palatino Linotype"/>
              </w:rPr>
              <w:t>n hold due to MHP owner’s request</w:t>
            </w:r>
          </w:p>
        </w:tc>
      </w:tr>
      <w:tr w:rsidRPr="00477079" w:rsidR="00F84608" w:rsidTr="00D2684E" w14:paraId="7C55F2C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trPr>
        <w:tc>
          <w:tcPr>
            <w:tcW w:w="2160" w:type="dxa"/>
            <w:tcBorders>
              <w:top w:val="single" w:color="000000" w:sz="8" w:space="0"/>
              <w:left w:val="single" w:color="000000" w:sz="8" w:space="0"/>
              <w:bottom w:val="single" w:color="000000" w:sz="8" w:space="0"/>
              <w:right w:val="single" w:color="000000" w:sz="8" w:space="0"/>
            </w:tcBorders>
            <w:shd w:val="clear" w:color="auto" w:fill="F8CAAC"/>
            <w:vAlign w:val="center"/>
          </w:tcPr>
          <w:p w:rsidRPr="00B611F1" w:rsidR="00F84608" w:rsidP="00D2684E" w:rsidRDefault="00F84608" w14:paraId="524DBB90" w14:textId="05D8A8CF">
            <w:pPr>
              <w:pStyle w:val="TableParagraph"/>
              <w:spacing w:line="251" w:lineRule="exact"/>
              <w:ind w:right="-51" w:firstLine="59"/>
              <w:rPr>
                <w:rFonts w:ascii="Palatino Linotype" w:hAnsi="Palatino Linotype"/>
              </w:rPr>
            </w:pPr>
            <w:r w:rsidRPr="00B977B9">
              <w:rPr>
                <w:rFonts w:ascii="Palatino Linotype" w:hAnsi="Palatino Linotype"/>
              </w:rPr>
              <w:t>Not</w:t>
            </w:r>
            <w:r w:rsidRPr="00B611F1">
              <w:rPr>
                <w:rFonts w:ascii="Palatino Linotype" w:hAnsi="Palatino Linotype"/>
              </w:rPr>
              <w:t xml:space="preserve"> </w:t>
            </w:r>
            <w:r w:rsidRPr="00E740B3">
              <w:rPr>
                <w:rFonts w:ascii="Palatino Linotype" w:hAnsi="Palatino Linotype"/>
              </w:rPr>
              <w:t>Started</w:t>
            </w:r>
            <w:r w:rsidR="00E9783A">
              <w:rPr>
                <w:rFonts w:ascii="Palatino Linotype" w:hAnsi="Palatino Linotype"/>
              </w:rPr>
              <w:t xml:space="preserve"> Design</w:t>
            </w:r>
            <w:r w:rsidRPr="00B977B9">
              <w:rPr>
                <w:rFonts w:ascii="Palatino Linotype" w:hAnsi="Palatino Linotype"/>
              </w:rPr>
              <w:t xml:space="preserve"> </w:t>
            </w:r>
          </w:p>
        </w:tc>
        <w:tc>
          <w:tcPr>
            <w:tcW w:w="2520" w:type="dxa"/>
            <w:tcBorders>
              <w:top w:val="single" w:color="000000" w:sz="8" w:space="0"/>
              <w:left w:val="single" w:color="000000" w:sz="8" w:space="0"/>
              <w:bottom w:val="single" w:color="000000" w:sz="8" w:space="0"/>
              <w:right w:val="single" w:color="000000" w:sz="8" w:space="0"/>
            </w:tcBorders>
            <w:shd w:val="clear" w:color="auto" w:fill="A6A6A6"/>
            <w:vAlign w:val="center"/>
          </w:tcPr>
          <w:p w:rsidRPr="00B977B9" w:rsidR="00F84608" w:rsidP="00D2684E" w:rsidRDefault="00E9783A" w14:paraId="3F02B6DA" w14:textId="4C6B075E">
            <w:pPr>
              <w:pStyle w:val="TableParagraph"/>
              <w:spacing w:line="251" w:lineRule="exact"/>
              <w:ind w:hanging="74"/>
              <w:rPr>
                <w:rFonts w:ascii="Palatino Linotype" w:hAnsi="Palatino Linotype"/>
              </w:rPr>
            </w:pPr>
            <w:r w:rsidRPr="00E9783A">
              <w:rPr>
                <w:rFonts w:ascii="Palatino Linotype" w:hAnsi="Palatino Linotype"/>
              </w:rPr>
              <w:t>No PG&amp;E App Received</w:t>
            </w:r>
          </w:p>
        </w:tc>
        <w:tc>
          <w:tcPr>
            <w:tcW w:w="1260" w:type="dxa"/>
            <w:tcBorders>
              <w:top w:val="single" w:color="000000" w:sz="8" w:space="0"/>
              <w:left w:val="single" w:color="000000" w:sz="8" w:space="0"/>
              <w:bottom w:val="single" w:color="000000" w:sz="8" w:space="0"/>
              <w:right w:val="single" w:color="000000" w:sz="8" w:space="0"/>
            </w:tcBorders>
            <w:vAlign w:val="center"/>
          </w:tcPr>
          <w:p w:rsidRPr="00E740B3" w:rsidR="00F84608" w:rsidP="00D2684E" w:rsidRDefault="00F84608" w14:paraId="662D98D8" w14:textId="77777777">
            <w:pPr>
              <w:pStyle w:val="TableParagraph"/>
              <w:spacing w:line="251" w:lineRule="exact"/>
              <w:ind w:firstLine="343"/>
              <w:jc w:val="center"/>
              <w:rPr>
                <w:rFonts w:ascii="Palatino Linotype" w:hAnsi="Palatino Linotype"/>
              </w:rPr>
            </w:pPr>
            <w:r w:rsidRPr="00B611F1">
              <w:rPr>
                <w:rFonts w:ascii="Palatino Linotype" w:hAnsi="Palatino Linotype"/>
              </w:rPr>
              <w:t>17</w:t>
            </w:r>
          </w:p>
        </w:tc>
        <w:tc>
          <w:tcPr>
            <w:tcW w:w="4950" w:type="dxa"/>
            <w:tcBorders>
              <w:top w:val="single" w:color="000000" w:sz="8" w:space="0"/>
              <w:left w:val="single" w:color="000000" w:sz="8" w:space="0"/>
              <w:bottom w:val="single" w:color="000000" w:sz="8" w:space="0"/>
              <w:right w:val="single" w:color="000000" w:sz="8" w:space="0"/>
            </w:tcBorders>
            <w:vAlign w:val="center"/>
          </w:tcPr>
          <w:p w:rsidRPr="008C5102" w:rsidR="00F84608" w:rsidP="00D2684E" w:rsidRDefault="00F84608" w14:paraId="7E4D7387" w14:textId="77777777">
            <w:pPr>
              <w:pStyle w:val="TableParagraph"/>
              <w:spacing w:line="251" w:lineRule="exact"/>
              <w:ind w:firstLine="518"/>
              <w:rPr>
                <w:rFonts w:ascii="Palatino Linotype" w:hAnsi="Palatino Linotype"/>
              </w:rPr>
            </w:pPr>
          </w:p>
        </w:tc>
      </w:tr>
    </w:tbl>
    <w:p w:rsidRPr="003A681C" w:rsidR="00C63C96" w:rsidP="00D2684E" w:rsidRDefault="00C63C96" w14:paraId="71ABC40F" w14:textId="77777777">
      <w:pPr>
        <w:pStyle w:val="TableParagraph"/>
        <w:spacing w:line="251" w:lineRule="exact"/>
        <w:rPr>
          <w:rFonts w:ascii="Palatino Linotype" w:hAnsi="Palatino Linotype"/>
        </w:rPr>
      </w:pPr>
    </w:p>
    <w:sectPr w:rsidRPr="003A681C" w:rsidR="00C63C96" w:rsidSect="00720ADE">
      <w:pgSz w:w="12240" w:h="15840" w:code="1"/>
      <w:pgMar w:top="720" w:right="1440" w:bottom="1080" w:left="3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0B89" w14:textId="77777777" w:rsidR="006C6A17" w:rsidRDefault="006C6A17">
      <w:r>
        <w:separator/>
      </w:r>
    </w:p>
  </w:endnote>
  <w:endnote w:type="continuationSeparator" w:id="0">
    <w:p w14:paraId="02D4B502" w14:textId="77777777" w:rsidR="006C6A17" w:rsidRDefault="006C6A17">
      <w:r>
        <w:continuationSeparator/>
      </w:r>
    </w:p>
  </w:endnote>
  <w:endnote w:type="continuationNotice" w:id="1">
    <w:p w14:paraId="2929084F" w14:textId="77777777" w:rsidR="006C6A17" w:rsidRDefault="006C6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E055" w14:textId="77777777" w:rsidR="0018682F" w:rsidRDefault="0018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13111"/>
      <w:docPartObj>
        <w:docPartGallery w:val="Page Numbers (Bottom of Page)"/>
        <w:docPartUnique/>
      </w:docPartObj>
    </w:sdtPr>
    <w:sdtEndPr>
      <w:rPr>
        <w:noProof/>
      </w:rPr>
    </w:sdtEndPr>
    <w:sdtContent>
      <w:p w14:paraId="444048D7" w14:textId="6EFEA75A" w:rsidR="002238AE" w:rsidRDefault="002238AE">
        <w:pPr>
          <w:pStyle w:val="Footer"/>
        </w:pPr>
        <w:r>
          <w:fldChar w:fldCharType="begin"/>
        </w:r>
        <w:r>
          <w:instrText xml:space="preserve"> PAGE   \* MERGEFORMAT </w:instrText>
        </w:r>
        <w:r>
          <w:fldChar w:fldCharType="separate"/>
        </w:r>
        <w:r>
          <w:rPr>
            <w:noProof/>
          </w:rPr>
          <w:t>2</w:t>
        </w:r>
        <w:r>
          <w:rPr>
            <w:noProof/>
          </w:rPr>
          <w:fldChar w:fldCharType="end"/>
        </w:r>
      </w:p>
    </w:sdtContent>
  </w:sdt>
  <w:p w14:paraId="7E72D11B" w14:textId="4C005817" w:rsidR="002238AE" w:rsidRDefault="00223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12A150CC" w:rsidR="002238AE" w:rsidRDefault="0018682F" w:rsidP="00D71CA9">
    <w:pPr>
      <w:pStyle w:val="Footer"/>
      <w:tabs>
        <w:tab w:val="clear" w:pos="4320"/>
        <w:tab w:val="center" w:pos="4680"/>
      </w:tabs>
      <w:jc w:val="left"/>
    </w:pPr>
    <w:r w:rsidRPr="0018682F">
      <w:rPr>
        <w:rStyle w:val="PageNumber"/>
        <w:noProof/>
      </w:rPr>
      <w:t>385764207</w:t>
    </w:r>
    <w:r w:rsidR="002238AE">
      <w:rPr>
        <w:rStyle w:val="PageNumber"/>
        <w:noProof/>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29BC" w14:textId="77777777" w:rsidR="006C6A17" w:rsidRDefault="006C6A17">
      <w:r>
        <w:separator/>
      </w:r>
    </w:p>
  </w:footnote>
  <w:footnote w:type="continuationSeparator" w:id="0">
    <w:p w14:paraId="034A143B" w14:textId="77777777" w:rsidR="006C6A17" w:rsidRDefault="006C6A17">
      <w:r>
        <w:continuationSeparator/>
      </w:r>
    </w:p>
  </w:footnote>
  <w:footnote w:type="continuationNotice" w:id="1">
    <w:p w14:paraId="58E4F5DE" w14:textId="77777777" w:rsidR="006C6A17" w:rsidRDefault="006C6A17">
      <w:pPr>
        <w:rPr>
          <w:sz w:val="22"/>
        </w:rPr>
      </w:pPr>
    </w:p>
    <w:p w14:paraId="62B91DC3" w14:textId="77777777" w:rsidR="006C6A17" w:rsidRDefault="006C6A17">
      <w:pPr>
        <w:jc w:val="right"/>
        <w:rPr>
          <w:sz w:val="22"/>
        </w:rPr>
      </w:pPr>
      <w:r>
        <w:rPr>
          <w:i/>
          <w:sz w:val="22"/>
        </w:rPr>
        <w:t>Footnote continued on next page</w:t>
      </w:r>
    </w:p>
  </w:footnote>
  <w:footnote w:id="2">
    <w:p w14:paraId="3C167DB7" w14:textId="23229192" w:rsidR="002238AE" w:rsidRDefault="002238AE">
      <w:pPr>
        <w:pStyle w:val="FootnoteText"/>
        <w:numPr>
          <w:ilvl w:val="0"/>
          <w:numId w:val="0"/>
        </w:numPr>
      </w:pPr>
      <w:r>
        <w:rPr>
          <w:rStyle w:val="FootnoteReference"/>
        </w:rPr>
        <w:footnoteRef/>
      </w:r>
      <w:r>
        <w:t xml:space="preserve"> PG&amp;E expects a total expenditure of $</w:t>
      </w:r>
      <w:r w:rsidRPr="000909E9">
        <w:rPr>
          <w:bCs/>
        </w:rPr>
        <w:t>68,066,426.69</w:t>
      </w:r>
      <w:r>
        <w:t xml:space="preserve"> and estimates that an additional </w:t>
      </w:r>
      <w:r w:rsidRPr="008F37E6">
        <w:t>$96,789</w:t>
      </w:r>
      <w:r>
        <w:t xml:space="preserve"> will be the maximum expenditure required</w:t>
      </w:r>
      <w:r w:rsidRPr="00D21341">
        <w:rPr>
          <w:bCs/>
        </w:rPr>
        <w:t xml:space="preserve"> to provide underground </w:t>
      </w:r>
      <w:r>
        <w:rPr>
          <w:bCs/>
        </w:rPr>
        <w:t>cable</w:t>
      </w:r>
      <w:r w:rsidRPr="00D21341">
        <w:rPr>
          <w:bCs/>
        </w:rPr>
        <w:t xml:space="preserve"> rated to serve a minimum of 200 amps from the splice boxes to </w:t>
      </w:r>
      <w:r>
        <w:rPr>
          <w:bCs/>
        </w:rPr>
        <w:t xml:space="preserve">the electric pedestal of </w:t>
      </w:r>
      <w:r w:rsidRPr="00D21341">
        <w:rPr>
          <w:bCs/>
        </w:rPr>
        <w:t xml:space="preserve">each mobilehome.  </w:t>
      </w:r>
      <w:r>
        <w:rPr>
          <w:bCs/>
        </w:rPr>
        <w:t xml:space="preserve">Please note that PG&amp;E still requires other electric infrastructure upgrades besides the 200 amp service cable if it were to provide 200 amp service to all residences in a mobilehome park (MHP).  </w:t>
      </w:r>
    </w:p>
  </w:footnote>
  <w:footnote w:id="3">
    <w:p w14:paraId="38C902B0" w14:textId="1B40D2CD" w:rsidR="002238AE" w:rsidRPr="002238AE" w:rsidRDefault="002238AE" w:rsidP="009A2015">
      <w:pPr>
        <w:pStyle w:val="FootnoteText"/>
        <w:numPr>
          <w:ilvl w:val="0"/>
          <w:numId w:val="0"/>
        </w:numPr>
        <w:rPr>
          <w:szCs w:val="24"/>
        </w:rPr>
      </w:pPr>
      <w:r w:rsidRPr="002238AE">
        <w:rPr>
          <w:rStyle w:val="FootnoteReference"/>
          <w:szCs w:val="24"/>
        </w:rPr>
        <w:footnoteRef/>
      </w:r>
      <w:r w:rsidRPr="002238AE">
        <w:rPr>
          <w:szCs w:val="24"/>
        </w:rPr>
        <w:t xml:space="preserve"> R.18-04-018: "Order Instituting Rulemaking to Evaluate the Mobilehome Park Pilot Program and to Adopt Programmatic Modifications”.</w:t>
      </w:r>
    </w:p>
  </w:footnote>
  <w:footnote w:id="4">
    <w:p w14:paraId="03AD5C21" w14:textId="29FF1A84" w:rsidR="002238AE" w:rsidRPr="002238AE" w:rsidRDefault="002238AE" w:rsidP="00872A33">
      <w:pPr>
        <w:pStyle w:val="FootnoteText"/>
        <w:numPr>
          <w:ilvl w:val="0"/>
          <w:numId w:val="0"/>
        </w:numPr>
        <w:rPr>
          <w:szCs w:val="24"/>
        </w:rPr>
      </w:pPr>
      <w:r w:rsidRPr="002238AE">
        <w:rPr>
          <w:rStyle w:val="FootnoteReference"/>
          <w:szCs w:val="24"/>
        </w:rPr>
        <w:footnoteRef/>
      </w:r>
      <w:r w:rsidRPr="002238AE">
        <w:rPr>
          <w:szCs w:val="24"/>
        </w:rPr>
        <w:t xml:space="preserve"> Common use buildings include laundry, park office, community hall, and clubhouse </w:t>
      </w:r>
      <w:r w:rsidRPr="002238AE">
        <w:rPr>
          <w:bCs/>
          <w:szCs w:val="24"/>
        </w:rPr>
        <w:t>buildings as defined in D</w:t>
      </w:r>
      <w:r w:rsidRPr="002238AE">
        <w:rPr>
          <w:szCs w:val="24"/>
        </w:rPr>
        <w:t>.20-04-004 at 43.</w:t>
      </w:r>
    </w:p>
  </w:footnote>
  <w:footnote w:id="5">
    <w:p w14:paraId="50BED623" w14:textId="7B9855A7" w:rsidR="002238AE" w:rsidRPr="002238AE" w:rsidRDefault="002238AE" w:rsidP="009A2015">
      <w:pPr>
        <w:pStyle w:val="FootnoteText"/>
        <w:numPr>
          <w:ilvl w:val="0"/>
          <w:numId w:val="0"/>
        </w:numPr>
        <w:ind w:left="360" w:hanging="360"/>
        <w:rPr>
          <w:szCs w:val="24"/>
        </w:rPr>
      </w:pPr>
      <w:r w:rsidRPr="002238AE">
        <w:rPr>
          <w:rStyle w:val="FootnoteReference"/>
          <w:szCs w:val="24"/>
        </w:rPr>
        <w:footnoteRef/>
      </w:r>
      <w:r w:rsidRPr="002238AE">
        <w:rPr>
          <w:szCs w:val="24"/>
        </w:rPr>
        <w:t xml:space="preserve"> </w:t>
      </w:r>
      <w:r w:rsidRPr="002238AE">
        <w:rPr>
          <w:bCs/>
          <w:szCs w:val="24"/>
        </w:rPr>
        <w:t>D</w:t>
      </w:r>
      <w:r w:rsidRPr="002238AE">
        <w:rPr>
          <w:szCs w:val="24"/>
        </w:rPr>
        <w:t>.20-04-004 at 43</w:t>
      </w:r>
    </w:p>
  </w:footnote>
  <w:footnote w:id="6">
    <w:p w14:paraId="6279D399" w14:textId="1F70ABF6" w:rsidR="002238AE" w:rsidRPr="002238AE" w:rsidRDefault="002238AE" w:rsidP="00276AA8">
      <w:pPr>
        <w:pStyle w:val="FootnoteText"/>
        <w:numPr>
          <w:ilvl w:val="0"/>
          <w:numId w:val="0"/>
        </w:numPr>
        <w:ind w:left="360" w:hanging="360"/>
        <w:rPr>
          <w:szCs w:val="24"/>
        </w:rPr>
      </w:pPr>
      <w:r w:rsidRPr="002238AE">
        <w:rPr>
          <w:rStyle w:val="FootnoteReference"/>
          <w:szCs w:val="24"/>
        </w:rPr>
        <w:footnoteRef/>
      </w:r>
      <w:r w:rsidRPr="002238AE">
        <w:rPr>
          <w:szCs w:val="24"/>
        </w:rPr>
        <w:t xml:space="preserve"> A service cable runs from </w:t>
      </w:r>
      <w:r w:rsidRPr="002238AE">
        <w:rPr>
          <w:bCs/>
          <w:snapToGrid w:val="0"/>
          <w:szCs w:val="24"/>
        </w:rPr>
        <w:t>a splice box to the electric pedestal of a mobilehome.</w:t>
      </w:r>
    </w:p>
  </w:footnote>
  <w:footnote w:id="7">
    <w:p w14:paraId="7B029D72" w14:textId="622918FA" w:rsidR="002238AE" w:rsidRDefault="002238AE" w:rsidP="009A2015">
      <w:pPr>
        <w:pStyle w:val="FootnoteText"/>
        <w:numPr>
          <w:ilvl w:val="0"/>
          <w:numId w:val="0"/>
        </w:numPr>
      </w:pPr>
      <w:r w:rsidRPr="002238AE">
        <w:rPr>
          <w:rStyle w:val="FootnoteReference"/>
          <w:szCs w:val="24"/>
        </w:rPr>
        <w:footnoteRef/>
      </w:r>
      <w:r w:rsidRPr="002238AE">
        <w:rPr>
          <w:szCs w:val="24"/>
        </w:rPr>
        <w:t xml:space="preserve"> An electrical splice box, also known as a junction box, enclose wire connections. It helps protecting against short circuits.</w:t>
      </w:r>
    </w:p>
  </w:footnote>
  <w:footnote w:id="8">
    <w:p w14:paraId="69D7F75B" w14:textId="417786A5" w:rsidR="002238AE" w:rsidRDefault="002238AE" w:rsidP="00276AA8">
      <w:pPr>
        <w:pStyle w:val="FootnoteText"/>
        <w:numPr>
          <w:ilvl w:val="0"/>
          <w:numId w:val="0"/>
        </w:numPr>
      </w:pPr>
      <w:r>
        <w:rPr>
          <w:rStyle w:val="FootnoteReference"/>
        </w:rPr>
        <w:footnoteRef/>
      </w:r>
      <w:r>
        <w:t xml:space="preserve"> PG&amp;E also indicated in its reply to protest that “</w:t>
      </w:r>
      <w:r w:rsidRPr="00BF7FED">
        <w:t>if the MHP was previously served at 100-amp service, the MHP owner/ operator would need to submit an application for a service upgrade under Rule 3 with a request to increase the panel size meeting requirements under Rule 2 and Rule 16.</w:t>
      </w:r>
      <w:r>
        <w:t xml:space="preserve">”  Rule 16 work may be performed by PG&amp;E or a MHP contractor. </w:t>
      </w:r>
    </w:p>
  </w:footnote>
  <w:footnote w:id="9">
    <w:p w14:paraId="754B4C0A" w14:textId="77777777" w:rsidR="002238AE" w:rsidRDefault="002238AE" w:rsidP="00774C01">
      <w:pPr>
        <w:pStyle w:val="FootnoteText"/>
        <w:numPr>
          <w:ilvl w:val="0"/>
          <w:numId w:val="0"/>
        </w:numPr>
      </w:pPr>
      <w:r>
        <w:rPr>
          <w:rStyle w:val="FootnoteReference"/>
        </w:rPr>
        <w:footnoteRef/>
      </w:r>
      <w:r>
        <w:t xml:space="preserve"> </w:t>
      </w:r>
      <w:r w:rsidRPr="007E74D8">
        <w:t xml:space="preserve">General Rule 5.1 of GO 96-B </w:t>
      </w:r>
      <w:r>
        <w:t>(</w:t>
      </w:r>
      <w:r w:rsidRPr="00D90D4A">
        <w:t>Matters Appropriate to Advice Letters</w:t>
      </w:r>
      <w:r>
        <w:t xml:space="preserve">) </w:t>
      </w:r>
      <w:r w:rsidRPr="007E74D8">
        <w:t>provides that a utility may request relief by advice letter where the utility "has been authorized or required by statute, by this General Order, or by other Commission order, to seek the requested relief by means of an advice letter." General Rule 5.2 of GO 96-B provides that a utility must file an application where the proposed action "has not been authorized, by statute, by this General Order, or by other Commission order."</w:t>
      </w:r>
      <w:r>
        <w:t xml:space="preserve">  </w:t>
      </w:r>
      <w:r w:rsidRPr="00BE69C6">
        <w:t>However, GO 96-B, General Rule 1.</w:t>
      </w:r>
      <w:r>
        <w:t>2</w:t>
      </w:r>
      <w:r w:rsidRPr="00BE69C6">
        <w:t xml:space="preserve"> allows </w:t>
      </w:r>
      <w:r>
        <w:t>the Commission</w:t>
      </w:r>
      <w:r w:rsidRPr="00BE69C6">
        <w:t xml:space="preserve"> to authorize an exception to the operation of the General Order where appropriate. </w:t>
      </w:r>
      <w:r>
        <w:t xml:space="preserve"> For example, Decision 14-12-028 for Application 09-04-006 has granted a waiver to request establishment of a memorandum account through a </w:t>
      </w:r>
      <w:r w:rsidRPr="0020349B">
        <w:rPr>
          <w:u w:val="single"/>
        </w:rPr>
        <w:t>Tier 3</w:t>
      </w:r>
      <w:r>
        <w:t xml:space="preserve"> Advice Letter. </w:t>
      </w:r>
    </w:p>
  </w:footnote>
  <w:footnote w:id="10">
    <w:p w14:paraId="6B4CF61D" w14:textId="4C191D87" w:rsidR="002238AE" w:rsidRDefault="002238AE" w:rsidP="002C0205">
      <w:pPr>
        <w:pStyle w:val="FootnoteText"/>
        <w:numPr>
          <w:ilvl w:val="0"/>
          <w:numId w:val="0"/>
        </w:numPr>
      </w:pPr>
      <w:r>
        <w:rPr>
          <w:rStyle w:val="FootnoteReference"/>
        </w:rPr>
        <w:footnoteRef/>
      </w:r>
      <w:r>
        <w:t xml:space="preserve"> </w:t>
      </w:r>
      <w:r w:rsidRPr="002179A5">
        <w:t xml:space="preserve">The </w:t>
      </w:r>
      <w:r w:rsidRPr="002179A5">
        <w:rPr>
          <w:bCs/>
        </w:rPr>
        <w:t xml:space="preserve">Mobile Home Park Utility Upgrade Pilot Program (MHP Pilot) was established in </w:t>
      </w:r>
      <w:r w:rsidRPr="002179A5">
        <w:t xml:space="preserve">Decision (D.)14-03-021 in 2014 as a three-year pilot program (2015-2017) to convert </w:t>
      </w:r>
      <w:r>
        <w:t>10% of MHPs</w:t>
      </w:r>
      <w:r w:rsidRPr="002179A5">
        <w:t xml:space="preserve"> and manufactured housing communities (collectively, MHPs) to direct utility service.</w:t>
      </w:r>
      <w:r>
        <w:t xml:space="preserve">  The CPUC extended the MHP Pilot by </w:t>
      </w:r>
      <w:r w:rsidRPr="00887E1B">
        <w:t xml:space="preserve">Resolution E-4878 and Resolution </w:t>
      </w:r>
      <w:r>
        <w:br/>
      </w:r>
      <w:r w:rsidRPr="00887E1B">
        <w:t>E-4958</w:t>
      </w:r>
      <w:r>
        <w:t xml:space="preserve"> to </w:t>
      </w:r>
      <w:r w:rsidRPr="00887E1B">
        <w:t>the earlier date of either December 31, 202</w:t>
      </w:r>
      <w:r>
        <w:t>1</w:t>
      </w:r>
      <w:r w:rsidRPr="00887E1B">
        <w:t xml:space="preserve">, or the issuance of a </w:t>
      </w:r>
      <w:r>
        <w:t>CPUC</w:t>
      </w:r>
      <w:r w:rsidRPr="00887E1B">
        <w:t xml:space="preserve"> Decision for the continuation, expansion</w:t>
      </w:r>
      <w:r>
        <w:t>,</w:t>
      </w:r>
      <w:r w:rsidRPr="00887E1B">
        <w:t xml:space="preserve"> or modification of the program beyond </w:t>
      </w:r>
      <w:r>
        <w:br/>
      </w:r>
      <w:r w:rsidRPr="00887E1B">
        <w:t>December 31, 2020.</w:t>
      </w:r>
      <w:r>
        <w:t xml:space="preserve">  </w:t>
      </w:r>
      <w:r w:rsidRPr="00EE78F7">
        <w:t xml:space="preserve">The </w:t>
      </w:r>
      <w:r>
        <w:t>CPUC</w:t>
      </w:r>
      <w:r w:rsidRPr="00EE78F7">
        <w:t xml:space="preserve"> opened Rulemaking (R.) 18-04-018 to establish criteria for evaluating the effectiveness of the MHP Pilot and consider whether a permanent program should be adopted.</w:t>
      </w:r>
      <w:r>
        <w:t xml:space="preserve">  In April of 2020, D.20-04-004 established a </w:t>
      </w:r>
      <w:bookmarkStart w:id="20" w:name="_Hlk45809767"/>
      <w:r>
        <w:t>permanent Mobilehome Park Utility Conversion Program (MHP Conversion Program)</w:t>
      </w:r>
      <w:bookmarkEnd w:id="20"/>
      <w:r>
        <w:t>.</w:t>
      </w:r>
    </w:p>
  </w:footnote>
  <w:footnote w:id="11">
    <w:p w14:paraId="1705C9AA" w14:textId="380981FF" w:rsidR="002238AE" w:rsidRDefault="002238AE" w:rsidP="00C13BE7">
      <w:pPr>
        <w:pStyle w:val="FootnoteText"/>
        <w:numPr>
          <w:ilvl w:val="0"/>
          <w:numId w:val="0"/>
        </w:numPr>
      </w:pPr>
      <w:r>
        <w:rPr>
          <w:rStyle w:val="FootnoteReference"/>
        </w:rPr>
        <w:footnoteRef/>
      </w:r>
      <w:r>
        <w:t xml:space="preserve"> PG&amp;E has indicated in a data response to Energy Division on 11/18/20, that 1) t</w:t>
      </w:r>
      <w:r w:rsidRPr="00D26349">
        <w:t>here are 5 MHPs that have gas master meters, of the 5 MHPs, 3 are directly metered for electric and 2 are partially master</w:t>
      </w:r>
      <w:r>
        <w:t>-</w:t>
      </w:r>
      <w:r w:rsidRPr="00D26349">
        <w:t>meter</w:t>
      </w:r>
      <w:r>
        <w:t>ed</w:t>
      </w:r>
      <w:r w:rsidRPr="00D26349">
        <w:t>/direct</w:t>
      </w:r>
      <w:r>
        <w:t>-</w:t>
      </w:r>
      <w:r w:rsidRPr="00D26349">
        <w:t>meter</w:t>
      </w:r>
      <w:r>
        <w:t>ed for electric; 2) t</w:t>
      </w:r>
      <w:r w:rsidRPr="000A3E18">
        <w:t>here are 5 other MHPs that are partially master</w:t>
      </w:r>
      <w:r>
        <w:t>-</w:t>
      </w:r>
      <w:r w:rsidRPr="000A3E18">
        <w:t>meter</w:t>
      </w:r>
      <w:r>
        <w:t>ed</w:t>
      </w:r>
      <w:r w:rsidRPr="000A3E18">
        <w:t>/direct</w:t>
      </w:r>
      <w:r>
        <w:t>-</w:t>
      </w:r>
      <w:r w:rsidRPr="000A3E18">
        <w:t>meter</w:t>
      </w:r>
      <w:r>
        <w:t>ed</w:t>
      </w:r>
      <w:r w:rsidRPr="000A3E18">
        <w:t xml:space="preserve"> for gas and electric</w:t>
      </w:r>
      <w:r>
        <w:t>; 3) t</w:t>
      </w:r>
      <w:r w:rsidRPr="007643B9">
        <w:t>here is 1 MHP that is fully electric master</w:t>
      </w:r>
      <w:r>
        <w:t>-</w:t>
      </w:r>
      <w:r w:rsidRPr="007643B9">
        <w:t>meter</w:t>
      </w:r>
      <w:r>
        <w:t xml:space="preserve">ed.  </w:t>
      </w:r>
      <w:r w:rsidRPr="005F4DEA">
        <w:t>For the MHPs that have some form of master meter, all but 1 has signed up for the program.</w:t>
      </w:r>
    </w:p>
  </w:footnote>
  <w:footnote w:id="12">
    <w:p w14:paraId="616FA0BF" w14:textId="77777777" w:rsidR="002238AE" w:rsidRDefault="002238AE" w:rsidP="00072458">
      <w:pPr>
        <w:pStyle w:val="FootnoteText"/>
        <w:numPr>
          <w:ilvl w:val="0"/>
          <w:numId w:val="0"/>
        </w:numPr>
        <w:ind w:left="360" w:hanging="360"/>
      </w:pPr>
      <w:r>
        <w:rPr>
          <w:rStyle w:val="FootnoteReference"/>
        </w:rPr>
        <w:footnoteRef/>
      </w:r>
      <w:r>
        <w:t xml:space="preserve"> Decision (D.) 20-04-004 at 16.</w:t>
      </w:r>
    </w:p>
  </w:footnote>
  <w:footnote w:id="13">
    <w:p w14:paraId="58D453BB" w14:textId="77777777" w:rsidR="002238AE" w:rsidRPr="00C80046" w:rsidRDefault="002238AE" w:rsidP="00566B5A">
      <w:pPr>
        <w:spacing w:after="240"/>
        <w:rPr>
          <w:bCs/>
          <w:sz w:val="24"/>
          <w:szCs w:val="24"/>
        </w:rPr>
      </w:pPr>
      <w:r>
        <w:rPr>
          <w:rStyle w:val="FootnoteReference"/>
        </w:rPr>
        <w:footnoteRef/>
      </w:r>
      <w:r>
        <w:t xml:space="preserve"> </w:t>
      </w:r>
      <w:r w:rsidRPr="00C80046">
        <w:rPr>
          <w:bCs/>
          <w:sz w:val="24"/>
          <w:szCs w:val="24"/>
        </w:rPr>
        <w:t>Apple Tree Village, Canyon View Estates, Holly Hills Mobile Estates, Hudsons MHP, Paradise TP, Rocky Lane MP, The Plantation, and The Woodlands MHP have not submitted an application.</w:t>
      </w:r>
    </w:p>
  </w:footnote>
  <w:footnote w:id="14">
    <w:p w14:paraId="02B474F6" w14:textId="4A118DC4" w:rsidR="002238AE" w:rsidRDefault="002238AE">
      <w:pPr>
        <w:pStyle w:val="FootnoteText"/>
        <w:numPr>
          <w:ilvl w:val="0"/>
          <w:numId w:val="0"/>
        </w:numPr>
      </w:pPr>
      <w:r>
        <w:rPr>
          <w:rStyle w:val="FootnoteReference"/>
        </w:rPr>
        <w:footnoteRef/>
      </w:r>
      <w:r>
        <w:t xml:space="preserve"> Dual conversion refers to converting both gas and electric distribution systems in a MHP.</w:t>
      </w:r>
    </w:p>
  </w:footnote>
  <w:footnote w:id="15">
    <w:p w14:paraId="7B808F9A" w14:textId="1AD21CE4" w:rsidR="002238AE" w:rsidRDefault="002238AE" w:rsidP="00D61BEC">
      <w:pPr>
        <w:pStyle w:val="FootnoteText"/>
        <w:numPr>
          <w:ilvl w:val="0"/>
          <w:numId w:val="0"/>
        </w:numPr>
      </w:pPr>
      <w:r>
        <w:rPr>
          <w:rStyle w:val="FootnoteReference"/>
        </w:rPr>
        <w:footnoteRef/>
      </w:r>
      <w:r>
        <w:t xml:space="preserve"> </w:t>
      </w:r>
      <w:r w:rsidRPr="00D14C8F">
        <w:t>As addressed in D.14-03-021</w:t>
      </w:r>
      <w:r>
        <w:t xml:space="preserve"> for the MHP </w:t>
      </w:r>
      <w:r w:rsidRPr="00C321FA">
        <w:t>Pilot, and incorporated into the MHP program</w:t>
      </w:r>
      <w:r>
        <w:t xml:space="preserve">, </w:t>
      </w:r>
      <w:r w:rsidRPr="00C321FA">
        <w:t>SED prio</w:t>
      </w:r>
      <w:r w:rsidRPr="00D14C8F">
        <w:t>ritize</w:t>
      </w:r>
      <w:r>
        <w:t>s</w:t>
      </w:r>
      <w:r w:rsidRPr="00D14C8F">
        <w:t xml:space="preserve"> the MHPs based on safety first and then on reliability and capacity improvements.  Once SED has a list of eligible MHPs prioritized by this risk profile, SED </w:t>
      </w:r>
      <w:r>
        <w:t>sorts</w:t>
      </w:r>
      <w:r w:rsidRPr="00D14C8F">
        <w:t xml:space="preserve"> the MHPs into three categories.  Category 1 comprises 10% of the eligible MHP spaces in a utility’s territory</w:t>
      </w:r>
      <w:r>
        <w:t xml:space="preserve"> </w:t>
      </w:r>
      <w:r w:rsidRPr="00D14C8F">
        <w:t>and represents the highest risk systems.  Category 2 comprises an additional 10% of the eligible MHP spaces in a utility’s territory and represents systems with less inherent risk than Category 1.  Category 3 comprises the remaining 80% of eligible MHP spaces in a utility’s territory. Each utility schedule</w:t>
      </w:r>
      <w:r>
        <w:t>s</w:t>
      </w:r>
      <w:r w:rsidRPr="00D14C8F">
        <w:t xml:space="preserve"> work to most efficiently to complete work for MHPs from the Category 1 list provided by SED.  </w:t>
      </w:r>
    </w:p>
  </w:footnote>
  <w:footnote w:id="16">
    <w:p w14:paraId="11155EA3" w14:textId="6842249F" w:rsidR="002238AE" w:rsidRDefault="002238AE" w:rsidP="009A2015">
      <w:pPr>
        <w:pStyle w:val="FootnoteText"/>
        <w:numPr>
          <w:ilvl w:val="0"/>
          <w:numId w:val="0"/>
        </w:numPr>
        <w:ind w:left="360" w:hanging="360"/>
      </w:pPr>
      <w:r>
        <w:rPr>
          <w:rStyle w:val="FootnoteReference"/>
        </w:rPr>
        <w:footnoteRef/>
      </w:r>
      <w:r>
        <w:t xml:space="preserve"> </w:t>
      </w:r>
      <w:r w:rsidRPr="00DB73AE">
        <w:t>D.20-04-004 Conclusion of Law 18.</w:t>
      </w:r>
      <w:r w:rsidRPr="00DB73AE" w:rsidDel="00DB73AE">
        <w:t xml:space="preserve"> </w:t>
      </w:r>
    </w:p>
  </w:footnote>
  <w:footnote w:id="17">
    <w:p w14:paraId="553E36CF" w14:textId="4ED11EF9" w:rsidR="002238AE" w:rsidRDefault="002238AE" w:rsidP="009A2015">
      <w:pPr>
        <w:pStyle w:val="FootnoteText"/>
        <w:numPr>
          <w:ilvl w:val="0"/>
          <w:numId w:val="0"/>
        </w:numPr>
        <w:ind w:left="360" w:hanging="360"/>
      </w:pPr>
      <w:r>
        <w:rPr>
          <w:rStyle w:val="FootnoteReference"/>
        </w:rPr>
        <w:footnoteRef/>
      </w:r>
      <w:r>
        <w:t xml:space="preserve"> </w:t>
      </w:r>
      <w:r w:rsidRPr="005E57AE">
        <w:t>Assigned Commissioner’s Phase 2 Scoping Memo and Ruling for R.18-04-018 at 6</w:t>
      </w:r>
    </w:p>
  </w:footnote>
  <w:footnote w:id="18">
    <w:p w14:paraId="10988049" w14:textId="041A0A54" w:rsidR="002238AE" w:rsidRDefault="002238AE">
      <w:pPr>
        <w:pStyle w:val="FootnoteText"/>
        <w:numPr>
          <w:ilvl w:val="0"/>
          <w:numId w:val="0"/>
        </w:numPr>
      </w:pPr>
      <w:r>
        <w:rPr>
          <w:rStyle w:val="FootnoteReference"/>
        </w:rPr>
        <w:footnoteRef/>
      </w:r>
      <w:r>
        <w:t xml:space="preserve"> Jeffrey Mishkin had not indicated affiliation with any organization in the email.  </w:t>
      </w:r>
      <w:r w:rsidRPr="00E9305B">
        <w:t>The protestant</w:t>
      </w:r>
      <w:r>
        <w:t>s</w:t>
      </w:r>
      <w:r w:rsidRPr="00E9305B">
        <w:t xml:space="preserve"> may not reply to the utility’s reply</w:t>
      </w:r>
      <w:r>
        <w:t xml:space="preserve"> according to Section 7.4.3 of General Order (GO) 96-B.  Therefore, the contents of Ridgewood MHP's reply and Jeffrey Mishkin's comments are not discussed in this Resolution. </w:t>
      </w:r>
    </w:p>
  </w:footnote>
  <w:footnote w:id="19">
    <w:p w14:paraId="05559867" w14:textId="5DA05FE6" w:rsidR="002238AE" w:rsidRDefault="002238AE" w:rsidP="003E0CB9">
      <w:pPr>
        <w:pStyle w:val="FootnoteText"/>
        <w:numPr>
          <w:ilvl w:val="0"/>
          <w:numId w:val="0"/>
        </w:numPr>
      </w:pPr>
      <w:r>
        <w:rPr>
          <w:rStyle w:val="FootnoteReference"/>
        </w:rPr>
        <w:footnoteRef/>
      </w:r>
      <w:r>
        <w:t xml:space="preserve"> Protests of </w:t>
      </w:r>
      <w:r w:rsidRPr="00333D05">
        <w:t>Evergreen Mobile Home Park</w:t>
      </w:r>
      <w:r>
        <w:rPr>
          <w:sz w:val="26"/>
        </w:rPr>
        <w:t xml:space="preserve">, </w:t>
      </w:r>
      <w:r w:rsidRPr="003E0CB9">
        <w:t>Pine Springs MHP</w:t>
      </w:r>
      <w:r>
        <w:t xml:space="preserve">, </w:t>
      </w:r>
      <w:r w:rsidRPr="003E0CB9">
        <w:t>Pheasant Ridge Mobile Estate</w:t>
      </w:r>
      <w:r>
        <w:t>, and</w:t>
      </w:r>
      <w:r w:rsidRPr="003E0CB9">
        <w:t xml:space="preserve"> Ridgewood MHP at 1</w:t>
      </w:r>
      <w:r>
        <w:t xml:space="preserve">. </w:t>
      </w:r>
    </w:p>
  </w:footnote>
  <w:footnote w:id="20">
    <w:p w14:paraId="7B9F9DB3" w14:textId="014D7444" w:rsidR="002238AE" w:rsidRDefault="002238AE" w:rsidP="00F6776C">
      <w:pPr>
        <w:pStyle w:val="FootnoteText"/>
        <w:numPr>
          <w:ilvl w:val="0"/>
          <w:numId w:val="0"/>
        </w:numPr>
      </w:pPr>
      <w:r>
        <w:rPr>
          <w:rStyle w:val="FootnoteReference"/>
        </w:rPr>
        <w:footnoteRef/>
      </w:r>
      <w:r>
        <w:t xml:space="preserve"> Protests of </w:t>
      </w:r>
      <w:r w:rsidRPr="00501DF1">
        <w:t xml:space="preserve">Forest Glenn MHP, Pheasant Ridge Mobile Estate, </w:t>
      </w:r>
      <w:r w:rsidRPr="0078279B">
        <w:t xml:space="preserve">Pine Springs MHP, Ridgewood MHP, </w:t>
      </w:r>
      <w:r>
        <w:t xml:space="preserve">Evergreen MHP, </w:t>
      </w:r>
      <w:r w:rsidRPr="0078279B">
        <w:t>and Skyway Villa MHP</w:t>
      </w:r>
      <w:r>
        <w:t xml:space="preserve"> at 1.</w:t>
      </w:r>
    </w:p>
  </w:footnote>
  <w:footnote w:id="21">
    <w:p w14:paraId="0299B343" w14:textId="2368B61D" w:rsidR="002238AE" w:rsidRDefault="002238AE" w:rsidP="006430CC">
      <w:pPr>
        <w:pStyle w:val="FootnoteText"/>
        <w:numPr>
          <w:ilvl w:val="0"/>
          <w:numId w:val="0"/>
        </w:numPr>
      </w:pPr>
      <w:r>
        <w:rPr>
          <w:rStyle w:val="FootnoteReference"/>
        </w:rPr>
        <w:footnoteRef/>
      </w:r>
      <w:r>
        <w:t xml:space="preserve"> </w:t>
      </w:r>
      <w:r w:rsidRPr="007B2EB8">
        <w:t>Protests of Evergreen MHP</w:t>
      </w:r>
      <w:r>
        <w:t>,</w:t>
      </w:r>
      <w:r w:rsidRPr="007B2EB8">
        <w:t xml:space="preserve"> Forest Glenn MHP, Pheasant Ridge Mobile Estate, Pine Springs MHP, Ridgewood MHP, and Skyway Villa MHP at 1</w:t>
      </w:r>
      <w:r>
        <w:t>.</w:t>
      </w:r>
    </w:p>
  </w:footnote>
  <w:footnote w:id="22">
    <w:p w14:paraId="6B5D2FE0" w14:textId="423DFC99" w:rsidR="002238AE" w:rsidRDefault="002238AE" w:rsidP="00C13BE7">
      <w:pPr>
        <w:pStyle w:val="FootnoteText"/>
        <w:numPr>
          <w:ilvl w:val="0"/>
          <w:numId w:val="0"/>
        </w:numPr>
        <w:ind w:left="360" w:hanging="360"/>
      </w:pPr>
      <w:r>
        <w:rPr>
          <w:rStyle w:val="FootnoteReference"/>
        </w:rPr>
        <w:footnoteRef/>
      </w:r>
      <w:r>
        <w:t xml:space="preserve"> </w:t>
      </w:r>
      <w:r w:rsidRPr="00E91EE6">
        <w:t>PG&amp;E’s reply to protest at 2.</w:t>
      </w:r>
    </w:p>
  </w:footnote>
  <w:footnote w:id="23">
    <w:p w14:paraId="6B8ADBA5" w14:textId="10AE7F3A" w:rsidR="002238AE" w:rsidRDefault="002238AE" w:rsidP="00F6776C">
      <w:pPr>
        <w:pStyle w:val="FootnoteText"/>
        <w:numPr>
          <w:ilvl w:val="0"/>
          <w:numId w:val="0"/>
        </w:numPr>
        <w:ind w:left="360" w:hanging="360"/>
      </w:pPr>
      <w:r>
        <w:rPr>
          <w:rStyle w:val="FootnoteReference"/>
        </w:rPr>
        <w:footnoteRef/>
      </w:r>
      <w:r>
        <w:t xml:space="preserve"> Ibid.</w:t>
      </w:r>
    </w:p>
  </w:footnote>
  <w:footnote w:id="24">
    <w:p w14:paraId="3EB9CFE3" w14:textId="41A1FFBE" w:rsidR="002238AE" w:rsidRDefault="002238AE" w:rsidP="00BE3DB1">
      <w:pPr>
        <w:pStyle w:val="FootnoteText"/>
        <w:numPr>
          <w:ilvl w:val="0"/>
          <w:numId w:val="0"/>
        </w:numPr>
      </w:pPr>
      <w:r>
        <w:rPr>
          <w:rStyle w:val="FootnoteReference"/>
        </w:rPr>
        <w:footnoteRef/>
      </w:r>
      <w:r>
        <w:t xml:space="preserve"> PG&amp;E indicated in a data response to Energy Division dated 4/6/20, that “N</w:t>
      </w:r>
      <w:r w:rsidRPr="00826D9C">
        <w:t>o waste/hazardous material has been removed by PG&amp;E. All waste/hazardous material removal was performed at the owner’s expense and/or via the Butte County/CalOES Right-Of-Entry Permit Program. During pre-construction/construction if there are any soils found that do not meet environmental standards, those soils will be removed as part of this program. PG&amp;E has yet to find any issues associated with environmentally sensitive soils.</w:t>
      </w:r>
      <w:r>
        <w:t>”</w:t>
      </w:r>
    </w:p>
  </w:footnote>
  <w:footnote w:id="25">
    <w:p w14:paraId="76A7179E" w14:textId="058A105B" w:rsidR="002238AE" w:rsidRDefault="002238AE" w:rsidP="00F6776C">
      <w:pPr>
        <w:pStyle w:val="FootnoteText"/>
        <w:numPr>
          <w:ilvl w:val="0"/>
          <w:numId w:val="0"/>
        </w:numPr>
        <w:ind w:left="360" w:hanging="360"/>
      </w:pPr>
      <w:r>
        <w:rPr>
          <w:rStyle w:val="FootnoteReference"/>
        </w:rPr>
        <w:footnoteRef/>
      </w:r>
      <w:r>
        <w:t xml:space="preserve"> Protest of </w:t>
      </w:r>
      <w:r w:rsidRPr="00092482">
        <w:t>Evergreen MHP</w:t>
      </w:r>
      <w:r>
        <w:t xml:space="preserve"> at 1.</w:t>
      </w:r>
    </w:p>
  </w:footnote>
  <w:footnote w:id="26">
    <w:p w14:paraId="0341F1AD" w14:textId="77777777" w:rsidR="002238AE" w:rsidRDefault="002238AE" w:rsidP="00F6776C">
      <w:pPr>
        <w:pStyle w:val="FootnoteText"/>
        <w:numPr>
          <w:ilvl w:val="0"/>
          <w:numId w:val="0"/>
        </w:numPr>
        <w:ind w:left="360" w:hanging="360"/>
      </w:pPr>
      <w:r>
        <w:rPr>
          <w:rStyle w:val="FootnoteReference"/>
        </w:rPr>
        <w:footnoteRef/>
      </w:r>
      <w:r>
        <w:t xml:space="preserve"> </w:t>
      </w:r>
      <w:r w:rsidRPr="00FB78FA">
        <w:t>Ibid.</w:t>
      </w:r>
    </w:p>
  </w:footnote>
  <w:footnote w:id="27">
    <w:p w14:paraId="2BA849B0" w14:textId="209815D3" w:rsidR="002238AE" w:rsidRDefault="002238AE" w:rsidP="00F1349D">
      <w:pPr>
        <w:pStyle w:val="FootnoteText"/>
        <w:numPr>
          <w:ilvl w:val="0"/>
          <w:numId w:val="0"/>
        </w:numPr>
      </w:pPr>
      <w:r>
        <w:rPr>
          <w:rStyle w:val="FootnoteReference"/>
        </w:rPr>
        <w:footnoteRef/>
      </w:r>
      <w:r>
        <w:t xml:space="preserve"> Protest of </w:t>
      </w:r>
      <w:r w:rsidRPr="00525AE9">
        <w:t>Evergreen MHP</w:t>
      </w:r>
      <w:r>
        <w:t xml:space="preserve"> at 1.</w:t>
      </w:r>
    </w:p>
  </w:footnote>
  <w:footnote w:id="28">
    <w:p w14:paraId="13E13545" w14:textId="1CA2183A" w:rsidR="002238AE" w:rsidRDefault="002238AE" w:rsidP="00F6776C">
      <w:pPr>
        <w:pStyle w:val="FootnoteText"/>
        <w:numPr>
          <w:ilvl w:val="0"/>
          <w:numId w:val="0"/>
        </w:numPr>
        <w:ind w:left="360" w:hanging="360"/>
      </w:pPr>
      <w:r>
        <w:rPr>
          <w:rStyle w:val="FootnoteReference"/>
        </w:rPr>
        <w:footnoteRef/>
      </w:r>
      <w:r>
        <w:t xml:space="preserve"> </w:t>
      </w:r>
      <w:r w:rsidRPr="007B2EB8">
        <w:t>PG&amp;E’s reply to protest at 2</w:t>
      </w:r>
      <w:r>
        <w:t>.</w:t>
      </w:r>
    </w:p>
  </w:footnote>
  <w:footnote w:id="29">
    <w:p w14:paraId="3B172B21" w14:textId="11882025" w:rsidR="002238AE" w:rsidRDefault="002238AE" w:rsidP="00143EA7">
      <w:pPr>
        <w:pStyle w:val="FootnoteText"/>
        <w:numPr>
          <w:ilvl w:val="0"/>
          <w:numId w:val="0"/>
        </w:numPr>
      </w:pPr>
      <w:r>
        <w:rPr>
          <w:rStyle w:val="FootnoteReference"/>
        </w:rPr>
        <w:footnoteRef/>
      </w:r>
      <w:r>
        <w:t xml:space="preserve"> Protests of </w:t>
      </w:r>
      <w:r w:rsidRPr="00F30069">
        <w:t>Forest Glenn MHP, Pheasant Ridge Mobile Estate, Pine Springs MHP, Ridgewood MHP</w:t>
      </w:r>
      <w:r>
        <w:t xml:space="preserve"> at 2.</w:t>
      </w:r>
    </w:p>
  </w:footnote>
  <w:footnote w:id="30">
    <w:p w14:paraId="02DE759F" w14:textId="2E45F253" w:rsidR="002238AE" w:rsidRDefault="002238AE" w:rsidP="00143EA7">
      <w:pPr>
        <w:pStyle w:val="FootnoteText"/>
        <w:numPr>
          <w:ilvl w:val="0"/>
          <w:numId w:val="0"/>
        </w:numPr>
        <w:ind w:left="360" w:hanging="360"/>
      </w:pPr>
      <w:r>
        <w:rPr>
          <w:rStyle w:val="FootnoteReference"/>
        </w:rPr>
        <w:footnoteRef/>
      </w:r>
      <w:r>
        <w:t xml:space="preserve"> </w:t>
      </w:r>
      <w:r w:rsidRPr="00664022">
        <w:t>PG&amp;E’s reply to protest at 3</w:t>
      </w:r>
      <w:r>
        <w:t>.</w:t>
      </w:r>
    </w:p>
  </w:footnote>
  <w:footnote w:id="31">
    <w:p w14:paraId="668676AB" w14:textId="05EE81F6" w:rsidR="002238AE" w:rsidRDefault="002238AE" w:rsidP="001A70A7">
      <w:pPr>
        <w:pStyle w:val="FootnoteText"/>
        <w:numPr>
          <w:ilvl w:val="0"/>
          <w:numId w:val="0"/>
        </w:numPr>
        <w:ind w:left="360" w:hanging="360"/>
      </w:pPr>
      <w:r>
        <w:rPr>
          <w:rStyle w:val="FootnoteReference"/>
        </w:rPr>
        <w:footnoteRef/>
      </w:r>
      <w:r>
        <w:t xml:space="preserve"> </w:t>
      </w:r>
      <w:r w:rsidRPr="00B21D83">
        <w:t>PG&amp;E’s reply to protest at 3</w:t>
      </w:r>
      <w:r>
        <w:t>.</w:t>
      </w:r>
    </w:p>
  </w:footnote>
  <w:footnote w:id="32">
    <w:p w14:paraId="50807A24" w14:textId="3CB930BC" w:rsidR="002238AE" w:rsidRDefault="002238AE">
      <w:pPr>
        <w:pStyle w:val="FootnoteText"/>
        <w:numPr>
          <w:ilvl w:val="0"/>
          <w:numId w:val="0"/>
        </w:numPr>
      </w:pPr>
      <w:r>
        <w:rPr>
          <w:rStyle w:val="FootnoteReference"/>
        </w:rPr>
        <w:footnoteRef/>
      </w:r>
      <w:r>
        <w:t xml:space="preserve"> Section 2.3.6 of the Greenbook specifies mobilehome park gas service requirements and section 6.4.1 specifies electric service requirements.</w:t>
      </w:r>
    </w:p>
  </w:footnote>
  <w:footnote w:id="33">
    <w:p w14:paraId="5130F60F" w14:textId="4BCF1751" w:rsidR="002238AE" w:rsidRDefault="002238AE" w:rsidP="00143EA7">
      <w:pPr>
        <w:pStyle w:val="FootnoteText"/>
        <w:numPr>
          <w:ilvl w:val="0"/>
          <w:numId w:val="0"/>
        </w:numPr>
      </w:pPr>
      <w:r>
        <w:rPr>
          <w:rStyle w:val="FootnoteReference"/>
        </w:rPr>
        <w:footnoteRef/>
      </w:r>
      <w:r>
        <w:t xml:space="preserve"> </w:t>
      </w:r>
      <w:r w:rsidRPr="003E0CB9">
        <w:t>Protest</w:t>
      </w:r>
      <w:r>
        <w:t>s</w:t>
      </w:r>
      <w:r w:rsidRPr="003E0CB9">
        <w:t xml:space="preserve"> of Pine Springs MHP</w:t>
      </w:r>
      <w:r>
        <w:t xml:space="preserve">, </w:t>
      </w:r>
      <w:r w:rsidRPr="003E0CB9">
        <w:t>Pheasant Ridge Mobile Estate</w:t>
      </w:r>
      <w:r>
        <w:t xml:space="preserve">, and </w:t>
      </w:r>
      <w:r w:rsidRPr="003E0CB9">
        <w:t>Ridgewood MHP at 1</w:t>
      </w:r>
      <w:r>
        <w:t>.</w:t>
      </w:r>
    </w:p>
  </w:footnote>
  <w:footnote w:id="34">
    <w:p w14:paraId="5E5C885F" w14:textId="125FB036" w:rsidR="002238AE" w:rsidRDefault="002238AE" w:rsidP="00143EA7">
      <w:pPr>
        <w:pStyle w:val="FootnoteText"/>
        <w:numPr>
          <w:ilvl w:val="0"/>
          <w:numId w:val="0"/>
        </w:numPr>
      </w:pPr>
      <w:r>
        <w:rPr>
          <w:rStyle w:val="FootnoteReference"/>
        </w:rPr>
        <w:footnoteRef/>
      </w:r>
      <w:r>
        <w:t xml:space="preserve"> </w:t>
      </w:r>
      <w:r w:rsidRPr="00E901AD">
        <w:t>Protests of Evergreen Mobile Home Park</w:t>
      </w:r>
      <w:r>
        <w:t xml:space="preserve">, </w:t>
      </w:r>
      <w:r w:rsidRPr="000601F7">
        <w:t>Forest Glenn MHP, and Skyway Villa MHP</w:t>
      </w:r>
      <w:r>
        <w:t xml:space="preserve"> at </w:t>
      </w:r>
      <w:r w:rsidRPr="00A763F9">
        <w:t>1</w:t>
      </w:r>
      <w:r>
        <w:t>.</w:t>
      </w:r>
    </w:p>
  </w:footnote>
  <w:footnote w:id="35">
    <w:p w14:paraId="1EE88612" w14:textId="77777777" w:rsidR="002238AE" w:rsidRDefault="002238AE" w:rsidP="00143EA7">
      <w:pPr>
        <w:pStyle w:val="FootnoteText"/>
        <w:numPr>
          <w:ilvl w:val="0"/>
          <w:numId w:val="0"/>
        </w:numPr>
        <w:ind w:left="360" w:hanging="360"/>
      </w:pPr>
      <w:r>
        <w:rPr>
          <w:rStyle w:val="FootnoteReference"/>
        </w:rPr>
        <w:footnoteRef/>
      </w:r>
      <w:r>
        <w:t xml:space="preserve"> </w:t>
      </w:r>
      <w:r w:rsidRPr="00FC2436">
        <w:t>Federal Emergency Management Agency</w:t>
      </w:r>
      <w:r>
        <w:t xml:space="preserve"> (FEMA)</w:t>
      </w:r>
    </w:p>
  </w:footnote>
  <w:footnote w:id="36">
    <w:p w14:paraId="596C270C" w14:textId="5D9FA4F7" w:rsidR="002238AE" w:rsidRDefault="002238AE" w:rsidP="00143EA7">
      <w:pPr>
        <w:pStyle w:val="FootnoteText"/>
        <w:numPr>
          <w:ilvl w:val="0"/>
          <w:numId w:val="0"/>
        </w:numPr>
        <w:ind w:left="360" w:hanging="360"/>
      </w:pPr>
      <w:r>
        <w:rPr>
          <w:rStyle w:val="FootnoteReference"/>
        </w:rPr>
        <w:footnoteRef/>
      </w:r>
      <w:r>
        <w:t xml:space="preserve"> Protest of </w:t>
      </w:r>
      <w:r w:rsidRPr="0029594A">
        <w:t>Forest Glen MHP</w:t>
      </w:r>
      <w:r>
        <w:t xml:space="preserve"> at 1.</w:t>
      </w:r>
    </w:p>
  </w:footnote>
  <w:footnote w:id="37">
    <w:p w14:paraId="2522CE47" w14:textId="077869DA" w:rsidR="002238AE" w:rsidRDefault="002238AE" w:rsidP="00143EA7">
      <w:pPr>
        <w:pStyle w:val="FootnoteText"/>
        <w:numPr>
          <w:ilvl w:val="0"/>
          <w:numId w:val="0"/>
        </w:numPr>
        <w:ind w:left="360" w:hanging="360"/>
      </w:pPr>
      <w:r>
        <w:rPr>
          <w:rStyle w:val="FootnoteReference"/>
        </w:rPr>
        <w:footnoteRef/>
      </w:r>
      <w:r>
        <w:t xml:space="preserve"> Protest of </w:t>
      </w:r>
      <w:r w:rsidRPr="00AF5FF9">
        <w:t>Skyway Villa MHP</w:t>
      </w:r>
      <w:r>
        <w:t xml:space="preserve"> at 1.</w:t>
      </w:r>
    </w:p>
  </w:footnote>
  <w:footnote w:id="38">
    <w:p w14:paraId="4350483E" w14:textId="1CDB9E00" w:rsidR="002238AE" w:rsidRDefault="002238AE" w:rsidP="00143EA7">
      <w:pPr>
        <w:pStyle w:val="FootnoteText"/>
        <w:numPr>
          <w:ilvl w:val="0"/>
          <w:numId w:val="0"/>
        </w:numPr>
        <w:ind w:left="360" w:hanging="360"/>
      </w:pPr>
      <w:r>
        <w:rPr>
          <w:rStyle w:val="FootnoteReference"/>
        </w:rPr>
        <w:footnoteRef/>
      </w:r>
      <w:r>
        <w:t xml:space="preserve"> Protest of Ridgewood MHP at 1.</w:t>
      </w:r>
    </w:p>
  </w:footnote>
  <w:footnote w:id="39">
    <w:p w14:paraId="79F0532D" w14:textId="4F663FC8" w:rsidR="002238AE" w:rsidRDefault="002238AE" w:rsidP="00143EA7">
      <w:pPr>
        <w:pStyle w:val="FootnoteText"/>
        <w:numPr>
          <w:ilvl w:val="0"/>
          <w:numId w:val="0"/>
        </w:numPr>
        <w:ind w:left="360" w:hanging="360"/>
      </w:pPr>
      <w:r>
        <w:rPr>
          <w:rStyle w:val="FootnoteReference"/>
        </w:rPr>
        <w:footnoteRef/>
      </w:r>
      <w:r>
        <w:t xml:space="preserve"> PG&amp;E’s reply to protest at 2.</w:t>
      </w:r>
    </w:p>
  </w:footnote>
  <w:footnote w:id="40">
    <w:p w14:paraId="7CC30BDD" w14:textId="7AB4886B" w:rsidR="002238AE" w:rsidRPr="00D75036" w:rsidRDefault="002238AE" w:rsidP="00143EA7">
      <w:pPr>
        <w:pStyle w:val="FootnoteText"/>
        <w:numPr>
          <w:ilvl w:val="0"/>
          <w:numId w:val="0"/>
        </w:numPr>
        <w:rPr>
          <w:bCs/>
        </w:rPr>
      </w:pPr>
      <w:r>
        <w:rPr>
          <w:rStyle w:val="FootnoteReference"/>
        </w:rPr>
        <w:footnoteRef/>
      </w:r>
      <w:r>
        <w:t xml:space="preserve"> </w:t>
      </w:r>
      <w:r w:rsidRPr="00D75036">
        <w:rPr>
          <w:bCs/>
        </w:rPr>
        <w:t>PG&amp;E proposes to use 3</w:t>
      </w:r>
      <w:r>
        <w:rPr>
          <w:bCs/>
        </w:rPr>
        <w:t>-inch</w:t>
      </w:r>
      <w:r w:rsidRPr="00D75036">
        <w:rPr>
          <w:bCs/>
        </w:rPr>
        <w:t xml:space="preserve"> Polyvinyl Chloride (PVC) conduits instead of its standard 2</w:t>
      </w:r>
      <w:r>
        <w:rPr>
          <w:bCs/>
        </w:rPr>
        <w:t>-inch</w:t>
      </w:r>
      <w:r w:rsidRPr="00D75036">
        <w:rPr>
          <w:bCs/>
        </w:rPr>
        <w:t xml:space="preserve"> PVC conduits for MHP </w:t>
      </w:r>
      <w:r>
        <w:rPr>
          <w:bCs/>
        </w:rPr>
        <w:t>100 amp</w:t>
      </w:r>
      <w:r w:rsidRPr="00D75036">
        <w:rPr>
          <w:bCs/>
        </w:rPr>
        <w:t xml:space="preserve"> service.  This is to enable a future upgrade to 200</w:t>
      </w:r>
      <w:r>
        <w:rPr>
          <w:bCs/>
        </w:rPr>
        <w:t xml:space="preserve"> </w:t>
      </w:r>
      <w:r w:rsidRPr="00D75036">
        <w:rPr>
          <w:bCs/>
        </w:rPr>
        <w:t>amp service.</w:t>
      </w:r>
      <w:r>
        <w:rPr>
          <w:bCs/>
        </w:rPr>
        <w:t xml:space="preserve">  </w:t>
      </w:r>
      <w:r w:rsidRPr="00EF0B1B">
        <w:rPr>
          <w:bCs/>
        </w:rPr>
        <w:t>BCMHPRP</w:t>
      </w:r>
      <w:r>
        <w:rPr>
          <w:bCs/>
        </w:rPr>
        <w:t xml:space="preserve"> refers to the Butte County Mobilehome Park Rebuild Program.</w:t>
      </w:r>
    </w:p>
  </w:footnote>
  <w:footnote w:id="41">
    <w:p w14:paraId="5CEBCBCA" w14:textId="46B7AE54" w:rsidR="002238AE" w:rsidRDefault="002238AE" w:rsidP="005F178C">
      <w:pPr>
        <w:pStyle w:val="FootnoteText"/>
        <w:numPr>
          <w:ilvl w:val="0"/>
          <w:numId w:val="0"/>
        </w:numPr>
      </w:pPr>
      <w:r>
        <w:rPr>
          <w:rStyle w:val="FootnoteReference"/>
        </w:rPr>
        <w:footnoteRef/>
      </w:r>
      <w:r>
        <w:t xml:space="preserve"> </w:t>
      </w:r>
      <w:bookmarkStart w:id="32" w:name="_Hlk41057840"/>
      <w:r>
        <w:t xml:space="preserve">Protests of </w:t>
      </w:r>
      <w:r w:rsidRPr="00664022">
        <w:t>Forest Glenn MHP, Pheasant Ridge Mobile Estate, Pine Springs MHP, and Ridgewood MHP</w:t>
      </w:r>
      <w:r>
        <w:t xml:space="preserve"> at 2</w:t>
      </w:r>
      <w:bookmarkEnd w:id="32"/>
      <w:r>
        <w:t>.</w:t>
      </w:r>
    </w:p>
  </w:footnote>
  <w:footnote w:id="42">
    <w:p w14:paraId="6DAA0C2A" w14:textId="6B3D27D1" w:rsidR="002238AE" w:rsidRDefault="002238AE" w:rsidP="0096769F">
      <w:pPr>
        <w:pStyle w:val="FootnoteText"/>
        <w:numPr>
          <w:ilvl w:val="0"/>
          <w:numId w:val="0"/>
        </w:numPr>
        <w:ind w:left="360" w:hanging="360"/>
      </w:pPr>
      <w:r>
        <w:rPr>
          <w:rStyle w:val="FootnoteReference"/>
        </w:rPr>
        <w:footnoteRef/>
      </w:r>
      <w:r>
        <w:t xml:space="preserve"> </w:t>
      </w:r>
      <w:bookmarkStart w:id="34" w:name="_Hlk41058715"/>
      <w:r w:rsidRPr="006A5134">
        <w:t>PG&amp;E’s reply to protest at 3</w:t>
      </w:r>
      <w:bookmarkEnd w:id="34"/>
      <w:r>
        <w:t>.</w:t>
      </w:r>
    </w:p>
  </w:footnote>
  <w:footnote w:id="43">
    <w:p w14:paraId="1C92B13A" w14:textId="09612BDB" w:rsidR="002238AE" w:rsidRDefault="002238AE" w:rsidP="00DF4542">
      <w:pPr>
        <w:pStyle w:val="FootnoteText"/>
        <w:numPr>
          <w:ilvl w:val="0"/>
          <w:numId w:val="0"/>
        </w:numPr>
      </w:pPr>
      <w:r>
        <w:rPr>
          <w:rStyle w:val="FootnoteReference"/>
        </w:rPr>
        <w:footnoteRef/>
      </w:r>
      <w:r>
        <w:t xml:space="preserve"> Section 10.6 of the agreement reads: “</w:t>
      </w:r>
      <w:r w:rsidRPr="00574E66">
        <w:t>As soon as practicable and after any jurisdictional authorities have inspected and approved operation of the “Beyond-the-Meter” work, the MHP Owner/Operator may submit invoices to PG&amp;E for “Beyond-the-Meter” work. Invoices submitted shall be submitted in no less than twenty-five percent (25%) increments based on the number of converted MH-Space compared to the total number of eligible MH-Spaces at the MHP. The final reimbursement for the “Beyond-the-Meter” work will be paid to the MHP Owner/Operator after the final commission has been completed and the entire MHP is ready to receive direct PG&amp;E service.</w:t>
      </w:r>
      <w:r>
        <w:t>”</w:t>
      </w:r>
    </w:p>
  </w:footnote>
  <w:footnote w:id="44">
    <w:p w14:paraId="17AFF092" w14:textId="77777777" w:rsidR="002238AE" w:rsidRDefault="002238AE" w:rsidP="00F32A0A">
      <w:pPr>
        <w:pStyle w:val="FootnoteText"/>
        <w:numPr>
          <w:ilvl w:val="0"/>
          <w:numId w:val="0"/>
        </w:numPr>
      </w:pPr>
      <w:r>
        <w:rPr>
          <w:rStyle w:val="FootnoteReference"/>
        </w:rPr>
        <w:footnoteRef/>
      </w:r>
      <w:r>
        <w:t xml:space="preserve"> </w:t>
      </w:r>
      <w:r w:rsidRPr="006A5134">
        <w:t>Protests of Forest Glenn MHP, Pheasant Ridge Mobile Estate, Pine Springs MHP, and Ridgewood MHP at 2</w:t>
      </w:r>
      <w:r>
        <w:t>.</w:t>
      </w:r>
    </w:p>
  </w:footnote>
  <w:footnote w:id="45">
    <w:p w14:paraId="574F8371" w14:textId="73D9730D" w:rsidR="002238AE" w:rsidRDefault="002238AE" w:rsidP="00345FEC">
      <w:pPr>
        <w:pStyle w:val="FootnoteText"/>
        <w:numPr>
          <w:ilvl w:val="0"/>
          <w:numId w:val="0"/>
        </w:numPr>
        <w:ind w:left="360" w:hanging="360"/>
      </w:pPr>
      <w:r>
        <w:rPr>
          <w:rStyle w:val="FootnoteReference"/>
        </w:rPr>
        <w:footnoteRef/>
      </w:r>
      <w:r>
        <w:t xml:space="preserve"> </w:t>
      </w:r>
      <w:r w:rsidRPr="00C87065">
        <w:t xml:space="preserve">PG&amp;E’s reply to protest at </w:t>
      </w:r>
      <w:r>
        <w:t>4</w:t>
      </w:r>
      <w:r w:rsidRPr="00C87065">
        <w:t>.</w:t>
      </w:r>
    </w:p>
  </w:footnote>
  <w:footnote w:id="46">
    <w:p w14:paraId="5EA6B74D" w14:textId="77777777" w:rsidR="002238AE" w:rsidRDefault="002238AE" w:rsidP="00AB0626">
      <w:pPr>
        <w:pStyle w:val="FootnoteText"/>
        <w:numPr>
          <w:ilvl w:val="0"/>
          <w:numId w:val="0"/>
        </w:numPr>
        <w:ind w:left="360" w:hanging="360"/>
      </w:pPr>
      <w:r>
        <w:rPr>
          <w:rStyle w:val="FootnoteReference"/>
        </w:rPr>
        <w:footnoteRef/>
      </w:r>
      <w:r>
        <w:t xml:space="preserve"> PG&amp;E AL 4116-G/5581-E at 2 and </w:t>
      </w:r>
      <w:r w:rsidRPr="0090281A">
        <w:t xml:space="preserve">PG&amp;E’s reply to protest at </w:t>
      </w:r>
      <w:r>
        <w:t>4.</w:t>
      </w:r>
    </w:p>
  </w:footnote>
  <w:footnote w:id="47">
    <w:p w14:paraId="11A239D1" w14:textId="447FD889" w:rsidR="002238AE" w:rsidRDefault="002238AE" w:rsidP="0096769F">
      <w:pPr>
        <w:pStyle w:val="FootnoteText"/>
        <w:numPr>
          <w:ilvl w:val="0"/>
          <w:numId w:val="0"/>
        </w:numPr>
      </w:pPr>
      <w:r>
        <w:rPr>
          <w:rStyle w:val="FootnoteReference"/>
        </w:rPr>
        <w:footnoteRef/>
      </w:r>
      <w:r>
        <w:t xml:space="preserve"> </w:t>
      </w:r>
      <w:r w:rsidRPr="0090281A">
        <w:t>Protests of Forest Glenn MHP, Pheasant Ridge Mobile Estate, Pine Springs MHP, and Ridgewood MHP at 2</w:t>
      </w:r>
      <w:r>
        <w:t xml:space="preserve">.  </w:t>
      </w:r>
    </w:p>
  </w:footnote>
  <w:footnote w:id="48">
    <w:p w14:paraId="67051CC5" w14:textId="27108A00" w:rsidR="002238AE" w:rsidRDefault="002238AE" w:rsidP="004635D5">
      <w:pPr>
        <w:pStyle w:val="FootnoteText"/>
        <w:numPr>
          <w:ilvl w:val="0"/>
          <w:numId w:val="0"/>
        </w:numPr>
        <w:ind w:left="360" w:hanging="360"/>
      </w:pPr>
      <w:r>
        <w:rPr>
          <w:rStyle w:val="FootnoteReference"/>
        </w:rPr>
        <w:footnoteRef/>
      </w:r>
      <w:r>
        <w:t xml:space="preserve"> Protest of Pheasant Ridge Mobile Estate, at 2 (Emphasis added by protestant).</w:t>
      </w:r>
    </w:p>
  </w:footnote>
  <w:footnote w:id="49">
    <w:p w14:paraId="5180A309" w14:textId="29DBAA21" w:rsidR="002238AE" w:rsidRDefault="002238AE" w:rsidP="00BD0E75">
      <w:pPr>
        <w:pStyle w:val="FootnoteText"/>
        <w:numPr>
          <w:ilvl w:val="0"/>
          <w:numId w:val="0"/>
        </w:numPr>
      </w:pPr>
      <w:r>
        <w:rPr>
          <w:rStyle w:val="FootnoteReference"/>
        </w:rPr>
        <w:footnoteRef/>
      </w:r>
      <w:r>
        <w:t xml:space="preserve"> PG&amp;E notes that t</w:t>
      </w:r>
      <w:r w:rsidRPr="00CB3A5B">
        <w:t xml:space="preserve">he only difference in the entire </w:t>
      </w:r>
      <w:r>
        <w:t>indemnification clause</w:t>
      </w:r>
      <w:r w:rsidRPr="00CB3A5B">
        <w:t xml:space="preserve"> is the substitution of “program” for “conversion.”  </w:t>
      </w:r>
    </w:p>
  </w:footnote>
  <w:footnote w:id="50">
    <w:p w14:paraId="4E766DB0" w14:textId="79EF37EF" w:rsidR="002238AE" w:rsidRDefault="002238AE" w:rsidP="0096769F">
      <w:pPr>
        <w:pStyle w:val="FootnoteText"/>
        <w:numPr>
          <w:ilvl w:val="0"/>
          <w:numId w:val="0"/>
        </w:numPr>
        <w:ind w:left="360" w:hanging="360"/>
      </w:pPr>
      <w:r>
        <w:rPr>
          <w:rStyle w:val="FootnoteReference"/>
        </w:rPr>
        <w:footnoteRef/>
      </w:r>
      <w:r>
        <w:t xml:space="preserve"> </w:t>
      </w:r>
      <w:r w:rsidRPr="0090281A">
        <w:t>PG&amp;E’s reply to protest at 4</w:t>
      </w:r>
      <w:r>
        <w:t>.</w:t>
      </w:r>
    </w:p>
  </w:footnote>
  <w:footnote w:id="51">
    <w:p w14:paraId="1C1520D5" w14:textId="459D4CBB" w:rsidR="002238AE" w:rsidRPr="00827FAB" w:rsidRDefault="002238AE" w:rsidP="00445C7B">
      <w:pPr>
        <w:pStyle w:val="FootnoteText"/>
        <w:numPr>
          <w:ilvl w:val="0"/>
          <w:numId w:val="0"/>
        </w:numPr>
        <w:rPr>
          <w:bCs/>
        </w:rPr>
      </w:pPr>
      <w:r>
        <w:rPr>
          <w:rStyle w:val="FootnoteReference"/>
        </w:rPr>
        <w:footnoteRef/>
      </w:r>
      <w:r>
        <w:t xml:space="preserve"> </w:t>
      </w:r>
      <w:r w:rsidRPr="007C13F7">
        <w:t xml:space="preserve">D.20-04-004, Appendix C, Section 5.6.2 of the </w:t>
      </w:r>
      <w:r w:rsidRPr="007C13F7">
        <w:rPr>
          <w:bCs/>
        </w:rPr>
        <w:t>Proposed Revised Mobilehome Park Utility Upgrade Program Agreement</w:t>
      </w:r>
      <w:r>
        <w:rPr>
          <w:bCs/>
        </w:rPr>
        <w:t xml:space="preserve"> reads as follows: </w:t>
      </w:r>
      <w:r w:rsidRPr="007C13F7">
        <w:t>[Utility] shall not remove the existing legacy system unless necessary, and the system shall be abandoned in place. [Utility] shall isolate the new and existing legacy systems. [Utility] shall not incur any expenses associated with the removal or retirement of the existing system under the MHP Program. Should removal of the sub-metered distribution system be necessary to complete the conversion to direct utility service from [Utility], such costs may, at [Utility]’s discretion, be included in the MHP Program if it is necessary and can be done so efficiently.</w:t>
      </w:r>
    </w:p>
  </w:footnote>
  <w:footnote w:id="52">
    <w:p w14:paraId="7199393B" w14:textId="72F33FC0" w:rsidR="002238AE" w:rsidRDefault="002238AE" w:rsidP="00445C7B">
      <w:r w:rsidRPr="00937D35">
        <w:rPr>
          <w:rStyle w:val="FootnoteReference"/>
          <w:sz w:val="24"/>
          <w:szCs w:val="24"/>
        </w:rPr>
        <w:footnoteRef/>
      </w:r>
      <w:r w:rsidRPr="00937D35">
        <w:rPr>
          <w:sz w:val="24"/>
          <w:szCs w:val="24"/>
        </w:rPr>
        <w:t xml:space="preserve"> PG&amp;E are responsible for removal of</w:t>
      </w:r>
      <w:r w:rsidRPr="00937D35">
        <w:rPr>
          <w:rFonts w:eastAsia="Calibri"/>
          <w:sz w:val="24"/>
          <w:szCs w:val="24"/>
        </w:rPr>
        <w:t xml:space="preserve"> hazardous debris from the Camp Fire, but not required to address preexisting environmental, cultural resource, or endangered species issues.</w:t>
      </w:r>
      <w:r>
        <w:rPr>
          <w:rFonts w:eastAsia="Calibri"/>
          <w:sz w:val="24"/>
          <w:szCs w:val="24"/>
        </w:rPr>
        <w:t xml:space="preserve">  Resolution refers </w:t>
      </w:r>
      <w:r w:rsidRPr="005310DD">
        <w:rPr>
          <w:rFonts w:eastAsia="Calibri"/>
          <w:sz w:val="24"/>
          <w:szCs w:val="24"/>
        </w:rPr>
        <w:t xml:space="preserve">to </w:t>
      </w:r>
      <w:r w:rsidRPr="00F96FAB">
        <w:rPr>
          <w:rFonts w:eastAsia="Calibri"/>
          <w:sz w:val="24"/>
          <w:szCs w:val="24"/>
        </w:rPr>
        <w:t>human</w:t>
      </w:r>
      <w:r w:rsidRPr="005310DD">
        <w:rPr>
          <w:rFonts w:eastAsia="Calibri"/>
          <w:sz w:val="24"/>
          <w:szCs w:val="24"/>
        </w:rPr>
        <w:t>-wildlife </w:t>
      </w:r>
      <w:r w:rsidRPr="00F96FAB">
        <w:rPr>
          <w:rFonts w:eastAsia="Calibri"/>
          <w:sz w:val="24"/>
          <w:szCs w:val="24"/>
        </w:rPr>
        <w:t>conflicts</w:t>
      </w:r>
      <w:r w:rsidRPr="005310DD">
        <w:rPr>
          <w:rFonts w:eastAsia="Calibri"/>
          <w:sz w:val="24"/>
          <w:szCs w:val="24"/>
        </w:rPr>
        <w:t> involving </w:t>
      </w:r>
      <w:r w:rsidRPr="00F96FAB">
        <w:rPr>
          <w:rFonts w:eastAsia="Calibri"/>
          <w:sz w:val="24"/>
          <w:szCs w:val="24"/>
        </w:rPr>
        <w:t>species</w:t>
      </w:r>
      <w:r w:rsidRPr="005310DD">
        <w:rPr>
          <w:rFonts w:eastAsia="Calibri"/>
          <w:sz w:val="24"/>
          <w:szCs w:val="24"/>
        </w:rPr>
        <w:t> of conservation interest</w:t>
      </w:r>
      <w:r>
        <w:rPr>
          <w:rFonts w:eastAsia="Calibri"/>
          <w:sz w:val="24"/>
          <w:szCs w:val="24"/>
        </w:rPr>
        <w:t>.</w:t>
      </w:r>
      <w:r w:rsidRPr="005310DD">
        <w:rPr>
          <w:rFonts w:eastAsia="Calibri"/>
          <w:sz w:val="24"/>
          <w:szCs w:val="24"/>
        </w:rPr>
        <w:t> </w:t>
      </w:r>
    </w:p>
  </w:footnote>
  <w:footnote w:id="53">
    <w:p w14:paraId="1E3592EF" w14:textId="5A134EED" w:rsidR="002238AE" w:rsidRPr="009C68A8" w:rsidRDefault="002238AE" w:rsidP="00445C7B">
      <w:pPr>
        <w:spacing w:after="240"/>
        <w:rPr>
          <w:szCs w:val="24"/>
        </w:rPr>
      </w:pPr>
      <w:r>
        <w:rPr>
          <w:rStyle w:val="FootnoteReference"/>
        </w:rPr>
        <w:footnoteRef/>
      </w:r>
      <w:r>
        <w:t xml:space="preserve"> </w:t>
      </w:r>
      <w:r w:rsidRPr="00937D35">
        <w:rPr>
          <w:sz w:val="24"/>
          <w:szCs w:val="24"/>
        </w:rPr>
        <w:t xml:space="preserve">D.20-04-004 </w:t>
      </w:r>
      <w:r>
        <w:rPr>
          <w:sz w:val="24"/>
          <w:szCs w:val="24"/>
        </w:rPr>
        <w:t>at 132</w:t>
      </w:r>
      <w:r w:rsidRPr="00937D35">
        <w:rPr>
          <w:sz w:val="24"/>
          <w:szCs w:val="24"/>
        </w:rPr>
        <w:t>.</w:t>
      </w:r>
    </w:p>
  </w:footnote>
  <w:footnote w:id="54">
    <w:p w14:paraId="7E8C0837" w14:textId="3C34E95F" w:rsidR="002238AE" w:rsidRDefault="002238AE" w:rsidP="009A2015">
      <w:pPr>
        <w:pStyle w:val="FootnoteText"/>
        <w:numPr>
          <w:ilvl w:val="0"/>
          <w:numId w:val="0"/>
        </w:numPr>
        <w:ind w:left="360" w:hanging="360"/>
      </w:pPr>
      <w:r>
        <w:rPr>
          <w:rStyle w:val="FootnoteReference"/>
        </w:rPr>
        <w:footnoteRef/>
      </w:r>
      <w:r>
        <w:t xml:space="preserve"> Assigned Commissioner’s Phase 2 Scoping Memo and Ruling for R.18-04-018 at 6</w:t>
      </w:r>
    </w:p>
  </w:footnote>
  <w:footnote w:id="55">
    <w:p w14:paraId="51EDBBE7" w14:textId="31C7C76B" w:rsidR="002238AE" w:rsidRDefault="002238AE" w:rsidP="00557A23">
      <w:pPr>
        <w:pStyle w:val="FootnoteText"/>
        <w:numPr>
          <w:ilvl w:val="0"/>
          <w:numId w:val="0"/>
        </w:numPr>
        <w:ind w:left="360" w:hanging="360"/>
      </w:pPr>
      <w:r>
        <w:rPr>
          <w:rStyle w:val="FootnoteReference"/>
        </w:rPr>
        <w:footnoteRef/>
      </w:r>
      <w:r>
        <w:t xml:space="preserve"> PG&amp;E Advice Letter 4116-G/5581-E at 3.</w:t>
      </w:r>
    </w:p>
  </w:footnote>
  <w:footnote w:id="56">
    <w:p w14:paraId="137F376F" w14:textId="012930A4" w:rsidR="002238AE" w:rsidRDefault="002238AE" w:rsidP="00FB3E54">
      <w:pPr>
        <w:pStyle w:val="FootnoteText"/>
        <w:numPr>
          <w:ilvl w:val="0"/>
          <w:numId w:val="0"/>
        </w:numPr>
        <w:ind w:left="360" w:hanging="360"/>
      </w:pPr>
      <w:r>
        <w:rPr>
          <w:rStyle w:val="FootnoteReference"/>
        </w:rPr>
        <w:footnoteRef/>
      </w:r>
      <w:r>
        <w:t xml:space="preserve"> PG&amp;E updated the cost figure in a data response dated 2/9/21</w:t>
      </w:r>
    </w:p>
  </w:footnote>
  <w:footnote w:id="57">
    <w:p w14:paraId="0DCD4337" w14:textId="3C3A1B8D" w:rsidR="002238AE" w:rsidRDefault="002238AE" w:rsidP="00FB3E54">
      <w:pPr>
        <w:pStyle w:val="FootnoteText"/>
        <w:numPr>
          <w:ilvl w:val="0"/>
          <w:numId w:val="0"/>
        </w:numPr>
      </w:pPr>
      <w:r>
        <w:rPr>
          <w:rStyle w:val="FootnoteReference"/>
        </w:rPr>
        <w:footnoteRef/>
      </w:r>
      <w:r>
        <w:t xml:space="preserve"> PG&amp;E indicated in a data response dated 2/19/2021, that this total expenditure in 2020 included </w:t>
      </w:r>
      <w:r w:rsidRPr="0093794A">
        <w:rPr>
          <w:bCs/>
        </w:rPr>
        <w:t>other projects that are anticipated to be active in 2021 and beyond</w:t>
      </w:r>
      <w:r>
        <w:rPr>
          <w:bCs/>
        </w:rPr>
        <w:t>.</w:t>
      </w:r>
    </w:p>
  </w:footnote>
  <w:footnote w:id="58">
    <w:p w14:paraId="1CD2CADE" w14:textId="605DBDDD" w:rsidR="002238AE" w:rsidRDefault="002238AE" w:rsidP="00FB3E54">
      <w:pPr>
        <w:pStyle w:val="FootnoteText"/>
        <w:numPr>
          <w:ilvl w:val="0"/>
          <w:numId w:val="0"/>
        </w:numPr>
      </w:pPr>
      <w:r>
        <w:rPr>
          <w:rStyle w:val="FootnoteReference"/>
        </w:rPr>
        <w:footnoteRef/>
      </w:r>
      <w:r>
        <w:t xml:space="preserve"> </w:t>
      </w:r>
      <w:r w:rsidRPr="00CB3772">
        <w:t xml:space="preserve">Data response to Energy Division on </w:t>
      </w:r>
      <w:r>
        <w:t>2/11/21.</w:t>
      </w:r>
    </w:p>
  </w:footnote>
  <w:footnote w:id="59">
    <w:p w14:paraId="284E7D3D" w14:textId="33C4A01A" w:rsidR="002238AE" w:rsidRDefault="002238AE" w:rsidP="00557A23">
      <w:pPr>
        <w:pStyle w:val="FootnoteText"/>
        <w:numPr>
          <w:ilvl w:val="0"/>
          <w:numId w:val="0"/>
        </w:numPr>
      </w:pPr>
      <w:r>
        <w:rPr>
          <w:rStyle w:val="FootnoteReference"/>
        </w:rPr>
        <w:footnoteRef/>
      </w:r>
      <w:r>
        <w:t xml:space="preserve"> Total Expenditure is a revised estimate based on a data response from PG&amp;E dated February 11, 2021.  PG&amp;E’s estimate in a data response dated </w:t>
      </w:r>
      <w:r w:rsidRPr="00A076B5">
        <w:t>March 30, 2020</w:t>
      </w:r>
      <w:r>
        <w:t>, was $</w:t>
      </w:r>
      <w:r w:rsidRPr="00A63011">
        <w:rPr>
          <w:bCs/>
        </w:rPr>
        <w:t>63,081,475</w:t>
      </w:r>
      <w:r>
        <w:rPr>
          <w:bCs/>
        </w:rPr>
        <w:t xml:space="preserve">, and an </w:t>
      </w:r>
      <w:r w:rsidRPr="0047003A">
        <w:rPr>
          <w:bCs/>
        </w:rPr>
        <w:t xml:space="preserve">initial </w:t>
      </w:r>
      <w:r>
        <w:rPr>
          <w:bCs/>
        </w:rPr>
        <w:t xml:space="preserve">estimate in a data response dated </w:t>
      </w:r>
      <w:r>
        <w:t>October 3, 2019, was</w:t>
      </w:r>
      <w:r w:rsidRPr="00BD1D76">
        <w:t xml:space="preserve"> $71,804,180.</w:t>
      </w:r>
    </w:p>
  </w:footnote>
  <w:footnote w:id="60">
    <w:p w14:paraId="00971FF6" w14:textId="193ED1CD" w:rsidR="002238AE" w:rsidRDefault="002238AE">
      <w:pPr>
        <w:pStyle w:val="FootnoteText"/>
        <w:numPr>
          <w:ilvl w:val="0"/>
          <w:numId w:val="0"/>
        </w:numPr>
      </w:pPr>
      <w:r>
        <w:rPr>
          <w:rStyle w:val="FootnoteReference"/>
        </w:rPr>
        <w:footnoteRef/>
      </w:r>
      <w:r>
        <w:t xml:space="preserve"> Staff compared the confidential electric and gas per space cost of the MHP Pilot with the per space cost of the Rebuild program to determine an exact percentage.  However, the 50% is a rough estimate due to data confidentiality.</w:t>
      </w:r>
    </w:p>
  </w:footnote>
  <w:footnote w:id="61">
    <w:p w14:paraId="66274B59" w14:textId="1A035C79" w:rsidR="002238AE" w:rsidRDefault="002238AE" w:rsidP="00557A23">
      <w:pPr>
        <w:pStyle w:val="FootnoteText"/>
        <w:numPr>
          <w:ilvl w:val="0"/>
          <w:numId w:val="0"/>
        </w:numPr>
        <w:ind w:left="360" w:hanging="360"/>
      </w:pPr>
      <w:r>
        <w:rPr>
          <w:rStyle w:val="FootnoteReference"/>
        </w:rPr>
        <w:footnoteRef/>
      </w:r>
      <w:r>
        <w:t xml:space="preserve"> Data response to Energy Division on 9/26/2019 at 6.</w:t>
      </w:r>
    </w:p>
  </w:footnote>
  <w:footnote w:id="62">
    <w:p w14:paraId="10515CF0" w14:textId="65100EBF" w:rsidR="002238AE" w:rsidRDefault="002238AE" w:rsidP="001A4D49">
      <w:pPr>
        <w:pStyle w:val="FootnoteText"/>
        <w:numPr>
          <w:ilvl w:val="0"/>
          <w:numId w:val="0"/>
        </w:numPr>
      </w:pPr>
      <w:r>
        <w:rPr>
          <w:rStyle w:val="FootnoteReference"/>
        </w:rPr>
        <w:footnoteRef/>
      </w:r>
      <w:r>
        <w:t xml:space="preserve"> D.</w:t>
      </w:r>
      <w:r w:rsidRPr="003F763F">
        <w:t>20-04-004</w:t>
      </w:r>
      <w:r>
        <w:t xml:space="preserve"> at 137</w:t>
      </w:r>
      <w:r w:rsidRPr="003F763F">
        <w:t xml:space="preserve">  </w:t>
      </w:r>
    </w:p>
  </w:footnote>
  <w:footnote w:id="63">
    <w:p w14:paraId="30D4FC55" w14:textId="77777777" w:rsidR="002238AE" w:rsidRDefault="002238AE" w:rsidP="00557A23">
      <w:pPr>
        <w:pStyle w:val="FootnoteText"/>
        <w:numPr>
          <w:ilvl w:val="0"/>
          <w:numId w:val="0"/>
        </w:numPr>
      </w:pPr>
      <w:r>
        <w:rPr>
          <w:rStyle w:val="FootnoteReference"/>
        </w:rPr>
        <w:footnoteRef/>
      </w:r>
      <w:r>
        <w:t xml:space="preserve"> The Department of Housing and Urban Development defines </w:t>
      </w:r>
      <w:r w:rsidRPr="003F396C">
        <w:t>a recreational vehicle as one built on a vehicular structure, not certified as a manufactured home, designed only for recreational use and not as a primary residence or for permanent occupancy, and built and certified in accordance with either the National Fire Protection Association (NFPA) or American National Standards Institute (ANSI) consensus standards for recreational vehicles.</w:t>
      </w:r>
      <w:r>
        <w:t xml:space="preserve">  Please refer to website at: </w:t>
      </w:r>
      <w:hyperlink r:id="rId1" w:history="1">
        <w:r w:rsidRPr="006769F2">
          <w:rPr>
            <w:rStyle w:val="Hyperlink"/>
          </w:rPr>
          <w:t>https://www.hud.gov/sites/documents/FRNOTICE2916.PDF</w:t>
        </w:r>
      </w:hyperlink>
      <w:r>
        <w:t xml:space="preserve">.  </w:t>
      </w:r>
    </w:p>
    <w:p w14:paraId="3913D7C0" w14:textId="3A99F654" w:rsidR="002238AE" w:rsidRDefault="002238AE" w:rsidP="00557A23">
      <w:pPr>
        <w:pStyle w:val="FootnoteText"/>
        <w:numPr>
          <w:ilvl w:val="0"/>
          <w:numId w:val="0"/>
        </w:numPr>
      </w:pPr>
      <w:r>
        <w:t xml:space="preserve">FEMA also provides a detailed definition of Recreational Vehicle at: </w:t>
      </w:r>
      <w:r w:rsidRPr="00866E96">
        <w:t>https://www.fema.gov/glossary/recreational-vehicle</w:t>
      </w:r>
    </w:p>
    <w:p w14:paraId="0C828C66" w14:textId="611D9601" w:rsidR="002238AE" w:rsidRDefault="002238AE" w:rsidP="00557A23">
      <w:pPr>
        <w:pStyle w:val="FootnoteText"/>
        <w:numPr>
          <w:ilvl w:val="0"/>
          <w:numId w:val="0"/>
        </w:numPr>
      </w:pPr>
      <w:r w:rsidRPr="00B376E2">
        <w:t>RVs usually mean either a motor vehicle or trailer</w:t>
      </w:r>
      <w:r>
        <w:t xml:space="preserve"> intended for use as a temporary dwelling.</w:t>
      </w:r>
      <w:r w:rsidRPr="00B376E2">
        <w:t xml:space="preserve"> The</w:t>
      </w:r>
      <w:r>
        <w:t>y</w:t>
      </w:r>
      <w:r w:rsidRPr="00B376E2">
        <w:t xml:space="preserve"> normally do</w:t>
      </w:r>
      <w:r>
        <w:t xml:space="preserve"> </w:t>
      </w:r>
      <w:r w:rsidRPr="00B376E2">
        <w:t>n</w:t>
      </w:r>
      <w:r>
        <w:t>o</w:t>
      </w:r>
      <w:r w:rsidRPr="00B376E2">
        <w:t>t have hook up</w:t>
      </w:r>
      <w:r>
        <w:t>s for permanent</w:t>
      </w:r>
      <w:r w:rsidRPr="00B376E2">
        <w:t xml:space="preserve"> </w:t>
      </w:r>
      <w:r>
        <w:t xml:space="preserve">electric and gas </w:t>
      </w:r>
      <w:r w:rsidRPr="00B376E2">
        <w:t>utilities</w:t>
      </w:r>
      <w:r>
        <w:t>, using electrical sockets and</w:t>
      </w:r>
      <w:r w:rsidRPr="00B376E2">
        <w:t xml:space="preserve"> propane tanks</w:t>
      </w:r>
      <w:r>
        <w:t xml:space="preserve"> instead</w:t>
      </w:r>
      <w:r w:rsidRPr="00B376E2">
        <w:t>.</w:t>
      </w:r>
      <w:r>
        <w:t xml:space="preserve">  </w:t>
      </w:r>
      <w:r w:rsidRPr="00B376E2">
        <w:t xml:space="preserve">Mobilehomes, especially the newer </w:t>
      </w:r>
      <w:r>
        <w:t xml:space="preserve">and </w:t>
      </w:r>
      <w:r w:rsidRPr="00B376E2">
        <w:t>large</w:t>
      </w:r>
      <w:r>
        <w:t>r</w:t>
      </w:r>
      <w:r w:rsidRPr="00B376E2">
        <w:t xml:space="preserve"> homes</w:t>
      </w:r>
      <w:r>
        <w:t>,</w:t>
      </w:r>
      <w:r w:rsidRPr="00B376E2">
        <w:t xml:space="preserve"> are</w:t>
      </w:r>
      <w:r>
        <w:t xml:space="preserve"> designed for semi-permanent residence and infrequent moves, with permanent utility connections</w:t>
      </w:r>
      <w:r w:rsidRPr="00B376E2">
        <w:t>.</w:t>
      </w:r>
    </w:p>
  </w:footnote>
  <w:footnote w:id="64">
    <w:p w14:paraId="0750CA39" w14:textId="165B3B88" w:rsidR="002238AE" w:rsidRDefault="002238AE" w:rsidP="00557A23">
      <w:pPr>
        <w:pStyle w:val="FootnoteText"/>
        <w:numPr>
          <w:ilvl w:val="0"/>
          <w:numId w:val="0"/>
        </w:numPr>
      </w:pPr>
      <w:r>
        <w:rPr>
          <w:rStyle w:val="FootnoteReference"/>
        </w:rPr>
        <w:footnoteRef/>
      </w:r>
      <w:r>
        <w:t xml:space="preserve"> </w:t>
      </w:r>
      <w:r w:rsidRPr="001F22DA">
        <w:rPr>
          <w:bCs/>
        </w:rPr>
        <w:t>SoCalGas/SDG&amp;E commented in R.18-04-018 that recreational vehicle (RV) spaces that are interspersed amongst MHP spaces should be eligible for the MHP program.</w:t>
      </w:r>
      <w:r>
        <w:rPr>
          <w:bCs/>
        </w:rPr>
        <w:t xml:space="preserve">  </w:t>
      </w:r>
      <w:r w:rsidRPr="001F22DA">
        <w:rPr>
          <w:bCs/>
        </w:rPr>
        <w:t>In some instances, lack of clarity exists at parks regarding whether a specific space is a MHP or RV space.</w:t>
      </w:r>
      <w:r>
        <w:rPr>
          <w:bCs/>
        </w:rPr>
        <w:t xml:space="preserve">  D.20-04-004 delayed consideration of </w:t>
      </w:r>
      <w:r w:rsidRPr="00510D9A">
        <w:rPr>
          <w:bCs/>
        </w:rPr>
        <w:t xml:space="preserve">RV space eligibility in a </w:t>
      </w:r>
      <w:r>
        <w:rPr>
          <w:bCs/>
        </w:rPr>
        <w:t xml:space="preserve">Mobilehome Park </w:t>
      </w:r>
      <w:r w:rsidRPr="00510D9A">
        <w:rPr>
          <w:bCs/>
        </w:rPr>
        <w:t xml:space="preserve">utility conversion program until SED collects and confirms appropriate MHP physical configuration data through the </w:t>
      </w:r>
      <w:r>
        <w:rPr>
          <w:bCs/>
        </w:rPr>
        <w:t xml:space="preserve">MHP </w:t>
      </w:r>
      <w:r w:rsidRPr="00510D9A">
        <w:rPr>
          <w:bCs/>
        </w:rPr>
        <w:t>application process and</w:t>
      </w:r>
      <w:r>
        <w:rPr>
          <w:bCs/>
        </w:rPr>
        <w:t>/</w:t>
      </w:r>
      <w:r w:rsidRPr="00510D9A">
        <w:rPr>
          <w:bCs/>
        </w:rPr>
        <w:t xml:space="preserve">or 2025 second </w:t>
      </w:r>
      <w:r>
        <w:rPr>
          <w:bCs/>
        </w:rPr>
        <w:t>e</w:t>
      </w:r>
      <w:r w:rsidRPr="00510D9A">
        <w:rPr>
          <w:bCs/>
        </w:rPr>
        <w:t xml:space="preserve">valuation.  </w:t>
      </w:r>
    </w:p>
  </w:footnote>
  <w:footnote w:id="65">
    <w:p w14:paraId="7460E34E" w14:textId="74A03EC8" w:rsidR="002238AE" w:rsidRDefault="002238AE" w:rsidP="009A2015">
      <w:pPr>
        <w:pStyle w:val="FootnoteText"/>
        <w:numPr>
          <w:ilvl w:val="0"/>
          <w:numId w:val="0"/>
        </w:numPr>
      </w:pPr>
      <w:r>
        <w:rPr>
          <w:rStyle w:val="FootnoteReference"/>
        </w:rPr>
        <w:footnoteRef/>
      </w:r>
      <w:r>
        <w:t xml:space="preserve"> </w:t>
      </w:r>
      <w:r w:rsidRPr="0040078C">
        <w:t>F</w:t>
      </w:r>
      <w:r w:rsidRPr="005B34B0">
        <w:t>or instance, to the extent that the respective MPH’s wireline communications service provider would benefit by placing their facilities within a joint trench as placed by PG&amp;E to ensure safety, the Commission highly recommends cooperation.</w:t>
      </w:r>
      <w:r>
        <w:t xml:space="preserve">  </w:t>
      </w:r>
      <w:r w:rsidRPr="003241F4">
        <w:t>PG&amp;E</w:t>
      </w:r>
      <w:r>
        <w:t xml:space="preserve"> shall </w:t>
      </w:r>
      <w:r w:rsidRPr="003241F4">
        <w:t xml:space="preserve">coordination with interested </w:t>
      </w:r>
      <w:r>
        <w:t>Internet Service Providers (</w:t>
      </w:r>
      <w:r w:rsidRPr="003241F4">
        <w:t>ISPs</w:t>
      </w:r>
      <w:r>
        <w:t>)</w:t>
      </w:r>
      <w:r w:rsidRPr="003241F4">
        <w:t xml:space="preserve"> on trench access and broadband conduit installation.</w:t>
      </w:r>
    </w:p>
  </w:footnote>
  <w:footnote w:id="66">
    <w:p w14:paraId="43731E40" w14:textId="4D413C6D" w:rsidR="002238AE" w:rsidRDefault="002238AE">
      <w:pPr>
        <w:pStyle w:val="FootnoteText"/>
        <w:numPr>
          <w:ilvl w:val="0"/>
          <w:numId w:val="0"/>
        </w:numPr>
      </w:pPr>
      <w:r>
        <w:rPr>
          <w:rStyle w:val="FootnoteReference"/>
        </w:rPr>
        <w:footnoteRef/>
      </w:r>
      <w:r>
        <w:t xml:space="preserve"> </w:t>
      </w:r>
      <w:r w:rsidRPr="00C608D6">
        <w:t xml:space="preserve">D.20-04-004 </w:t>
      </w:r>
      <w:r>
        <w:t xml:space="preserve">at 6.  </w:t>
      </w:r>
      <w:r w:rsidRPr="005B34B0">
        <w:t> </w:t>
      </w:r>
    </w:p>
  </w:footnote>
  <w:footnote w:id="67">
    <w:p w14:paraId="325C5FC8" w14:textId="77777777" w:rsidR="002238AE" w:rsidRDefault="002238AE" w:rsidP="00557A23">
      <w:pPr>
        <w:pStyle w:val="FootnoteText"/>
        <w:numPr>
          <w:ilvl w:val="0"/>
          <w:numId w:val="0"/>
        </w:numPr>
      </w:pPr>
      <w:r>
        <w:rPr>
          <w:rStyle w:val="FootnoteReference"/>
        </w:rPr>
        <w:footnoteRef/>
      </w:r>
      <w:r>
        <w:t xml:space="preserve"> </w:t>
      </w:r>
      <w:r w:rsidRPr="001673A1">
        <w:t xml:space="preserve">The website: </w:t>
      </w:r>
      <w:hyperlink r:id="rId2" w:history="1">
        <w:r w:rsidRPr="00814750">
          <w:rPr>
            <w:rStyle w:val="Hyperlink"/>
          </w:rPr>
          <w:t>https://www.Commission.ca.gov/General.aspx?id=6442461039</w:t>
        </w:r>
      </w:hyperlink>
      <w:r>
        <w:t xml:space="preserve"> contains contacts by geographic areas for CASF.</w:t>
      </w:r>
    </w:p>
  </w:footnote>
  <w:footnote w:id="68">
    <w:p w14:paraId="12EFC7A3" w14:textId="77777777" w:rsidR="002238AE" w:rsidRDefault="002238AE" w:rsidP="00C63475">
      <w:pPr>
        <w:pStyle w:val="FootnoteText"/>
        <w:numPr>
          <w:ilvl w:val="0"/>
          <w:numId w:val="0"/>
        </w:numPr>
        <w:ind w:left="360" w:hanging="360"/>
      </w:pPr>
      <w:r>
        <w:rPr>
          <w:rStyle w:val="FootnoteReference"/>
        </w:rPr>
        <w:footnoteRef/>
      </w:r>
      <w:r>
        <w:t xml:space="preserve"> Data response to Energy Division on 7/23/2020 </w:t>
      </w:r>
      <w:r w:rsidRPr="00153015">
        <w:t xml:space="preserve">at </w:t>
      </w:r>
      <w:r>
        <w:t>1.</w:t>
      </w:r>
    </w:p>
  </w:footnote>
  <w:footnote w:id="69">
    <w:p w14:paraId="79174B56" w14:textId="5AB80A92" w:rsidR="002238AE" w:rsidRDefault="002238AE" w:rsidP="00153015">
      <w:pPr>
        <w:pStyle w:val="FootnoteText"/>
        <w:numPr>
          <w:ilvl w:val="0"/>
          <w:numId w:val="0"/>
        </w:numPr>
        <w:ind w:left="360" w:hanging="360"/>
      </w:pPr>
      <w:r>
        <w:rPr>
          <w:rStyle w:val="FootnoteReference"/>
        </w:rPr>
        <w:footnoteRef/>
      </w:r>
      <w:r>
        <w:t xml:space="preserve"> PG&amp;E data response to Energy Division on 9/26/2019 at 1.</w:t>
      </w:r>
    </w:p>
  </w:footnote>
  <w:footnote w:id="70">
    <w:p w14:paraId="0DB22AEA" w14:textId="35B01A18" w:rsidR="002238AE" w:rsidRDefault="002238AE" w:rsidP="00A633EE">
      <w:pPr>
        <w:pStyle w:val="FootnoteText"/>
        <w:numPr>
          <w:ilvl w:val="0"/>
          <w:numId w:val="0"/>
        </w:numPr>
        <w:ind w:left="360" w:hanging="360"/>
      </w:pPr>
      <w:r>
        <w:rPr>
          <w:rStyle w:val="FootnoteReference"/>
        </w:rPr>
        <w:footnoteRef/>
      </w:r>
      <w:r>
        <w:t xml:space="preserve"> Protest of Evergreen MHP at 1.</w:t>
      </w:r>
    </w:p>
  </w:footnote>
  <w:footnote w:id="71">
    <w:p w14:paraId="0725127A" w14:textId="77777777" w:rsidR="002238AE" w:rsidRDefault="002238AE" w:rsidP="00A633EE">
      <w:pPr>
        <w:pStyle w:val="FootnoteText"/>
        <w:numPr>
          <w:ilvl w:val="0"/>
          <w:numId w:val="0"/>
        </w:numPr>
      </w:pPr>
      <w:r>
        <w:rPr>
          <w:rStyle w:val="FootnoteReference"/>
        </w:rPr>
        <w:footnoteRef/>
      </w:r>
      <w:r>
        <w:t xml:space="preserve"> </w:t>
      </w:r>
      <w:r w:rsidRPr="003A681C">
        <w:t xml:space="preserve">Source: CalFire website at: </w:t>
      </w:r>
      <w:hyperlink r:id="rId3" w:history="1">
        <w:r w:rsidRPr="003A681C">
          <w:rPr>
            <w:rStyle w:val="Hyperlink"/>
          </w:rPr>
          <w:t>https://www.fire.ca.gov/incidents/IncidentSearch?q=butte+county</w:t>
        </w:r>
      </w:hyperlink>
    </w:p>
  </w:footnote>
  <w:footnote w:id="72">
    <w:p w14:paraId="3986A5C9" w14:textId="522E85F0" w:rsidR="002238AE" w:rsidRDefault="002238AE" w:rsidP="00D2684E">
      <w:pPr>
        <w:pStyle w:val="FootnoteText"/>
        <w:numPr>
          <w:ilvl w:val="0"/>
          <w:numId w:val="0"/>
        </w:numPr>
      </w:pPr>
      <w:r>
        <w:rPr>
          <w:rStyle w:val="FootnoteReference"/>
        </w:rPr>
        <w:footnoteRef/>
      </w:r>
      <w:r>
        <w:t xml:space="preserve"> Please refer to the Comment section for the specific concerns raised by Ridgewood MHP.</w:t>
      </w:r>
    </w:p>
  </w:footnote>
  <w:footnote w:id="73">
    <w:p w14:paraId="3257E387" w14:textId="3FCF95E9" w:rsidR="002238AE" w:rsidRDefault="002238AE">
      <w:pPr>
        <w:pStyle w:val="FootnoteText"/>
        <w:numPr>
          <w:ilvl w:val="0"/>
          <w:numId w:val="0"/>
        </w:numPr>
      </w:pPr>
      <w:r>
        <w:rPr>
          <w:rStyle w:val="FootnoteReference"/>
        </w:rPr>
        <w:footnoteRef/>
      </w:r>
      <w:r>
        <w:t xml:space="preserve"> Placing utilities lines within the street and proper locations for pedestals and their associated meters</w:t>
      </w:r>
    </w:p>
  </w:footnote>
  <w:footnote w:id="74">
    <w:p w14:paraId="44F43E69" w14:textId="77777777" w:rsidR="002238AE" w:rsidRDefault="002238AE">
      <w:pPr>
        <w:pStyle w:val="FootnoteText"/>
        <w:numPr>
          <w:ilvl w:val="0"/>
          <w:numId w:val="0"/>
        </w:numPr>
      </w:pPr>
      <w:r>
        <w:rPr>
          <w:rStyle w:val="FootnoteReference"/>
        </w:rPr>
        <w:footnoteRef/>
      </w:r>
      <w:r>
        <w:t xml:space="preserve"> Damage to existing underground sewage system during electric and gas utility systems' installation and cleanup of existing infrastructure. </w:t>
      </w:r>
    </w:p>
  </w:footnote>
  <w:footnote w:id="75">
    <w:p w14:paraId="7D659235" w14:textId="14A9470D" w:rsidR="002238AE" w:rsidRDefault="002238AE" w:rsidP="009E35FE">
      <w:pPr>
        <w:pStyle w:val="FootnoteText"/>
        <w:numPr>
          <w:ilvl w:val="0"/>
          <w:numId w:val="0"/>
        </w:numPr>
        <w:ind w:left="360" w:hanging="360"/>
      </w:pPr>
      <w:r>
        <w:rPr>
          <w:rStyle w:val="FootnoteReference"/>
        </w:rPr>
        <w:footnoteRef/>
      </w:r>
      <w:r>
        <w:t xml:space="preserve"> Recommending 150-amp and 200-amp services</w:t>
      </w:r>
    </w:p>
  </w:footnote>
  <w:footnote w:id="76">
    <w:p w14:paraId="32CAF8D2" w14:textId="7C7E1EC1" w:rsidR="002238AE" w:rsidRDefault="002238AE" w:rsidP="009E35FE">
      <w:pPr>
        <w:pStyle w:val="FootnoteText"/>
        <w:numPr>
          <w:ilvl w:val="0"/>
          <w:numId w:val="0"/>
        </w:numPr>
      </w:pPr>
      <w:r>
        <w:rPr>
          <w:rStyle w:val="FootnoteReference"/>
        </w:rPr>
        <w:footnoteRef/>
      </w:r>
      <w:r>
        <w:t xml:space="preserve"> Complete BTM work and ready to receive service in 12 months, BTM work reimbursement, and </w:t>
      </w:r>
      <w:r w:rsidRPr="006D7723">
        <w:t>Indemnification clause</w:t>
      </w:r>
    </w:p>
  </w:footnote>
  <w:footnote w:id="77">
    <w:p w14:paraId="5BB091ED" w14:textId="77777777" w:rsidR="002238AE" w:rsidRDefault="002238AE" w:rsidP="00F71DCD">
      <w:pPr>
        <w:pStyle w:val="FootnoteText"/>
        <w:numPr>
          <w:ilvl w:val="0"/>
          <w:numId w:val="0"/>
        </w:numPr>
      </w:pPr>
      <w:r>
        <w:rPr>
          <w:rStyle w:val="FootnoteReference"/>
        </w:rPr>
        <w:footnoteRef/>
      </w:r>
      <w:r>
        <w:t xml:space="preserve"> Section </w:t>
      </w:r>
      <w:r w:rsidRPr="00946228">
        <w:t>6.1.1</w:t>
      </w:r>
      <w:r>
        <w:t xml:space="preserve"> reads</w:t>
      </w:r>
      <w:r w:rsidRPr="00946228">
        <w:t xml:space="preserve"> </w:t>
      </w:r>
      <w:r>
        <w:t>“</w:t>
      </w:r>
      <w:r w:rsidRPr="00946228">
        <w:t>PG&amp;E will design and install the new “To-the-Meter” electric and/or gas</w:t>
      </w:r>
      <w:r>
        <w:t xml:space="preserve"> </w:t>
      </w:r>
      <w:r w:rsidRPr="00946228">
        <w:t>distribution and service system for the MHP to meet current Utility design</w:t>
      </w:r>
      <w:r>
        <w:t xml:space="preserve"> </w:t>
      </w:r>
      <w:r w:rsidRPr="00946228">
        <w:t>standards and applicable codes, regulations and requirements based on the</w:t>
      </w:r>
      <w:r>
        <w:t xml:space="preserve"> </w:t>
      </w:r>
      <w:r w:rsidRPr="00946228">
        <w:t>most economic, convenient and efficient service route.</w:t>
      </w:r>
      <w:r>
        <w:t>”</w:t>
      </w:r>
    </w:p>
  </w:footnote>
  <w:footnote w:id="78">
    <w:p w14:paraId="65C30205" w14:textId="2784C077" w:rsidR="002238AE" w:rsidRDefault="002238AE" w:rsidP="00F65CF1">
      <w:pPr>
        <w:pStyle w:val="FootnoteText"/>
        <w:numPr>
          <w:ilvl w:val="0"/>
          <w:numId w:val="0"/>
        </w:numPr>
      </w:pPr>
      <w:r>
        <w:rPr>
          <w:rStyle w:val="FootnoteReference"/>
        </w:rPr>
        <w:footnoteRef/>
      </w:r>
      <w:r>
        <w:t xml:space="preserve"> </w:t>
      </w:r>
      <w:r w:rsidRPr="00307F67">
        <w:t xml:space="preserve">The Electric and Gas Service Requirements (Greenbook) is a guide to PG&amp;E requirements and policies for establishing electric and gas service to new or remodeled applicant installations. </w:t>
      </w:r>
      <w:r>
        <w:t>PG&amp;E regularly updates and publishes new versions of the Greenbook.  The 2020-2021 Greenbook is the latest version.</w:t>
      </w:r>
    </w:p>
    <w:p w14:paraId="7FC1F0EA" w14:textId="3EA9F53C" w:rsidR="002238AE" w:rsidRDefault="002238AE" w:rsidP="00F65CF1">
      <w:pPr>
        <w:pStyle w:val="FootnoteText"/>
        <w:numPr>
          <w:ilvl w:val="0"/>
          <w:numId w:val="0"/>
        </w:numPr>
      </w:pPr>
      <w:r>
        <w:t xml:space="preserve">Electric and gas meter requirements contained in Green Book Section 2 – Gas Service, </w:t>
      </w:r>
      <w:r w:rsidRPr="00593673">
        <w:t>PG&amp;E’s Gas Design Standard J-15.1</w:t>
      </w:r>
      <w:r>
        <w:t xml:space="preserve">, and </w:t>
      </w:r>
      <w:r w:rsidRPr="00A551E0">
        <w:t>Utility Standard 05251 – Electric Service Requirements for Mobile Home Developments</w:t>
      </w:r>
      <w:r>
        <w:t xml:space="preserve"> </w:t>
      </w:r>
    </w:p>
  </w:footnote>
  <w:footnote w:id="79">
    <w:p w14:paraId="1CA57E67" w14:textId="0504671A" w:rsidR="002238AE" w:rsidRDefault="002238AE" w:rsidP="00967BA6">
      <w:pPr>
        <w:pStyle w:val="FootnoteText"/>
        <w:numPr>
          <w:ilvl w:val="0"/>
          <w:numId w:val="0"/>
        </w:numPr>
      </w:pPr>
      <w:r>
        <w:rPr>
          <w:rStyle w:val="FootnoteReference"/>
        </w:rPr>
        <w:footnoteRef/>
      </w:r>
      <w:r>
        <w:t xml:space="preserve"> Section </w:t>
      </w:r>
      <w:r w:rsidRPr="00A012A6">
        <w:t xml:space="preserve">6.1.3 </w:t>
      </w:r>
      <w:r>
        <w:t>reads “</w:t>
      </w:r>
      <w:r w:rsidRPr="00A012A6">
        <w:t>PG&amp;E will consult with the MHP Owner/Operator to identify the location of each</w:t>
      </w:r>
      <w:r>
        <w:t xml:space="preserve"> </w:t>
      </w:r>
      <w:r w:rsidRPr="00A012A6">
        <w:t>electric/and/or gas meter and any protection required for the metering service</w:t>
      </w:r>
      <w:r>
        <w:t xml:space="preserve"> </w:t>
      </w:r>
      <w:r w:rsidRPr="00A012A6">
        <w:t>equipment. PG&amp;E will have the final approval of the location of the meter.</w:t>
      </w:r>
      <w:r>
        <w:t>”</w:t>
      </w:r>
    </w:p>
  </w:footnote>
  <w:footnote w:id="80">
    <w:p w14:paraId="6F99AA0D" w14:textId="51363F29" w:rsidR="002238AE" w:rsidRDefault="002238AE" w:rsidP="00F845D0">
      <w:pPr>
        <w:pStyle w:val="FootnoteText"/>
        <w:numPr>
          <w:ilvl w:val="0"/>
          <w:numId w:val="0"/>
        </w:numPr>
        <w:ind w:left="360" w:hanging="360"/>
      </w:pPr>
      <w:r>
        <w:rPr>
          <w:rStyle w:val="FootnoteReference"/>
        </w:rPr>
        <w:footnoteRef/>
      </w:r>
      <w:r>
        <w:t xml:space="preserve"> Data response to Energy Division dated August 24, 2020.</w:t>
      </w:r>
    </w:p>
  </w:footnote>
  <w:footnote w:id="81">
    <w:p w14:paraId="2FE5BD87" w14:textId="3F5651F0" w:rsidR="002238AE" w:rsidRDefault="002238AE" w:rsidP="00DE20BC">
      <w:pPr>
        <w:pStyle w:val="FootnoteText"/>
        <w:numPr>
          <w:ilvl w:val="0"/>
          <w:numId w:val="0"/>
        </w:numPr>
        <w:ind w:left="360" w:hanging="360"/>
      </w:pPr>
      <w:r>
        <w:rPr>
          <w:rStyle w:val="FootnoteReference"/>
        </w:rPr>
        <w:footnoteRef/>
      </w:r>
      <w:r>
        <w:t xml:space="preserve"> Wikipedia: </w:t>
      </w:r>
      <w:r w:rsidRPr="00674A3A">
        <w:t>https://en.wikipedia.org/wiki/FEMA_trailer</w:t>
      </w:r>
    </w:p>
  </w:footnote>
  <w:footnote w:id="82">
    <w:p w14:paraId="1CB883C2" w14:textId="2A1E8B4F" w:rsidR="002238AE" w:rsidRDefault="002238AE" w:rsidP="00153359">
      <w:pPr>
        <w:pStyle w:val="FootnoteText"/>
        <w:numPr>
          <w:ilvl w:val="0"/>
          <w:numId w:val="0"/>
        </w:numPr>
        <w:ind w:left="360" w:hanging="360"/>
      </w:pPr>
      <w:r>
        <w:rPr>
          <w:rStyle w:val="FootnoteReference"/>
        </w:rPr>
        <w:footnoteRef/>
      </w:r>
      <w:r>
        <w:t xml:space="preserve"> </w:t>
      </w:r>
      <w:hyperlink r:id="rId4" w:history="1">
        <w:r w:rsidRPr="006769F2">
          <w:rPr>
            <w:rStyle w:val="Hyperlink"/>
          </w:rPr>
          <w:t>http://femahomesforsale.com</w:t>
        </w:r>
      </w:hyperlink>
      <w:r>
        <w:t xml:space="preserve">.  </w:t>
      </w:r>
    </w:p>
  </w:footnote>
  <w:footnote w:id="83">
    <w:p w14:paraId="4B689524" w14:textId="26D576AC" w:rsidR="002238AE" w:rsidRDefault="002238AE" w:rsidP="00153359">
      <w:pPr>
        <w:pStyle w:val="FootnoteText"/>
        <w:numPr>
          <w:ilvl w:val="0"/>
          <w:numId w:val="0"/>
        </w:numPr>
        <w:ind w:left="360" w:hanging="360"/>
      </w:pPr>
      <w:r>
        <w:rPr>
          <w:rStyle w:val="FootnoteReference"/>
        </w:rPr>
        <w:footnoteRef/>
      </w:r>
      <w:r>
        <w:t xml:space="preserve"> Phone call to the seller(http://femahomesforsale.com) by staff on 11/12/20.</w:t>
      </w:r>
    </w:p>
  </w:footnote>
  <w:footnote w:id="84">
    <w:p w14:paraId="1ADEFC3B" w14:textId="63062ADC" w:rsidR="002238AE" w:rsidRDefault="002238AE" w:rsidP="00C45063">
      <w:pPr>
        <w:pStyle w:val="FootnoteText"/>
        <w:numPr>
          <w:ilvl w:val="0"/>
          <w:numId w:val="0"/>
        </w:numPr>
      </w:pPr>
      <w:r>
        <w:rPr>
          <w:rStyle w:val="FootnoteReference"/>
        </w:rPr>
        <w:footnoteRef/>
      </w:r>
      <w:r>
        <w:t xml:space="preserve"> Phone conversation with Kathy Catanho and email on 11/13/20</w:t>
      </w:r>
    </w:p>
  </w:footnote>
  <w:footnote w:id="85">
    <w:p w14:paraId="2CAA99AA" w14:textId="7263FD6E" w:rsidR="002238AE" w:rsidRDefault="002238AE" w:rsidP="009A2015">
      <w:pPr>
        <w:pStyle w:val="FootnoteText"/>
        <w:numPr>
          <w:ilvl w:val="0"/>
          <w:numId w:val="0"/>
        </w:numPr>
      </w:pPr>
      <w:r>
        <w:rPr>
          <w:rStyle w:val="FootnoteReference"/>
        </w:rPr>
        <w:footnoteRef/>
      </w:r>
      <w:r>
        <w:t xml:space="preserve"> Code of Federal Regulations</w:t>
      </w:r>
    </w:p>
  </w:footnote>
  <w:footnote w:id="86">
    <w:p w14:paraId="0EA44038" w14:textId="69B14119" w:rsidR="002238AE" w:rsidRDefault="002238AE" w:rsidP="009A2015">
      <w:pPr>
        <w:pStyle w:val="FootnoteText"/>
        <w:numPr>
          <w:ilvl w:val="0"/>
          <w:numId w:val="0"/>
        </w:numPr>
      </w:pPr>
      <w:r>
        <w:rPr>
          <w:rStyle w:val="FootnoteReference"/>
        </w:rPr>
        <w:footnoteRef/>
      </w:r>
      <w:r>
        <w:t xml:space="preserve"> </w:t>
      </w:r>
      <w:r w:rsidRPr="00EF7B91">
        <w:t>A thermal zone is a space or collection of spaces having similar space-conditioning requirements, the same heating and cooling setpoint, and is the basic thermal unit (or zone) used in modeling the building. A thermal zone will include one or more spaces.</w:t>
      </w:r>
    </w:p>
  </w:footnote>
  <w:footnote w:id="87">
    <w:p w14:paraId="02B660FB" w14:textId="2DBC0280" w:rsidR="002238AE" w:rsidRDefault="002238AE" w:rsidP="009A2015">
      <w:pPr>
        <w:pStyle w:val="FootnoteText"/>
        <w:numPr>
          <w:ilvl w:val="0"/>
          <w:numId w:val="0"/>
        </w:numPr>
      </w:pPr>
      <w:r>
        <w:rPr>
          <w:rStyle w:val="FootnoteReference"/>
        </w:rPr>
        <w:footnoteRef/>
      </w:r>
      <w:r>
        <w:t xml:space="preserve"> </w:t>
      </w:r>
      <w:r w:rsidRPr="00E865AB">
        <w:t xml:space="preserve">Slide </w:t>
      </w:r>
      <w:r>
        <w:t>113</w:t>
      </w:r>
      <w:r w:rsidRPr="00E865AB">
        <w:t xml:space="preserve"> of the presentation package at the </w:t>
      </w:r>
      <w:r w:rsidRPr="00E865AB">
        <w:rPr>
          <w:i/>
        </w:rPr>
        <w:t xml:space="preserve">Building Decarbonization and Mobilehome Park Electrification and Tenant Protection Topics </w:t>
      </w:r>
      <w:r w:rsidRPr="00E865AB">
        <w:rPr>
          <w:iCs/>
        </w:rPr>
        <w:t>workshop</w:t>
      </w:r>
      <w:r w:rsidRPr="00E865AB">
        <w:rPr>
          <w:i/>
        </w:rPr>
        <w:t>.</w:t>
      </w:r>
      <w:r w:rsidRPr="00E865AB">
        <w:rPr>
          <w:iCs/>
        </w:rPr>
        <w:t xml:space="preserve">  The full set of slides is available at: https://www.cpuc.ca.gov/uploadedFiles/CPUC_Public_Website/Content/Safety/Mobile_Home_Parks/BD%20Phase%20II%20and%20MHP%20Workshop_09152020_FINAL.pdf</w:t>
      </w:r>
    </w:p>
  </w:footnote>
  <w:footnote w:id="88">
    <w:p w14:paraId="5129C4E7" w14:textId="13256849" w:rsidR="002238AE" w:rsidRDefault="002238AE" w:rsidP="009A2015">
      <w:pPr>
        <w:pStyle w:val="FootnoteText"/>
        <w:numPr>
          <w:ilvl w:val="0"/>
          <w:numId w:val="0"/>
        </w:numPr>
      </w:pPr>
      <w:r>
        <w:rPr>
          <w:rStyle w:val="FootnoteReference"/>
        </w:rPr>
        <w:footnoteRef/>
      </w:r>
      <w:r>
        <w:t xml:space="preserve"> U-Value is the overall coefficient of heat transmission of the manufactured home based on the respective thermal zone location, at an indoor design temperature of 70</w:t>
      </w:r>
      <w:r w:rsidRPr="009A2015">
        <w:rPr>
          <w:vertAlign w:val="superscript"/>
        </w:rPr>
        <w:t>o</w:t>
      </w:r>
      <w:r>
        <w:t>F, and is measured in Btu/hr</w:t>
      </w:r>
      <w:r>
        <w:rPr>
          <w:rFonts w:ascii="Segoe UI Historic" w:hAnsi="Segoe UI Historic" w:cs="Segoe UI Historic"/>
        </w:rPr>
        <w:t>·</w:t>
      </w:r>
      <w:r>
        <w:t>ft</w:t>
      </w:r>
      <w:r w:rsidRPr="009A2015">
        <w:rPr>
          <w:vertAlign w:val="superscript"/>
        </w:rPr>
        <w:t>2</w:t>
      </w:r>
      <w:r>
        <w:rPr>
          <w:rFonts w:ascii="Segoe UI Historic" w:hAnsi="Segoe UI Historic" w:cs="Segoe UI Historic"/>
        </w:rPr>
        <w:t>·</w:t>
      </w:r>
      <w:r w:rsidRPr="009A2015">
        <w:rPr>
          <w:vertAlign w:val="superscript"/>
        </w:rPr>
        <w:t>o</w:t>
      </w:r>
      <w:r>
        <w:t>F.</w:t>
      </w:r>
    </w:p>
  </w:footnote>
  <w:footnote w:id="89">
    <w:p w14:paraId="4F6E5580" w14:textId="1C85179F" w:rsidR="002238AE" w:rsidRDefault="002238AE" w:rsidP="009A2015">
      <w:pPr>
        <w:pStyle w:val="FootnoteText"/>
        <w:numPr>
          <w:ilvl w:val="0"/>
          <w:numId w:val="0"/>
        </w:numPr>
      </w:pPr>
      <w:r>
        <w:rPr>
          <w:rStyle w:val="FootnoteReference"/>
        </w:rPr>
        <w:footnoteRef/>
      </w:r>
      <w:r>
        <w:t xml:space="preserve"> $3,000 for single family home, duplex, or townhome.  $1,500 for accessory dwelling unit (ADU).  </w:t>
      </w:r>
      <w:r w:rsidRPr="00532E92">
        <w:t>Slide 1</w:t>
      </w:r>
      <w:r>
        <w:t>23</w:t>
      </w:r>
      <w:r w:rsidRPr="00532E92">
        <w:t xml:space="preserve"> of the presentation package at the </w:t>
      </w:r>
      <w:r w:rsidRPr="00532E92">
        <w:rPr>
          <w:i/>
        </w:rPr>
        <w:t xml:space="preserve">Building Decarbonization and Mobilehome Park Electrification and Tenant Protection Topics </w:t>
      </w:r>
      <w:r w:rsidRPr="00532E92">
        <w:rPr>
          <w:iCs/>
        </w:rPr>
        <w:t>workshop</w:t>
      </w:r>
      <w:r w:rsidRPr="00532E92">
        <w:rPr>
          <w:i/>
        </w:rPr>
        <w:t>.</w:t>
      </w:r>
    </w:p>
  </w:footnote>
  <w:footnote w:id="90">
    <w:p w14:paraId="2D07AB51" w14:textId="0C8D9FE7" w:rsidR="002238AE" w:rsidRDefault="002238AE" w:rsidP="009A2015">
      <w:pPr>
        <w:pStyle w:val="FootnoteText"/>
        <w:numPr>
          <w:ilvl w:val="0"/>
          <w:numId w:val="0"/>
        </w:numPr>
      </w:pPr>
      <w:r>
        <w:rPr>
          <w:rStyle w:val="FootnoteReference"/>
        </w:rPr>
        <w:footnoteRef/>
      </w:r>
      <w:r>
        <w:t xml:space="preserve"> It is up to $1,000 of bonus incentive for single family home, duplex, or townhome; and up to $500 of bonus incentive for ADU.  </w:t>
      </w:r>
      <w:r w:rsidRPr="00532E92">
        <w:t>Slide 1</w:t>
      </w:r>
      <w:r>
        <w:t>23</w:t>
      </w:r>
      <w:r w:rsidRPr="00532E92">
        <w:t xml:space="preserve"> of the presentation package at the </w:t>
      </w:r>
      <w:r w:rsidRPr="00532E92">
        <w:rPr>
          <w:i/>
        </w:rPr>
        <w:t xml:space="preserve">Building Decarbonization and Mobilehome Park Electrification and Tenant Protection Topics </w:t>
      </w:r>
      <w:r w:rsidRPr="00532E92">
        <w:rPr>
          <w:iCs/>
        </w:rPr>
        <w:t>workshop</w:t>
      </w:r>
      <w:r w:rsidRPr="00532E92">
        <w:rPr>
          <w:i/>
        </w:rPr>
        <w:t>.</w:t>
      </w:r>
    </w:p>
  </w:footnote>
  <w:footnote w:id="91">
    <w:p w14:paraId="6B7ED2A9" w14:textId="617A6F3C" w:rsidR="002238AE" w:rsidRDefault="002238AE" w:rsidP="00C45063">
      <w:pPr>
        <w:pStyle w:val="FootnoteText"/>
        <w:numPr>
          <w:ilvl w:val="0"/>
          <w:numId w:val="0"/>
        </w:numPr>
      </w:pPr>
      <w:r>
        <w:rPr>
          <w:rStyle w:val="FootnoteReference"/>
        </w:rPr>
        <w:footnoteRef/>
      </w:r>
      <w:r>
        <w:t xml:space="preserve"> A video of t stakeholder workshop for Building Decarbonization Phase II Staff Proposal and Mobilehome Park Electrification and Tenant Protection Topics is available at: </w:t>
      </w:r>
      <w:r w:rsidRPr="000C743D">
        <w:t>https://www.youtube.com/watch?v=i-H0lF9hoDs&amp;feature=youtu.be</w:t>
      </w:r>
    </w:p>
  </w:footnote>
  <w:footnote w:id="92">
    <w:p w14:paraId="275B6C83" w14:textId="652EFABC" w:rsidR="002238AE" w:rsidRDefault="002238AE" w:rsidP="009A2015">
      <w:pPr>
        <w:pStyle w:val="FootnoteText"/>
        <w:numPr>
          <w:ilvl w:val="0"/>
          <w:numId w:val="0"/>
        </w:numPr>
      </w:pPr>
      <w:r>
        <w:rPr>
          <w:rStyle w:val="FootnoteReference"/>
        </w:rPr>
        <w:footnoteRef/>
      </w:r>
      <w:r>
        <w:t xml:space="preserve"> American Council for an Energy-Efficient Economy. Jacob Talbot. “Mobilizing Energy Efficiency in the Manufactured Housing Sector”. July 2012.  </w:t>
      </w:r>
    </w:p>
  </w:footnote>
  <w:footnote w:id="93">
    <w:p w14:paraId="2920C05B" w14:textId="179C95AD" w:rsidR="002238AE" w:rsidRDefault="002238AE" w:rsidP="0095699D">
      <w:pPr>
        <w:pStyle w:val="FootnoteText"/>
        <w:numPr>
          <w:ilvl w:val="0"/>
          <w:numId w:val="0"/>
        </w:numPr>
      </w:pPr>
      <w:r>
        <w:rPr>
          <w:rStyle w:val="FootnoteReference"/>
        </w:rPr>
        <w:footnoteRef/>
      </w:r>
      <w:r>
        <w:t xml:space="preserve"> Slide 109 of the presentation package at the </w:t>
      </w:r>
      <w:r w:rsidRPr="00994538">
        <w:rPr>
          <w:i/>
        </w:rPr>
        <w:t>Building Decarbonization and Mobilehome Park Electrification and Tenant Protection Topics</w:t>
      </w:r>
      <w:r>
        <w:rPr>
          <w:i/>
        </w:rPr>
        <w:t xml:space="preserve"> </w:t>
      </w:r>
      <w:r w:rsidRPr="005E7E02">
        <w:rPr>
          <w:iCs/>
        </w:rPr>
        <w:t>workshop</w:t>
      </w:r>
      <w:r>
        <w:rPr>
          <w:i/>
        </w:rPr>
        <w:t>.</w:t>
      </w:r>
      <w:r>
        <w:rPr>
          <w:iCs/>
        </w:rPr>
        <w:t xml:space="preserve">  </w:t>
      </w:r>
    </w:p>
  </w:footnote>
  <w:footnote w:id="94">
    <w:p w14:paraId="323C97F0" w14:textId="2D08A554" w:rsidR="002238AE" w:rsidRDefault="002238AE" w:rsidP="002956FA">
      <w:pPr>
        <w:pStyle w:val="FootnoteText"/>
        <w:numPr>
          <w:ilvl w:val="0"/>
          <w:numId w:val="0"/>
        </w:numPr>
      </w:pPr>
      <w:r>
        <w:rPr>
          <w:rStyle w:val="FootnoteReference"/>
        </w:rPr>
        <w:footnoteRef/>
      </w:r>
      <w:r>
        <w:t xml:space="preserve"> RMI. </w:t>
      </w:r>
      <w:hyperlink r:id="rId5" w:history="1">
        <w:r w:rsidRPr="002301CB">
          <w:rPr>
            <w:rStyle w:val="Hyperlink"/>
          </w:rPr>
          <w:t>Sherri Billimoria</w:t>
        </w:r>
      </w:hyperlink>
      <w:r>
        <w:t xml:space="preserve">, </w:t>
      </w:r>
      <w:hyperlink r:id="rId6" w:history="1">
        <w:r w:rsidRPr="002301CB">
          <w:rPr>
            <w:rStyle w:val="Hyperlink"/>
          </w:rPr>
          <w:t>Leia Guccione</w:t>
        </w:r>
      </w:hyperlink>
      <w:r>
        <w:t xml:space="preserve">, </w:t>
      </w:r>
      <w:hyperlink r:id="rId7" w:history="1">
        <w:r w:rsidRPr="002301CB">
          <w:rPr>
            <w:rStyle w:val="Hyperlink"/>
          </w:rPr>
          <w:t>Mike Henchen</w:t>
        </w:r>
      </w:hyperlink>
      <w:r>
        <w:t xml:space="preserve">, and </w:t>
      </w:r>
      <w:hyperlink r:id="rId8" w:history="1">
        <w:r w:rsidRPr="002301CB">
          <w:rPr>
            <w:rStyle w:val="Hyperlink"/>
          </w:rPr>
          <w:t>Leah Louis-Prescott</w:t>
        </w:r>
      </w:hyperlink>
      <w:r>
        <w:t xml:space="preserve">. “The </w:t>
      </w:r>
      <w:r w:rsidRPr="002956FA">
        <w:t>Economics of Electrifying Buildings</w:t>
      </w:r>
      <w:r>
        <w:t xml:space="preserve">”.  2018.  </w:t>
      </w:r>
      <w:hyperlink r:id="rId9" w:history="1">
        <w:r w:rsidRPr="004D5492">
          <w:rPr>
            <w:rStyle w:val="Hyperlink"/>
          </w:rPr>
          <w:t>https://rmi.org/insight/the-economics-of-electrifying-buildings/</w:t>
        </w:r>
      </w:hyperlink>
      <w:r>
        <w:t xml:space="preserve">  </w:t>
      </w:r>
    </w:p>
  </w:footnote>
  <w:footnote w:id="95">
    <w:p w14:paraId="1706ABFB" w14:textId="120D6742" w:rsidR="002238AE" w:rsidRDefault="002238AE" w:rsidP="002C0347">
      <w:pPr>
        <w:pStyle w:val="FootnoteText"/>
        <w:numPr>
          <w:ilvl w:val="0"/>
          <w:numId w:val="0"/>
        </w:numPr>
        <w:ind w:left="360" w:hanging="360"/>
      </w:pPr>
      <w:r>
        <w:rPr>
          <w:rStyle w:val="FootnoteReference"/>
        </w:rPr>
        <w:footnoteRef/>
      </w:r>
      <w:r>
        <w:t xml:space="preserve"> Ibid.</w:t>
      </w:r>
    </w:p>
  </w:footnote>
  <w:footnote w:id="96">
    <w:p w14:paraId="721BAA33" w14:textId="6E700939" w:rsidR="002238AE" w:rsidRDefault="002238AE">
      <w:pPr>
        <w:pStyle w:val="FootnoteText"/>
        <w:numPr>
          <w:ilvl w:val="0"/>
          <w:numId w:val="0"/>
        </w:numPr>
      </w:pPr>
      <w:r>
        <w:rPr>
          <w:rStyle w:val="FootnoteReference"/>
        </w:rPr>
        <w:footnoteRef/>
      </w:r>
      <w:r>
        <w:t xml:space="preserve"> Forbes. </w:t>
      </w:r>
      <w:r w:rsidRPr="002956FA">
        <w:t>Amanda Myers</w:t>
      </w:r>
      <w:r>
        <w:t>.</w:t>
      </w:r>
      <w:r w:rsidRPr="007A636B">
        <w:t xml:space="preserve"> </w:t>
      </w:r>
      <w:r>
        <w:t>“</w:t>
      </w:r>
      <w:r w:rsidRPr="002956FA">
        <w:t>As Cities Begin Banning Natural Gas, States Must Embrace Building Electrification Via Smart Policy</w:t>
      </w:r>
      <w:r>
        <w:t xml:space="preserve">”.  </w:t>
      </w:r>
      <w:r w:rsidRPr="00AF2F2F">
        <w:t>Jul 22, 2019</w:t>
      </w:r>
      <w:r>
        <w:t xml:space="preserve">.  </w:t>
      </w:r>
      <w:hyperlink r:id="rId10" w:history="1">
        <w:r w:rsidRPr="004D5492">
          <w:rPr>
            <w:rStyle w:val="Hyperlink"/>
          </w:rPr>
          <w:t>https://www.forbes.com/sites/energyinnovation/2019/07/22/as-cities-begin-banning-natural-gas-states-must-embrace-building-electrification-with-smart-policy/?hcb=1&amp;sh=dbee346ce6fa</w:t>
        </w:r>
      </w:hyperlink>
    </w:p>
  </w:footnote>
  <w:footnote w:id="97">
    <w:p w14:paraId="5F2CFB68" w14:textId="68974BC2" w:rsidR="002238AE" w:rsidRDefault="002238AE">
      <w:pPr>
        <w:pStyle w:val="FootnoteText"/>
        <w:numPr>
          <w:ilvl w:val="0"/>
          <w:numId w:val="0"/>
        </w:numPr>
      </w:pPr>
      <w:r>
        <w:rPr>
          <w:rStyle w:val="FootnoteReference"/>
        </w:rPr>
        <w:footnoteRef/>
      </w:r>
      <w:r>
        <w:t xml:space="preserve"> Data response to Energy Division dated 7/17/20 at 1.</w:t>
      </w:r>
    </w:p>
  </w:footnote>
  <w:footnote w:id="98">
    <w:p w14:paraId="720EB74A" w14:textId="68EE0868" w:rsidR="002238AE" w:rsidRDefault="002238AE" w:rsidP="00A00C1A">
      <w:pPr>
        <w:pStyle w:val="FootnoteText"/>
        <w:numPr>
          <w:ilvl w:val="0"/>
          <w:numId w:val="0"/>
        </w:numPr>
      </w:pPr>
      <w:r>
        <w:rPr>
          <w:rStyle w:val="FootnoteReference"/>
        </w:rPr>
        <w:footnoteRef/>
      </w:r>
      <w:r>
        <w:t xml:space="preserve"> PG&amp;E’s Greenbook EMWP, page 2, dated 8/15/17, states that “</w:t>
      </w:r>
      <w:r w:rsidRPr="005F4FE0">
        <w:t>Mobile home pedestal shall have a minimum rating of 100 amps.</w:t>
      </w:r>
      <w:r>
        <w:t>”</w:t>
      </w:r>
    </w:p>
  </w:footnote>
  <w:footnote w:id="99">
    <w:p w14:paraId="7E44F42B" w14:textId="0CDB0865" w:rsidR="002238AE" w:rsidRDefault="002238AE">
      <w:pPr>
        <w:pStyle w:val="FootnoteText"/>
        <w:numPr>
          <w:ilvl w:val="0"/>
          <w:numId w:val="0"/>
        </w:numPr>
      </w:pPr>
      <w:r>
        <w:rPr>
          <w:rStyle w:val="FootnoteReference"/>
        </w:rPr>
        <w:footnoteRef/>
      </w:r>
      <w:r>
        <w:t xml:space="preserve"> Secondary </w:t>
      </w:r>
      <w:r w:rsidRPr="007866CB">
        <w:t>underground </w:t>
      </w:r>
      <w:r w:rsidRPr="0077689F">
        <w:t>distribution cables</w:t>
      </w:r>
      <w:r w:rsidRPr="007866CB">
        <w:t xml:space="preserve"> are used to run power from a pad mounted transformer to </w:t>
      </w:r>
      <w:r>
        <w:t>splice boxes</w:t>
      </w:r>
      <w:r w:rsidRPr="007866CB">
        <w:t>. The </w:t>
      </w:r>
      <w:r w:rsidRPr="0077689F">
        <w:t>cables</w:t>
      </w:r>
      <w:r w:rsidRPr="007866CB">
        <w:t xml:space="preserve"> are rated for installation in underground </w:t>
      </w:r>
      <w:r>
        <w:t>conduit</w:t>
      </w:r>
      <w:r w:rsidRPr="007866CB">
        <w:t xml:space="preserve"> or directly buried in earth. </w:t>
      </w:r>
      <w:r>
        <w:t>These are distinct from service cables, which run from the splice boxes to each individual motorhome.</w:t>
      </w:r>
    </w:p>
  </w:footnote>
  <w:footnote w:id="100">
    <w:p w14:paraId="4F307434" w14:textId="646C3B06" w:rsidR="002238AE" w:rsidRDefault="002238AE" w:rsidP="00A00C1A">
      <w:pPr>
        <w:pStyle w:val="FootnoteText"/>
        <w:numPr>
          <w:ilvl w:val="0"/>
          <w:numId w:val="0"/>
        </w:numPr>
        <w:ind w:left="360" w:hanging="360"/>
      </w:pPr>
      <w:r>
        <w:rPr>
          <w:rStyle w:val="FootnoteReference"/>
        </w:rPr>
        <w:footnoteRef/>
      </w:r>
      <w:r>
        <w:t xml:space="preserve"> Ibid.  </w:t>
      </w:r>
    </w:p>
  </w:footnote>
  <w:footnote w:id="101">
    <w:p w14:paraId="03B5DF69" w14:textId="77777777" w:rsidR="002238AE" w:rsidRDefault="002238AE" w:rsidP="000E4ED7">
      <w:pPr>
        <w:pStyle w:val="FootnoteText"/>
        <w:numPr>
          <w:ilvl w:val="0"/>
          <w:numId w:val="0"/>
        </w:numPr>
        <w:ind w:left="360" w:hanging="360"/>
      </w:pPr>
      <w:r>
        <w:rPr>
          <w:rStyle w:val="FootnoteReference"/>
        </w:rPr>
        <w:footnoteRef/>
      </w:r>
      <w:r>
        <w:t xml:space="preserve"> Ibid.</w:t>
      </w:r>
    </w:p>
  </w:footnote>
  <w:footnote w:id="102">
    <w:p w14:paraId="7216824A" w14:textId="23B7216C" w:rsidR="002238AE" w:rsidRDefault="002238AE" w:rsidP="00026DD8">
      <w:pPr>
        <w:pStyle w:val="FootnoteText"/>
        <w:numPr>
          <w:ilvl w:val="0"/>
          <w:numId w:val="0"/>
        </w:numPr>
        <w:ind w:left="360" w:hanging="360"/>
      </w:pPr>
      <w:r>
        <w:rPr>
          <w:rStyle w:val="FootnoteReference"/>
        </w:rPr>
        <w:footnoteRef/>
      </w:r>
      <w:r>
        <w:t xml:space="preserve"> Email response from PG&amp;E on 11/10/2020.</w:t>
      </w:r>
    </w:p>
  </w:footnote>
  <w:footnote w:id="103">
    <w:p w14:paraId="64913D3A" w14:textId="77777777" w:rsidR="002238AE" w:rsidRDefault="002238AE" w:rsidP="00026DD8">
      <w:pPr>
        <w:pStyle w:val="FootnoteText"/>
        <w:numPr>
          <w:ilvl w:val="0"/>
          <w:numId w:val="0"/>
        </w:numPr>
        <w:ind w:left="360" w:hanging="360"/>
      </w:pPr>
      <w:r>
        <w:rPr>
          <w:rStyle w:val="FootnoteReference"/>
        </w:rPr>
        <w:footnoteRef/>
      </w:r>
      <w:r>
        <w:t xml:space="preserve"> Email response from PG&amp;E dated 8/26/20.</w:t>
      </w:r>
    </w:p>
  </w:footnote>
  <w:footnote w:id="104">
    <w:p w14:paraId="4DE74B4D" w14:textId="77777777" w:rsidR="002238AE" w:rsidRDefault="002238AE" w:rsidP="00DE20BC">
      <w:pPr>
        <w:pStyle w:val="FootnoteText"/>
        <w:numPr>
          <w:ilvl w:val="0"/>
          <w:numId w:val="0"/>
        </w:numPr>
        <w:ind w:left="360" w:hanging="360"/>
      </w:pPr>
      <w:r>
        <w:rPr>
          <w:rStyle w:val="FootnoteReference"/>
        </w:rPr>
        <w:footnoteRef/>
      </w:r>
      <w:r>
        <w:t xml:space="preserve"> Data presented to Energy Division staff during a meeting on </w:t>
      </w:r>
      <w:r w:rsidRPr="00B0576E">
        <w:t>August 7, 2020</w:t>
      </w:r>
      <w:r>
        <w:t>.</w:t>
      </w:r>
    </w:p>
  </w:footnote>
  <w:footnote w:id="105">
    <w:p w14:paraId="133B1937" w14:textId="2EE651EC" w:rsidR="002238AE" w:rsidRDefault="002238AE">
      <w:pPr>
        <w:pStyle w:val="FootnoteText"/>
        <w:numPr>
          <w:ilvl w:val="0"/>
          <w:numId w:val="0"/>
        </w:numPr>
      </w:pPr>
      <w:r>
        <w:rPr>
          <w:rStyle w:val="FootnoteReference"/>
        </w:rPr>
        <w:footnoteRef/>
      </w:r>
      <w:r>
        <w:t xml:space="preserve"> PG&amp;E uses a Triplex 600-volt, USE-2, 1/0 AWG, aluminum conductor with crosslinked polyethylene insulation for 100 amp service cable and uses an identical cable with 4/0 AWG conductor and 1/0 AWG neutral for 200 amp service cable.  The weight difference between 100’ of these two cables is approximately 29 lbs.  </w:t>
      </w:r>
    </w:p>
    <w:p w14:paraId="40A29555" w14:textId="17DE5738" w:rsidR="002238AE" w:rsidRDefault="002238AE">
      <w:pPr>
        <w:pStyle w:val="FootnoteText"/>
        <w:numPr>
          <w:ilvl w:val="0"/>
          <w:numId w:val="0"/>
        </w:numPr>
        <w:rPr>
          <w:bCs/>
        </w:rPr>
      </w:pPr>
      <w:r>
        <w:rPr>
          <w:bCs/>
        </w:rPr>
        <w:t xml:space="preserve">The material cost of a 100-foot 200-amp service cable is approximately $242 including sales tax, handling, and freight according to a data response from PG&amp;E dated 8/24/20.  Cost savings may be gained through economies of scale if multiple spaces are upgraded at the same time.  </w:t>
      </w:r>
    </w:p>
    <w:p w14:paraId="044FE669" w14:textId="7084413B" w:rsidR="002238AE" w:rsidRDefault="002238AE" w:rsidP="00C07F99">
      <w:pPr>
        <w:pStyle w:val="FootnoteText"/>
        <w:numPr>
          <w:ilvl w:val="0"/>
          <w:numId w:val="0"/>
        </w:numPr>
      </w:pPr>
      <w:r>
        <w:rPr>
          <w:bCs/>
        </w:rPr>
        <w:t>In a 11/20/2020 response to a data request inquiry about marginal labor cost for installing 200 amp cables within a MHP, PG&amp;E stated that “</w:t>
      </w:r>
      <w:r w:rsidRPr="003410E0">
        <w:rPr>
          <w:bCs/>
        </w:rPr>
        <w:t xml:space="preserve">After talking to the vendor, he was not able to give me a definitive answer as the </w:t>
      </w:r>
      <w:r w:rsidRPr="000E5658">
        <w:rPr>
          <w:bCs/>
        </w:rPr>
        <w:t>cost difference is probably several hrs more for labor, which is probably not significantly more at this point.</w:t>
      </w:r>
      <w:r>
        <w:rPr>
          <w:bCs/>
        </w:rPr>
        <w:t>”</w:t>
      </w:r>
    </w:p>
  </w:footnote>
  <w:footnote w:id="106">
    <w:p w14:paraId="7549B9A7" w14:textId="68CF0E55" w:rsidR="002238AE" w:rsidRDefault="002238AE" w:rsidP="00566B5A">
      <w:pPr>
        <w:pStyle w:val="FootnoteText"/>
        <w:numPr>
          <w:ilvl w:val="0"/>
          <w:numId w:val="0"/>
        </w:numPr>
      </w:pPr>
      <w:r>
        <w:rPr>
          <w:rStyle w:val="FootnoteReference"/>
        </w:rPr>
        <w:footnoteRef/>
      </w:r>
      <w:r>
        <w:t xml:space="preserve"> </w:t>
      </w:r>
      <w:r w:rsidRPr="0025512E">
        <w:t xml:space="preserve">The conduit in this section is already capable of housing a 200-amp electric cable.  </w:t>
      </w:r>
      <w:r w:rsidRPr="0025512E">
        <w:rPr>
          <w:bCs/>
        </w:rPr>
        <w:t xml:space="preserve">The difference in cost/foot between a 200-amp and a 100 amp cable including sales tax, handling, and freight is approximately $0.77 per foot.  So, assuming an average of 100 feet from a splice box to the electric pedestal, the additional cost per mobilehome is approximately $77.  </w:t>
      </w:r>
      <w:r>
        <w:rPr>
          <w:bCs/>
        </w:rPr>
        <w:t>There are 27 MHPs submitted applications with a total of 1,257 spaces.  The total incremental cost is $96,789 (1,257 spaces * $77/space).</w:t>
      </w:r>
    </w:p>
  </w:footnote>
  <w:footnote w:id="107">
    <w:p w14:paraId="35D00DC4" w14:textId="04720EE5" w:rsidR="002238AE" w:rsidRDefault="002238AE" w:rsidP="00DA3769">
      <w:pPr>
        <w:pStyle w:val="FootnoteText"/>
        <w:numPr>
          <w:ilvl w:val="0"/>
          <w:numId w:val="0"/>
        </w:numPr>
      </w:pPr>
      <w:r>
        <w:rPr>
          <w:rStyle w:val="FootnoteReference"/>
        </w:rPr>
        <w:footnoteRef/>
      </w:r>
      <w:r>
        <w:t xml:space="preserve"> </w:t>
      </w:r>
      <w:r w:rsidRPr="0025512E">
        <w:t>$</w:t>
      </w:r>
      <w:r>
        <w:t>96,789</w:t>
      </w:r>
      <w:r w:rsidRPr="0025512E">
        <w:t>/</w:t>
      </w:r>
      <w:r w:rsidRPr="00190CD1">
        <w:rPr>
          <w:bCs/>
        </w:rPr>
        <w:t>68,066,426.69</w:t>
      </w:r>
      <w:r w:rsidRPr="0025512E">
        <w:t xml:space="preserve"> = 0.1</w:t>
      </w:r>
      <w:r>
        <w:t>4</w:t>
      </w:r>
      <w:r w:rsidRPr="0025512E">
        <w:t>%.</w:t>
      </w:r>
    </w:p>
  </w:footnote>
  <w:footnote w:id="108">
    <w:p w14:paraId="13AC30EE" w14:textId="77777777" w:rsidR="002238AE" w:rsidRDefault="002238AE" w:rsidP="00D404AD">
      <w:pPr>
        <w:pStyle w:val="FootnoteText"/>
        <w:numPr>
          <w:ilvl w:val="0"/>
          <w:numId w:val="0"/>
        </w:numPr>
      </w:pPr>
      <w:r>
        <w:rPr>
          <w:rStyle w:val="FootnoteReference"/>
        </w:rPr>
        <w:footnoteRef/>
      </w:r>
      <w:r>
        <w:t xml:space="preserve"> Data response to Energy Division dated 11/18/20, indicates that the labor and material cost to upsize the service cables for 24 mobilehomes to 200-amp service is approximately $30,000.  Hence, each service cable retrofit would cost approximately $1,250.   </w:t>
      </w:r>
    </w:p>
  </w:footnote>
  <w:footnote w:id="109">
    <w:p w14:paraId="4FDDDA26" w14:textId="77777777" w:rsidR="002238AE" w:rsidRDefault="002238AE" w:rsidP="00D404AD">
      <w:pPr>
        <w:pStyle w:val="FootnoteText"/>
        <w:numPr>
          <w:ilvl w:val="0"/>
          <w:numId w:val="0"/>
        </w:numPr>
        <w:ind w:left="360" w:hanging="360"/>
      </w:pPr>
      <w:r>
        <w:rPr>
          <w:rStyle w:val="FootnoteReference"/>
        </w:rPr>
        <w:footnoteRef/>
      </w:r>
      <w:r>
        <w:t xml:space="preserve"> $1,250 after the program /$77 before the program = 16.23 times</w:t>
      </w:r>
    </w:p>
  </w:footnote>
  <w:footnote w:id="110">
    <w:p w14:paraId="7CA091CC" w14:textId="6653F7A3" w:rsidR="002238AE" w:rsidRDefault="002238AE" w:rsidP="00761D8F">
      <w:pPr>
        <w:pStyle w:val="FootnoteText"/>
        <w:numPr>
          <w:ilvl w:val="0"/>
          <w:numId w:val="0"/>
        </w:numPr>
        <w:ind w:left="360" w:hanging="360"/>
      </w:pPr>
      <w:r>
        <w:rPr>
          <w:rStyle w:val="FootnoteReference"/>
        </w:rPr>
        <w:footnoteRef/>
      </w:r>
      <w:r>
        <w:t xml:space="preserve"> $600 of material cost and $2,700 of labor cost.</w:t>
      </w:r>
    </w:p>
  </w:footnote>
  <w:footnote w:id="111">
    <w:p w14:paraId="20120CCB" w14:textId="77777777" w:rsidR="002238AE" w:rsidRDefault="002238AE" w:rsidP="00E1324F">
      <w:pPr>
        <w:pStyle w:val="FootnoteText"/>
        <w:numPr>
          <w:ilvl w:val="0"/>
          <w:numId w:val="0"/>
        </w:numPr>
      </w:pPr>
      <w:r>
        <w:rPr>
          <w:rStyle w:val="FootnoteReference"/>
        </w:rPr>
        <w:footnoteRef/>
      </w:r>
      <w:r>
        <w:t xml:space="preserve"> </w:t>
      </w:r>
      <w:r w:rsidRPr="007F371A">
        <w:t>The Commission initiated Rulemaking (R.)19-01-011</w:t>
      </w:r>
      <w:r>
        <w:t xml:space="preserve"> on</w:t>
      </w:r>
      <w:r w:rsidRPr="00496438">
        <w:rPr>
          <w:rFonts w:ascii="Book Antiqua" w:hAnsi="Book Antiqua" w:cs="Book Antiqua"/>
          <w:color w:val="000000"/>
          <w:sz w:val="26"/>
          <w:szCs w:val="26"/>
        </w:rPr>
        <w:t xml:space="preserve"> </w:t>
      </w:r>
      <w:r w:rsidRPr="00496438">
        <w:t>January 31, 2019</w:t>
      </w:r>
      <w:r>
        <w:t>,</w:t>
      </w:r>
      <w:r w:rsidRPr="00496438">
        <w:t xml:space="preserve"> </w:t>
      </w:r>
      <w:r w:rsidRPr="007F371A">
        <w:t>to begin crafting policy regarding building decarbonization in California pursuant to Senate Bill (SB) 1477 (Stern, 2018).</w:t>
      </w:r>
    </w:p>
    <w:p w14:paraId="6F818C01" w14:textId="77777777" w:rsidR="002238AE" w:rsidRDefault="002238AE" w:rsidP="00E1324F">
      <w:pPr>
        <w:pStyle w:val="FootnoteText"/>
        <w:numPr>
          <w:ilvl w:val="0"/>
          <w:numId w:val="0"/>
        </w:numPr>
      </w:pPr>
      <w:r w:rsidRPr="00B4761C">
        <w:t>SB 1477 calls on the CPUC to develop, in consultation with the California Energy Commission, two programs (B</w:t>
      </w:r>
      <w:r>
        <w:t>uilding Initiative for Low Emissions Development (B</w:t>
      </w:r>
      <w:r w:rsidRPr="00B4761C">
        <w:t>UILD</w:t>
      </w:r>
      <w:r>
        <w:t>)</w:t>
      </w:r>
      <w:r w:rsidRPr="00B4761C">
        <w:t xml:space="preserve"> and </w:t>
      </w:r>
      <w:r w:rsidRPr="00794AB2">
        <w:t>Technology and Equipment for Clean Heating</w:t>
      </w:r>
      <w:r>
        <w:t xml:space="preserve"> (</w:t>
      </w:r>
      <w:r w:rsidRPr="00B4761C">
        <w:t xml:space="preserve">TECH) aimed at reducing greenhouse gas emissions associated with buildings. </w:t>
      </w:r>
    </w:p>
  </w:footnote>
  <w:footnote w:id="112">
    <w:p w14:paraId="57E4EE69" w14:textId="77777777" w:rsidR="002238AE" w:rsidRDefault="002238AE" w:rsidP="00E1324F">
      <w:pPr>
        <w:pStyle w:val="FootnoteText"/>
        <w:numPr>
          <w:ilvl w:val="0"/>
          <w:numId w:val="0"/>
        </w:numPr>
      </w:pPr>
      <w:r>
        <w:rPr>
          <w:rStyle w:val="FootnoteReference"/>
        </w:rPr>
        <w:footnoteRef/>
      </w:r>
      <w:r>
        <w:t xml:space="preserve"> </w:t>
      </w:r>
      <w:r w:rsidRPr="00920CAB">
        <w:t xml:space="preserve">After past wildfires, </w:t>
      </w:r>
      <w:r>
        <w:t>e</w:t>
      </w:r>
      <w:r w:rsidRPr="00C1008D">
        <w:t>lectric corporations have offered increased energy efficiency incentives to customers going beyond current codes when rebuilding. However, these programs have had limited ability to fund investments for homes and businesses to be all-electric or pursue other decarbonization strategies.</w:t>
      </w:r>
    </w:p>
  </w:footnote>
  <w:footnote w:id="113">
    <w:p w14:paraId="049B094A" w14:textId="77777777" w:rsidR="002238AE" w:rsidRDefault="002238AE" w:rsidP="00E1324F">
      <w:pPr>
        <w:pStyle w:val="FootnoteText"/>
        <w:numPr>
          <w:ilvl w:val="0"/>
          <w:numId w:val="0"/>
        </w:numPr>
        <w:ind w:left="360" w:hanging="360"/>
      </w:pPr>
      <w:r>
        <w:rPr>
          <w:rStyle w:val="FootnoteReference"/>
        </w:rPr>
        <w:footnoteRef/>
      </w:r>
      <w:r>
        <w:t xml:space="preserve"> R.19-01-011 at 14</w:t>
      </w:r>
    </w:p>
  </w:footnote>
  <w:footnote w:id="114">
    <w:p w14:paraId="4A34096F" w14:textId="77777777" w:rsidR="002238AE" w:rsidRDefault="002238AE" w:rsidP="00913EA3">
      <w:pPr>
        <w:pStyle w:val="FootnoteText"/>
        <w:numPr>
          <w:ilvl w:val="0"/>
          <w:numId w:val="0"/>
        </w:numPr>
      </w:pPr>
      <w:r>
        <w:rPr>
          <w:rStyle w:val="FootnoteReference"/>
        </w:rPr>
        <w:footnoteRef/>
      </w:r>
      <w:r>
        <w:t xml:space="preserve"> </w:t>
      </w:r>
      <w:r w:rsidRPr="00434782">
        <w:t>AB 3232 calls on the Energy Commission to, by 2021, develop an assessment of the feasibility of reducing the greenhouse gas emissions of California’s buildings 40 percent below 1990 levels by 2030, working in consultation with the CPUC and other state agencies.</w:t>
      </w:r>
    </w:p>
  </w:footnote>
  <w:footnote w:id="115">
    <w:p w14:paraId="3DC886DC" w14:textId="77777777" w:rsidR="002238AE" w:rsidRDefault="002238AE" w:rsidP="002923AB">
      <w:pPr>
        <w:pStyle w:val="FootnoteText"/>
        <w:numPr>
          <w:ilvl w:val="0"/>
          <w:numId w:val="0"/>
        </w:numPr>
      </w:pPr>
      <w:r>
        <w:rPr>
          <w:rStyle w:val="FootnoteReference"/>
        </w:rPr>
        <w:footnoteRef/>
      </w:r>
      <w:r>
        <w:t xml:space="preserve"> This Resolution </w:t>
      </w:r>
      <w:r w:rsidRPr="0089274D">
        <w:t>recommend</w:t>
      </w:r>
      <w:r>
        <w:t>s</w:t>
      </w:r>
      <w:r w:rsidRPr="0089274D">
        <w:t xml:space="preserve"> the section of underground cable from the splice box to the electric pedestal to be rated at 200 amps.  The conduit in this section is already capable of housing </w:t>
      </w:r>
      <w:r>
        <w:t>a</w:t>
      </w:r>
      <w:r w:rsidRPr="0089274D">
        <w:t xml:space="preserve"> 200-amp electric cable.  </w:t>
      </w:r>
      <w:r w:rsidRPr="0089274D">
        <w:rPr>
          <w:bCs/>
        </w:rPr>
        <w:t xml:space="preserve">The difference in cost/foot between a 200-amp and a </w:t>
      </w:r>
      <w:r>
        <w:rPr>
          <w:bCs/>
        </w:rPr>
        <w:t>100 amp</w:t>
      </w:r>
      <w:r w:rsidRPr="0089274D">
        <w:rPr>
          <w:bCs/>
        </w:rPr>
        <w:t xml:space="preserve"> cable including sales tax, handling, and freight is approximately $0.77 per foot.  So, assuming an average of 100 feet from a splice box to the electric pedestal, the additional cost per mobilehome is </w:t>
      </w:r>
      <w:r>
        <w:rPr>
          <w:bCs/>
        </w:rPr>
        <w:t xml:space="preserve">approximately </w:t>
      </w:r>
      <w:r w:rsidRPr="0089274D">
        <w:rPr>
          <w:bCs/>
        </w:rPr>
        <w:t xml:space="preserve">$77.  </w:t>
      </w:r>
      <w:r>
        <w:rPr>
          <w:bCs/>
        </w:rPr>
        <w:t>The cost of providing 200-amp service cable using the same assumptions is approximately $1,250</w:t>
      </w:r>
      <w:r w:rsidRPr="0089274D">
        <w:rPr>
          <w:bCs/>
        </w:rPr>
        <w:t>.</w:t>
      </w:r>
      <w:r>
        <w:rPr>
          <w:bCs/>
        </w:rPr>
        <w:t xml:space="preserve">  </w:t>
      </w:r>
    </w:p>
  </w:footnote>
  <w:footnote w:id="116">
    <w:p w14:paraId="6AC44A56" w14:textId="58BBC493" w:rsidR="002238AE" w:rsidRDefault="002238AE">
      <w:pPr>
        <w:pStyle w:val="FootnoteText"/>
        <w:numPr>
          <w:ilvl w:val="0"/>
          <w:numId w:val="0"/>
        </w:numPr>
      </w:pPr>
      <w:r>
        <w:rPr>
          <w:rStyle w:val="FootnoteReference"/>
        </w:rPr>
        <w:footnoteRef/>
      </w:r>
      <w:r>
        <w:t xml:space="preserve"> The electric </w:t>
      </w:r>
      <w:r w:rsidRPr="009F6CFE">
        <w:rPr>
          <w:bCs/>
        </w:rPr>
        <w:t xml:space="preserve">infrastructure </w:t>
      </w:r>
      <w:r>
        <w:t>costs to upgrade entire MHPs to 200-amp service are more difficult to quantify since the number of spaces, MHP layouts, and load requirements differ between MHPs.  The site-specific needs would affect the distribution and possibly transmission electric infrastructure requirements and their associated upgrade costs.</w:t>
      </w:r>
    </w:p>
  </w:footnote>
  <w:footnote w:id="117">
    <w:p w14:paraId="35210D45" w14:textId="77777777" w:rsidR="002238AE" w:rsidRDefault="002238AE" w:rsidP="003C3DA2">
      <w:pPr>
        <w:pStyle w:val="FootnoteText"/>
        <w:numPr>
          <w:ilvl w:val="0"/>
          <w:numId w:val="0"/>
        </w:numPr>
        <w:ind w:left="360" w:hanging="360"/>
      </w:pPr>
      <w:r>
        <w:rPr>
          <w:rStyle w:val="FootnoteReference"/>
        </w:rPr>
        <w:footnoteRef/>
      </w:r>
      <w:r>
        <w:t xml:space="preserve"> Data response to Energy Division dated August 24, 2020.</w:t>
      </w:r>
    </w:p>
  </w:footnote>
  <w:footnote w:id="118">
    <w:p w14:paraId="1D09939C" w14:textId="2ED7085E" w:rsidR="002238AE" w:rsidRDefault="002238AE" w:rsidP="00383025">
      <w:pPr>
        <w:pStyle w:val="FootnoteText"/>
        <w:numPr>
          <w:ilvl w:val="0"/>
          <w:numId w:val="0"/>
        </w:numPr>
      </w:pPr>
      <w:r>
        <w:rPr>
          <w:rStyle w:val="FootnoteReference"/>
        </w:rPr>
        <w:footnoteRef/>
      </w:r>
      <w:r>
        <w:t xml:space="preserve"> PG&amp;E shall rebuild all existing </w:t>
      </w:r>
      <w:r w:rsidRPr="00CA7819">
        <w:t xml:space="preserve">electric </w:t>
      </w:r>
      <w:r>
        <w:t xml:space="preserve">utilities up to the splice box for 100 amp service unless the park had above 100 amp service before destruction from the Camp Fire. </w:t>
      </w:r>
    </w:p>
  </w:footnote>
  <w:footnote w:id="119">
    <w:p w14:paraId="51C21F4F" w14:textId="089F91E4" w:rsidR="002238AE" w:rsidRDefault="002238AE" w:rsidP="00D30872">
      <w:pPr>
        <w:pStyle w:val="FootnoteText"/>
        <w:numPr>
          <w:ilvl w:val="0"/>
          <w:numId w:val="0"/>
        </w:numPr>
      </w:pPr>
      <w:r>
        <w:rPr>
          <w:rStyle w:val="FootnoteReference"/>
        </w:rPr>
        <w:footnoteRef/>
      </w:r>
      <w:r>
        <w:t xml:space="preserve"> Section </w:t>
      </w:r>
      <w:r w:rsidRPr="00601914">
        <w:t>6.1.5.</w:t>
      </w:r>
      <w:r>
        <w:t xml:space="preserve"> reads:</w:t>
      </w:r>
      <w:r w:rsidRPr="00601914">
        <w:t xml:space="preserve"> </w:t>
      </w:r>
      <w:r>
        <w:t>“</w:t>
      </w:r>
      <w:r w:rsidRPr="00601914">
        <w:t>PG&amp;E will design and install the “To-the-Meter” facilities to accommodate a</w:t>
      </w:r>
      <w:r>
        <w:t xml:space="preserve"> </w:t>
      </w:r>
      <w:r w:rsidRPr="00601914">
        <w:t>service equivalent to the previous service. If the previous electric service was</w:t>
      </w:r>
      <w:r>
        <w:t xml:space="preserve"> </w:t>
      </w:r>
      <w:r w:rsidRPr="00601914">
        <w:t>less than 100 amperes, the utility will design and install “To-the-Meter”</w:t>
      </w:r>
      <w:r>
        <w:t xml:space="preserve"> </w:t>
      </w:r>
      <w:r w:rsidRPr="00601914">
        <w:t>facilities to accommodate 100 ampere service as part of the MHP Rebuild</w:t>
      </w:r>
      <w:r>
        <w:t xml:space="preserve"> </w:t>
      </w:r>
      <w:r w:rsidRPr="00601914">
        <w:t>Program.</w:t>
      </w:r>
      <w:r>
        <w:t xml:space="preserve">”  Section </w:t>
      </w:r>
      <w:r w:rsidRPr="00601914">
        <w:t>6.1.6.</w:t>
      </w:r>
      <w:r>
        <w:t xml:space="preserve"> reads:</w:t>
      </w:r>
      <w:r w:rsidRPr="00601914">
        <w:t xml:space="preserve"> </w:t>
      </w:r>
      <w:r>
        <w:t>“</w:t>
      </w:r>
      <w:r w:rsidRPr="00601914">
        <w:t xml:space="preserve">With the exception of the </w:t>
      </w:r>
      <w:r>
        <w:t>100 amp</w:t>
      </w:r>
      <w:r w:rsidRPr="00601914">
        <w:t>ere minimum electric service, any requests</w:t>
      </w:r>
      <w:r>
        <w:t xml:space="preserve"> </w:t>
      </w:r>
      <w:r w:rsidRPr="00601914">
        <w:t>for service upgrades or relocations beyond what is being provided by the MHP</w:t>
      </w:r>
      <w:r>
        <w:t xml:space="preserve"> </w:t>
      </w:r>
      <w:r w:rsidRPr="00601914">
        <w:t>Rebuild Program will be handled under PG&amp;E’s current Rules and Tariffs.</w:t>
      </w:r>
      <w:r>
        <w:t>”</w:t>
      </w:r>
    </w:p>
  </w:footnote>
  <w:footnote w:id="120">
    <w:p w14:paraId="5CF5706F" w14:textId="02C9F275" w:rsidR="002238AE" w:rsidRDefault="002238AE" w:rsidP="009C68A8">
      <w:pPr>
        <w:pStyle w:val="FootnoteText"/>
        <w:numPr>
          <w:ilvl w:val="0"/>
          <w:numId w:val="0"/>
        </w:numPr>
      </w:pPr>
      <w:r>
        <w:rPr>
          <w:rStyle w:val="FootnoteReference"/>
        </w:rPr>
        <w:footnoteRef/>
      </w:r>
      <w:r>
        <w:t xml:space="preserve"> T</w:t>
      </w:r>
      <w:r w:rsidRPr="001D28D9">
        <w:t>ransformer sizing</w:t>
      </w:r>
      <w:r>
        <w:t xml:space="preserve"> can be affected by voltage drop, flickering, climate zone, park layout, and customer loads, etc.  Therefore, the amount of system upgrade required to upgrade all spaces to 200 amps varies by mobilehome locations.  The Commission will not define a threshold for substantial system upgrade.  But upgrades that do not </w:t>
      </w:r>
      <w:r w:rsidRPr="00C4762A">
        <w:rPr>
          <w:bCs/>
        </w:rPr>
        <w:t xml:space="preserve">involve larger and additional distribution transformers, trenching, and </w:t>
      </w:r>
      <w:r w:rsidRPr="009C68A8">
        <w:rPr>
          <w:bCs/>
        </w:rPr>
        <w:t xml:space="preserve">possible </w:t>
      </w:r>
      <w:r w:rsidRPr="00620C41">
        <w:rPr>
          <w:bCs/>
        </w:rPr>
        <w:t>secondary distribution</w:t>
      </w:r>
      <w:r>
        <w:rPr>
          <w:bCs/>
        </w:rPr>
        <w:t xml:space="preserve"> </w:t>
      </w:r>
      <w:r w:rsidRPr="00C4762A">
        <w:rPr>
          <w:bCs/>
        </w:rPr>
        <w:t>upgrades</w:t>
      </w:r>
      <w:r>
        <w:rPr>
          <w:bCs/>
        </w:rPr>
        <w:t xml:space="preserve"> are not considered substantial</w:t>
      </w:r>
      <w:r>
        <w:t xml:space="preserve">.   </w:t>
      </w:r>
    </w:p>
  </w:footnote>
  <w:footnote w:id="121">
    <w:p w14:paraId="2D273CE1" w14:textId="77777777" w:rsidR="002238AE" w:rsidRDefault="002238AE" w:rsidP="00212597">
      <w:pPr>
        <w:pStyle w:val="FootnoteText"/>
        <w:numPr>
          <w:ilvl w:val="0"/>
          <w:numId w:val="0"/>
        </w:numPr>
      </w:pPr>
      <w:r>
        <w:rPr>
          <w:rStyle w:val="FootnoteReference"/>
        </w:rPr>
        <w:footnoteRef/>
      </w:r>
      <w:r>
        <w:t xml:space="preserve"> Section 9.1.1.3. reads: “</w:t>
      </w:r>
      <w:r w:rsidRPr="00971A95">
        <w:t>The failure or inability of the MHP Owner/Operator to complete the work</w:t>
      </w:r>
      <w:r>
        <w:t xml:space="preserve"> </w:t>
      </w:r>
      <w:r w:rsidRPr="00971A95">
        <w:t>and be ready to receive service from PG&amp;E within twelve (12) months of</w:t>
      </w:r>
      <w:r>
        <w:t xml:space="preserve"> </w:t>
      </w:r>
      <w:r w:rsidRPr="00971A95">
        <w:t>the execution of this Agreement; or</w:t>
      </w:r>
      <w:r>
        <w:t>”</w:t>
      </w:r>
    </w:p>
  </w:footnote>
  <w:footnote w:id="122">
    <w:p w14:paraId="55575423" w14:textId="77777777" w:rsidR="002238AE" w:rsidRDefault="002238AE" w:rsidP="00212597">
      <w:pPr>
        <w:pStyle w:val="FootnoteText"/>
        <w:numPr>
          <w:ilvl w:val="0"/>
          <w:numId w:val="0"/>
        </w:numPr>
      </w:pPr>
      <w:r>
        <w:rPr>
          <w:rStyle w:val="FootnoteReference"/>
        </w:rPr>
        <w:footnoteRef/>
      </w:r>
      <w:r>
        <w:t xml:space="preserve"> Protests of </w:t>
      </w:r>
      <w:r w:rsidRPr="006D736F">
        <w:rPr>
          <w:bCs/>
        </w:rPr>
        <w:t>Forest Glenn MHP, Pheasant Ridge Mobile Estate, Pine Springs MHP, and Ridgewood MHP</w:t>
      </w:r>
      <w:r>
        <w:rPr>
          <w:bCs/>
        </w:rPr>
        <w:t xml:space="preserve"> at 1</w:t>
      </w:r>
    </w:p>
  </w:footnote>
  <w:footnote w:id="123">
    <w:p w14:paraId="28AAA97C" w14:textId="7C1003B7" w:rsidR="002238AE" w:rsidRDefault="002238AE" w:rsidP="009B554A">
      <w:pPr>
        <w:pStyle w:val="FootnoteText"/>
        <w:numPr>
          <w:ilvl w:val="0"/>
          <w:numId w:val="0"/>
        </w:numPr>
        <w:ind w:left="360" w:hanging="360"/>
      </w:pPr>
      <w:r>
        <w:rPr>
          <w:rStyle w:val="FootnoteReference"/>
        </w:rPr>
        <w:footnoteRef/>
      </w:r>
      <w:r>
        <w:t xml:space="preserve"> PG&amp;E AL 4116-G/5581-E at 2</w:t>
      </w:r>
    </w:p>
  </w:footnote>
  <w:footnote w:id="124">
    <w:p w14:paraId="41AEB05F" w14:textId="15F508F8" w:rsidR="002238AE" w:rsidRDefault="002238AE" w:rsidP="00C80046">
      <w:pPr>
        <w:pStyle w:val="FootnoteText"/>
        <w:numPr>
          <w:ilvl w:val="0"/>
          <w:numId w:val="0"/>
        </w:numPr>
        <w:ind w:left="360" w:hanging="360"/>
      </w:pPr>
      <w:r>
        <w:rPr>
          <w:rStyle w:val="FootnoteReference"/>
        </w:rPr>
        <w:footnoteRef/>
      </w:r>
      <w:r>
        <w:t xml:space="preserve"> PG&amp;E reply to protest at 3</w:t>
      </w:r>
    </w:p>
  </w:footnote>
  <w:footnote w:id="125">
    <w:p w14:paraId="28AD5351" w14:textId="77777777" w:rsidR="002238AE" w:rsidRDefault="002238AE" w:rsidP="00D93159">
      <w:pPr>
        <w:pStyle w:val="FootnoteText"/>
        <w:numPr>
          <w:ilvl w:val="0"/>
          <w:numId w:val="0"/>
        </w:numPr>
      </w:pPr>
      <w:r>
        <w:rPr>
          <w:rStyle w:val="FootnoteReference"/>
        </w:rPr>
        <w:footnoteRef/>
      </w:r>
      <w:r>
        <w:t xml:space="preserve"> </w:t>
      </w:r>
      <w:r w:rsidRPr="00931407">
        <w:t>Section 10.6 of the agreement reads: “As soon as practicable and after any jurisdictional authorities have inspected and approved operation of the “Beyond-the-Meter” work, the MHP Owner/Operator may submit invoices to PG&amp;E for “Beyond-the-Meter” work. Invoices submitted shall be submitted in no less than twenty-five percent (25%) increments based on the number of converted MH-Space compared to the total number of eligible MH-Spaces at the MHP. The final reimbursement for the “Beyond-the-Meter” work will be paid to the MHP Owner/Operator after the final commission has been completed and the entire MHP is ready to receive direct PG&amp;E service.”</w:t>
      </w:r>
    </w:p>
  </w:footnote>
  <w:footnote w:id="126">
    <w:p w14:paraId="59FE9D3C" w14:textId="77777777" w:rsidR="002238AE" w:rsidRDefault="002238AE" w:rsidP="00165BA6">
      <w:pPr>
        <w:pStyle w:val="FootnoteText"/>
        <w:numPr>
          <w:ilvl w:val="0"/>
          <w:numId w:val="0"/>
        </w:numPr>
        <w:ind w:left="360" w:hanging="360"/>
      </w:pPr>
      <w:r>
        <w:rPr>
          <w:rStyle w:val="FootnoteReference"/>
        </w:rPr>
        <w:footnoteRef/>
      </w:r>
      <w:r>
        <w:t xml:space="preserve"> PG&amp;E AL 4116-G/5581-E at 2</w:t>
      </w:r>
    </w:p>
  </w:footnote>
  <w:footnote w:id="127">
    <w:p w14:paraId="623F17F5" w14:textId="2A6A9DD5" w:rsidR="002238AE" w:rsidRDefault="002238AE" w:rsidP="00D2684E">
      <w:pPr>
        <w:pStyle w:val="FootnoteText"/>
        <w:numPr>
          <w:ilvl w:val="0"/>
          <w:numId w:val="0"/>
        </w:numPr>
      </w:pPr>
      <w:r>
        <w:rPr>
          <w:rStyle w:val="FootnoteReference"/>
        </w:rPr>
        <w:footnoteRef/>
      </w:r>
      <w:r>
        <w:t xml:space="preserve"> </w:t>
      </w:r>
      <w:r w:rsidRPr="006611DB">
        <w:t xml:space="preserve">PG&amp;E stated </w:t>
      </w:r>
      <w:r>
        <w:t xml:space="preserve">in a data response dated 5/11/21, </w:t>
      </w:r>
      <w:r w:rsidRPr="006611DB">
        <w:t>that approximately 62% of the electric mobilehome spaces and 48% of the gas mobilehome spaces in the Rebuild Program are direct-metered.</w:t>
      </w:r>
      <w:r>
        <w:t xml:space="preserve">  Therefore, </w:t>
      </w:r>
      <w:r w:rsidRPr="00382FA7">
        <w:t xml:space="preserve">approximately </w:t>
      </w:r>
      <w:r>
        <w:t>38</w:t>
      </w:r>
      <w:r w:rsidRPr="00382FA7">
        <w:t xml:space="preserve">% of the electric mobilehome spaces and </w:t>
      </w:r>
      <w:r>
        <w:t>52</w:t>
      </w:r>
      <w:r w:rsidRPr="00382FA7">
        <w:t xml:space="preserve">% of the gas mobilehome spaces in the Rebuild Program are </w:t>
      </w:r>
      <w:r>
        <w:t>master</w:t>
      </w:r>
      <w:r w:rsidRPr="00382FA7">
        <w:t>-metered.</w:t>
      </w:r>
    </w:p>
  </w:footnote>
  <w:footnote w:id="128">
    <w:p w14:paraId="03963E69" w14:textId="31DE8415" w:rsidR="002238AE" w:rsidRDefault="002238AE" w:rsidP="008C27FB">
      <w:pPr>
        <w:pStyle w:val="FootnoteText"/>
        <w:numPr>
          <w:ilvl w:val="0"/>
          <w:numId w:val="0"/>
        </w:numPr>
      </w:pPr>
      <w:r>
        <w:rPr>
          <w:rStyle w:val="FootnoteReference"/>
        </w:rPr>
        <w:footnoteRef/>
      </w:r>
      <w:r>
        <w:t xml:space="preserve"> Section 5.3.2 of the proposed Butte County MHP Rebuild Program Agreement indicates that “</w:t>
      </w:r>
      <w:r w:rsidRPr="0094389E">
        <w:t xml:space="preserve">PG&amp;E will normally design and install a single phase, 120/240 volts, 100-ampere electric meter service equipment at each individual MH-Space. </w:t>
      </w:r>
      <w:r>
        <w:t xml:space="preserve"> </w:t>
      </w:r>
      <w:r w:rsidRPr="0094389E">
        <w:t>Any</w:t>
      </w:r>
      <w:r>
        <w:t xml:space="preserve"> </w:t>
      </w:r>
      <w:r w:rsidRPr="0094389E">
        <w:t>requests for service modifications beyond the 100-ampere electric service o</w:t>
      </w:r>
      <w:r>
        <w:t xml:space="preserve">r </w:t>
      </w:r>
      <w:r w:rsidRPr="0094389E">
        <w:t>relocations beyond what is being provided by the MHP Rebuild Program will be</w:t>
      </w:r>
      <w:r>
        <w:t xml:space="preserve"> </w:t>
      </w:r>
      <w:r w:rsidRPr="0094389E">
        <w:t>handled under PG&amp;E’s current Rules and Tariffs.</w:t>
      </w:r>
      <w:r>
        <w:t>”</w:t>
      </w:r>
    </w:p>
  </w:footnote>
  <w:footnote w:id="129">
    <w:p w14:paraId="59452E6F" w14:textId="7919BCC5" w:rsidR="002238AE" w:rsidRDefault="002238AE" w:rsidP="00D2684E">
      <w:pPr>
        <w:pStyle w:val="FootnoteText"/>
        <w:numPr>
          <w:ilvl w:val="0"/>
          <w:numId w:val="0"/>
        </w:numPr>
        <w:ind w:left="360" w:hanging="360"/>
      </w:pPr>
      <w:r>
        <w:rPr>
          <w:rStyle w:val="FootnoteReference"/>
        </w:rPr>
        <w:footnoteRef/>
      </w:r>
      <w:r>
        <w:t xml:space="preserve"> Comment of Forest Glen MHP at 1</w:t>
      </w:r>
    </w:p>
  </w:footnote>
  <w:footnote w:id="130">
    <w:p w14:paraId="125B901A" w14:textId="5752F740" w:rsidR="002238AE" w:rsidRDefault="002238AE" w:rsidP="00D2684E">
      <w:pPr>
        <w:pStyle w:val="FootnoteText"/>
        <w:numPr>
          <w:ilvl w:val="0"/>
          <w:numId w:val="0"/>
        </w:numPr>
        <w:ind w:left="360" w:hanging="360"/>
      </w:pPr>
      <w:r>
        <w:rPr>
          <w:rStyle w:val="FootnoteReference"/>
        </w:rPr>
        <w:footnoteRef/>
      </w:r>
      <w:r>
        <w:t xml:space="preserve"> Comment of </w:t>
      </w:r>
      <w:r w:rsidRPr="00816F3B">
        <w:t xml:space="preserve">Forest Glen MHP at </w:t>
      </w:r>
      <w:r>
        <w:t>2</w:t>
      </w:r>
    </w:p>
  </w:footnote>
  <w:footnote w:id="131">
    <w:p w14:paraId="16224CF7" w14:textId="7AB6F8FE" w:rsidR="002238AE" w:rsidRDefault="002238AE" w:rsidP="00D2684E">
      <w:pPr>
        <w:pStyle w:val="FootnoteText"/>
        <w:numPr>
          <w:ilvl w:val="0"/>
          <w:numId w:val="0"/>
        </w:numPr>
        <w:ind w:left="360" w:hanging="360"/>
      </w:pPr>
      <w:r>
        <w:rPr>
          <w:rStyle w:val="FootnoteReference"/>
        </w:rPr>
        <w:footnoteRef/>
      </w:r>
      <w:r>
        <w:t xml:space="preserve"> Comment of Ridgewood MHP at 2</w:t>
      </w:r>
    </w:p>
  </w:footnote>
  <w:footnote w:id="132">
    <w:p w14:paraId="35CD4A17" w14:textId="783139A8" w:rsidR="002238AE" w:rsidRDefault="002238AE" w:rsidP="00D2684E">
      <w:pPr>
        <w:pStyle w:val="FootnoteText"/>
        <w:numPr>
          <w:ilvl w:val="0"/>
          <w:numId w:val="0"/>
        </w:numPr>
        <w:ind w:left="360" w:hanging="360"/>
      </w:pPr>
      <w:r>
        <w:rPr>
          <w:rStyle w:val="FootnoteReference"/>
        </w:rPr>
        <w:footnoteRef/>
      </w:r>
      <w:r>
        <w:t xml:space="preserve"> Comment of PG&amp;E at 3</w:t>
      </w:r>
    </w:p>
  </w:footnote>
  <w:footnote w:id="133">
    <w:p w14:paraId="14812E97" w14:textId="10C3B61D" w:rsidR="002238AE" w:rsidRDefault="002238AE" w:rsidP="00D2684E">
      <w:pPr>
        <w:pStyle w:val="FootnoteText"/>
        <w:numPr>
          <w:ilvl w:val="0"/>
          <w:numId w:val="0"/>
        </w:numPr>
        <w:ind w:left="360" w:hanging="360"/>
      </w:pPr>
      <w:r>
        <w:rPr>
          <w:rStyle w:val="FootnoteReference"/>
        </w:rPr>
        <w:footnoteRef/>
      </w:r>
      <w:r>
        <w:t xml:space="preserve"> Comment of PG&amp;E at 3</w:t>
      </w:r>
    </w:p>
  </w:footnote>
  <w:footnote w:id="134">
    <w:p w14:paraId="69E8727E" w14:textId="22EFA8A5" w:rsidR="002238AE" w:rsidRDefault="002238AE" w:rsidP="00D2684E">
      <w:pPr>
        <w:pStyle w:val="FootnoteText"/>
        <w:numPr>
          <w:ilvl w:val="0"/>
          <w:numId w:val="0"/>
        </w:numPr>
        <w:ind w:left="360" w:hanging="360"/>
      </w:pPr>
      <w:r>
        <w:rPr>
          <w:rStyle w:val="FootnoteReference"/>
        </w:rPr>
        <w:footnoteRef/>
      </w:r>
      <w:r>
        <w:t xml:space="preserve"> Order Paragraph (OP) 9 is revised to reflect this change.</w:t>
      </w:r>
    </w:p>
  </w:footnote>
  <w:footnote w:id="135">
    <w:p w14:paraId="03442297" w14:textId="392AB3DB" w:rsidR="002238AE" w:rsidRDefault="002238AE" w:rsidP="00D2684E">
      <w:pPr>
        <w:pStyle w:val="FootnoteText"/>
        <w:numPr>
          <w:ilvl w:val="0"/>
          <w:numId w:val="0"/>
        </w:numPr>
        <w:ind w:left="360" w:hanging="360"/>
      </w:pPr>
      <w:r>
        <w:rPr>
          <w:rStyle w:val="FootnoteReference"/>
        </w:rPr>
        <w:footnoteRef/>
      </w:r>
      <w:r>
        <w:t xml:space="preserve"> </w:t>
      </w:r>
      <w:r w:rsidRPr="007227B1">
        <w:t>Comment of Forest Glen MHP at 1</w:t>
      </w:r>
    </w:p>
  </w:footnote>
  <w:footnote w:id="136">
    <w:p w14:paraId="1C0CBC29" w14:textId="1054A4E2" w:rsidR="002238AE" w:rsidRDefault="002238AE" w:rsidP="00D2684E">
      <w:pPr>
        <w:pStyle w:val="FootnoteText"/>
        <w:numPr>
          <w:ilvl w:val="0"/>
          <w:numId w:val="0"/>
        </w:numPr>
        <w:ind w:left="360" w:hanging="360"/>
      </w:pPr>
      <w:r>
        <w:rPr>
          <w:rStyle w:val="FootnoteReference"/>
        </w:rPr>
        <w:footnoteRef/>
      </w:r>
      <w:r>
        <w:t xml:space="preserve"> Ibid.</w:t>
      </w:r>
    </w:p>
  </w:footnote>
  <w:footnote w:id="137">
    <w:p w14:paraId="247E6BE2" w14:textId="0850A0F6" w:rsidR="002238AE" w:rsidRDefault="002238AE" w:rsidP="00D2684E">
      <w:pPr>
        <w:pStyle w:val="FootnoteText"/>
        <w:numPr>
          <w:ilvl w:val="0"/>
          <w:numId w:val="0"/>
        </w:numPr>
        <w:ind w:left="360" w:hanging="360"/>
      </w:pPr>
      <w:r>
        <w:rPr>
          <w:rStyle w:val="FootnoteReference"/>
        </w:rPr>
        <w:footnoteRef/>
      </w:r>
      <w:r>
        <w:t xml:space="preserve"> </w:t>
      </w:r>
      <w:r w:rsidRPr="00B363BD">
        <w:t>Comment of Ridgewood MHP at 2</w:t>
      </w:r>
    </w:p>
  </w:footnote>
  <w:footnote w:id="138">
    <w:p w14:paraId="25C6AE44" w14:textId="306502EE" w:rsidR="002238AE" w:rsidRDefault="002238AE" w:rsidP="00D2684E">
      <w:pPr>
        <w:pStyle w:val="FootnoteText"/>
        <w:numPr>
          <w:ilvl w:val="0"/>
          <w:numId w:val="0"/>
        </w:numPr>
      </w:pPr>
      <w:r>
        <w:rPr>
          <w:rStyle w:val="FootnoteReference"/>
        </w:rPr>
        <w:footnoteRef/>
      </w:r>
      <w:r>
        <w:t xml:space="preserve"> The original OP 8 states that “</w:t>
      </w:r>
      <w:r w:rsidRPr="00C42B66">
        <w:rPr>
          <w:snapToGrid w:val="0"/>
        </w:rPr>
        <w:t xml:space="preserve">The Butte County </w:t>
      </w:r>
      <w:r w:rsidRPr="00672336">
        <w:rPr>
          <w:bCs/>
        </w:rPr>
        <w:t>Mobilehome Park</w:t>
      </w:r>
      <w:r w:rsidRPr="00C42B66">
        <w:rPr>
          <w:snapToGrid w:val="0"/>
        </w:rPr>
        <w:t xml:space="preserve"> Rebuild Program applicants </w:t>
      </w:r>
      <w:r>
        <w:rPr>
          <w:snapToGrid w:val="0"/>
        </w:rPr>
        <w:t>shall</w:t>
      </w:r>
      <w:r w:rsidRPr="00C42B66">
        <w:rPr>
          <w:snapToGrid w:val="0"/>
        </w:rPr>
        <w:t xml:space="preserve"> be required to provide an attestation that they either (1) do not have insurance covering electrical or natural gas infrastructure damage resulting from the Camp Fire or (2) will remit any amount resulting from an insurance claim on damage to existing infrastructure being replaced by the </w:t>
      </w:r>
      <w:r w:rsidRPr="000068A2">
        <w:rPr>
          <w:snapToGrid w:val="0"/>
        </w:rPr>
        <w:t xml:space="preserve">Butte County </w:t>
      </w:r>
      <w:r w:rsidRPr="000068A2">
        <w:rPr>
          <w:bCs/>
          <w:snapToGrid w:val="0"/>
        </w:rPr>
        <w:t>Mobilehome Park</w:t>
      </w:r>
      <w:r w:rsidRPr="000068A2">
        <w:rPr>
          <w:snapToGrid w:val="0"/>
        </w:rPr>
        <w:t xml:space="preserve"> Rebuild Program</w:t>
      </w:r>
      <w:r w:rsidRPr="00C42B66">
        <w:rPr>
          <w:snapToGrid w:val="0"/>
        </w:rPr>
        <w:t xml:space="preserve"> due to </w:t>
      </w:r>
      <w:r>
        <w:rPr>
          <w:snapToGrid w:val="0"/>
        </w:rPr>
        <w:t>the</w:t>
      </w:r>
      <w:r w:rsidRPr="00C42B66">
        <w:rPr>
          <w:snapToGrid w:val="0"/>
        </w:rPr>
        <w:t xml:space="preserve"> Camp Fire to the </w:t>
      </w:r>
      <w:r w:rsidRPr="000068A2">
        <w:rPr>
          <w:snapToGrid w:val="0"/>
        </w:rPr>
        <w:t xml:space="preserve">Butte County </w:t>
      </w:r>
      <w:r w:rsidRPr="000068A2">
        <w:rPr>
          <w:bCs/>
          <w:snapToGrid w:val="0"/>
        </w:rPr>
        <w:t>Mobilehome Park</w:t>
      </w:r>
      <w:r w:rsidRPr="000068A2">
        <w:rPr>
          <w:snapToGrid w:val="0"/>
        </w:rPr>
        <w:t xml:space="preserve"> Rebuild Program</w:t>
      </w:r>
      <w:r w:rsidRPr="00C42B66">
        <w:rPr>
          <w:snapToGrid w:val="0"/>
        </w:rPr>
        <w:t xml:space="preserve">.  An </w:t>
      </w:r>
      <w:r>
        <w:rPr>
          <w:bCs/>
          <w:snapToGrid w:val="0"/>
        </w:rPr>
        <w:t>m</w:t>
      </w:r>
      <w:r w:rsidRPr="000D238B">
        <w:rPr>
          <w:bCs/>
          <w:snapToGrid w:val="0"/>
        </w:rPr>
        <w:t xml:space="preserve">obilehome </w:t>
      </w:r>
      <w:r>
        <w:rPr>
          <w:bCs/>
          <w:snapToGrid w:val="0"/>
        </w:rPr>
        <w:t>p</w:t>
      </w:r>
      <w:r w:rsidRPr="000D238B">
        <w:rPr>
          <w:bCs/>
          <w:snapToGrid w:val="0"/>
        </w:rPr>
        <w:t xml:space="preserve">ark </w:t>
      </w:r>
      <w:r w:rsidRPr="00C42B66">
        <w:rPr>
          <w:snapToGrid w:val="0"/>
        </w:rPr>
        <w:t xml:space="preserve">owner shall be required to file insurance claims on utility infrastructure and reimburse the amount of payment resulting from those insurance claims </w:t>
      </w:r>
      <w:r w:rsidRPr="00357FCD">
        <w:rPr>
          <w:bCs/>
          <w:snapToGrid w:val="0"/>
        </w:rPr>
        <w:t xml:space="preserve">on utility infrastructure </w:t>
      </w:r>
      <w:r w:rsidRPr="00357FCD">
        <w:rPr>
          <w:snapToGrid w:val="0"/>
        </w:rPr>
        <w:t xml:space="preserve">to the Butte County </w:t>
      </w:r>
      <w:r w:rsidRPr="00C01F09">
        <w:rPr>
          <w:bCs/>
          <w:snapToGrid w:val="0"/>
        </w:rPr>
        <w:t>Mobilehome Park</w:t>
      </w:r>
      <w:r w:rsidRPr="002E59CC">
        <w:rPr>
          <w:snapToGrid w:val="0"/>
        </w:rPr>
        <w:t xml:space="preserve"> Rebuild Program</w:t>
      </w:r>
      <w:r w:rsidRPr="00C42B66">
        <w:rPr>
          <w:snapToGrid w:val="0"/>
        </w:rPr>
        <w:t>.</w:t>
      </w:r>
      <w:r>
        <w:rPr>
          <w:snapToGrid w:val="0"/>
        </w:rPr>
        <w:t>”</w:t>
      </w:r>
    </w:p>
  </w:footnote>
  <w:footnote w:id="139">
    <w:p w14:paraId="46C19784" w14:textId="4C6C08DD" w:rsidR="002238AE" w:rsidRDefault="002238AE" w:rsidP="00D2684E">
      <w:pPr>
        <w:pStyle w:val="FootnoteText"/>
        <w:numPr>
          <w:ilvl w:val="0"/>
          <w:numId w:val="0"/>
        </w:numPr>
        <w:ind w:left="360" w:hanging="360"/>
      </w:pPr>
      <w:r>
        <w:rPr>
          <w:rStyle w:val="FootnoteReference"/>
        </w:rPr>
        <w:footnoteRef/>
      </w:r>
      <w:r>
        <w:t xml:space="preserve"> </w:t>
      </w:r>
      <w:r w:rsidRPr="009C19CE">
        <w:t xml:space="preserve">Comment of Forest Glen MHP at </w:t>
      </w:r>
      <w:r>
        <w:t>2</w:t>
      </w:r>
    </w:p>
  </w:footnote>
  <w:footnote w:id="140">
    <w:p w14:paraId="2BAC5F31" w14:textId="0E389002" w:rsidR="002238AE" w:rsidRDefault="002238AE" w:rsidP="00D2684E">
      <w:pPr>
        <w:pStyle w:val="FootnoteText"/>
        <w:numPr>
          <w:ilvl w:val="0"/>
          <w:numId w:val="0"/>
        </w:numPr>
        <w:ind w:left="360" w:hanging="360"/>
      </w:pPr>
      <w:r>
        <w:rPr>
          <w:rStyle w:val="FootnoteReference"/>
        </w:rPr>
        <w:footnoteRef/>
      </w:r>
      <w:r>
        <w:t xml:space="preserve"> Comment of Ridgewood MHP at 2</w:t>
      </w:r>
    </w:p>
  </w:footnote>
  <w:footnote w:id="141">
    <w:p w14:paraId="5113E23F" w14:textId="1B4C5FB2" w:rsidR="002238AE" w:rsidRDefault="002238AE" w:rsidP="00D2684E">
      <w:pPr>
        <w:pStyle w:val="FootnoteText"/>
        <w:numPr>
          <w:ilvl w:val="0"/>
          <w:numId w:val="0"/>
        </w:numPr>
      </w:pPr>
      <w:r>
        <w:rPr>
          <w:rStyle w:val="FootnoteReference"/>
        </w:rPr>
        <w:footnoteRef/>
      </w:r>
      <w:r>
        <w:t xml:space="preserve"> </w:t>
      </w:r>
      <w:r w:rsidRPr="003D139F">
        <w:t>Comment of PG&amp;E at 3</w:t>
      </w:r>
    </w:p>
  </w:footnote>
  <w:footnote w:id="142">
    <w:p w14:paraId="173470CC" w14:textId="3A2EBAAD" w:rsidR="002238AE" w:rsidRDefault="002238AE" w:rsidP="00D2684E">
      <w:pPr>
        <w:pStyle w:val="FootnoteText"/>
        <w:numPr>
          <w:ilvl w:val="0"/>
          <w:numId w:val="0"/>
        </w:numPr>
      </w:pPr>
      <w:r>
        <w:rPr>
          <w:rStyle w:val="FootnoteReference"/>
        </w:rPr>
        <w:footnoteRef/>
      </w:r>
      <w:r>
        <w:t xml:space="preserve"> After a meeting between Energy Division and PG&amp;E on 5/11/21, PG&amp;E followed up with a data response indicated that a 4/0 service cable which </w:t>
      </w:r>
      <w:r w:rsidRPr="009D1F11">
        <w:t>rated to serve a minimum of 200 amps</w:t>
      </w:r>
      <w:r>
        <w:t xml:space="preserve"> can also serve a 100 amp electric pedestal.  Although the splice boxes for the service cables also might have to be upgraded to a large size, but the cost differential would be negligible compares to the overall savings of a later service cable replacement.</w:t>
      </w:r>
    </w:p>
  </w:footnote>
  <w:footnote w:id="143">
    <w:p w14:paraId="3A09E210" w14:textId="3A07083D" w:rsidR="002238AE" w:rsidRDefault="002238AE" w:rsidP="00D2684E">
      <w:pPr>
        <w:pStyle w:val="FootnoteText"/>
        <w:numPr>
          <w:ilvl w:val="0"/>
          <w:numId w:val="0"/>
        </w:numPr>
      </w:pPr>
      <w:r>
        <w:rPr>
          <w:rStyle w:val="FootnoteReference"/>
        </w:rPr>
        <w:footnoteRef/>
      </w:r>
      <w:r>
        <w:t xml:space="preserve"> PG&amp;E shall determine the necessary distribution system upgrades based on </w:t>
      </w:r>
      <w:r w:rsidRPr="003A7217">
        <w:t xml:space="preserve">voltage drop, flickering, climate zone, park layout, and </w:t>
      </w:r>
      <w:r w:rsidRPr="00B82952">
        <w:t>diversification in electricity demand</w:t>
      </w:r>
      <w:r w:rsidRPr="003A7217">
        <w:t>, etc.</w:t>
      </w:r>
      <w:r>
        <w:t xml:space="preserve">, of each MHP to determine </w:t>
      </w:r>
      <w:r w:rsidRPr="000317CF">
        <w:t xml:space="preserve">the </w:t>
      </w:r>
      <w:r w:rsidRPr="000317CF">
        <w:rPr>
          <w:bCs/>
        </w:rPr>
        <w:t>maximum</w:t>
      </w:r>
      <w:r w:rsidRPr="000317CF">
        <w:t xml:space="preserve"> number of 200 amp services that can be supported by the contemplated transformer and distribution infrastructure</w:t>
      </w:r>
      <w:r>
        <w:t xml:space="preserve">.  </w:t>
      </w:r>
      <w:r w:rsidRPr="00456D3D">
        <w:t>The information needed to determine if the infrastructure is adequate to support 200-amp services is outlined in PG&amp;E’s Electric Design Manual.</w:t>
      </w:r>
      <w:r w:rsidRPr="003D5B09">
        <w:t xml:space="preserve">  </w:t>
      </w:r>
      <w:r>
        <w:t xml:space="preserve">MHP owners may refer to PG&amp;E’s Unit Cost Guide updated in April 2021 to get a general idea of the overhead, labor, and material costs associated with upgrading their electric services.  </w:t>
      </w:r>
      <w:r w:rsidRPr="00C26322">
        <w:t xml:space="preserve">PG&amp;E’s Unit Cost Guide </w:t>
      </w:r>
      <w:r>
        <w:t xml:space="preserve">can be found at: </w:t>
      </w:r>
      <w:hyperlink r:id="rId11" w:history="1">
        <w:r w:rsidRPr="001076AE">
          <w:rPr>
            <w:rStyle w:val="Hyperlink"/>
          </w:rPr>
          <w:t>https://www.pge.com/pge_global/common/pdfs/for-our-business-partners/interconnection-renewables/Unit-Cost-Guide.pdf</w:t>
        </w:r>
      </w:hyperlink>
      <w:r>
        <w:t xml:space="preserve"> </w:t>
      </w:r>
    </w:p>
  </w:footnote>
  <w:footnote w:id="144">
    <w:p w14:paraId="6D1BB700" w14:textId="43E43FA3" w:rsidR="002238AE" w:rsidRDefault="002238AE" w:rsidP="00D2684E">
      <w:pPr>
        <w:pStyle w:val="FootnoteText"/>
        <w:numPr>
          <w:ilvl w:val="0"/>
          <w:numId w:val="0"/>
        </w:numPr>
        <w:ind w:left="360" w:hanging="360"/>
      </w:pPr>
      <w:r>
        <w:rPr>
          <w:rStyle w:val="FootnoteReference"/>
        </w:rPr>
        <w:footnoteRef/>
      </w:r>
      <w:r>
        <w:t xml:space="preserve"> </w:t>
      </w:r>
      <w:r w:rsidRPr="00400152">
        <w:t xml:space="preserve">Comment of PG&amp;E at </w:t>
      </w:r>
      <w:r>
        <w:t>2</w:t>
      </w:r>
    </w:p>
  </w:footnote>
  <w:footnote w:id="145">
    <w:p w14:paraId="510A5633" w14:textId="7021C193" w:rsidR="002238AE" w:rsidRDefault="002238AE" w:rsidP="00D2684E">
      <w:pPr>
        <w:pStyle w:val="FootnoteText"/>
        <w:numPr>
          <w:ilvl w:val="0"/>
          <w:numId w:val="0"/>
        </w:numPr>
        <w:ind w:left="360" w:hanging="360"/>
      </w:pPr>
      <w:r>
        <w:rPr>
          <w:rStyle w:val="FootnoteReference"/>
        </w:rPr>
        <w:footnoteRef/>
      </w:r>
      <w:r>
        <w:t xml:space="preserve"> </w:t>
      </w:r>
      <w:r w:rsidRPr="00400B95">
        <w:t>Data response to Energy Division on</w:t>
      </w:r>
      <w:r>
        <w:t xml:space="preserve"> 5/11/21</w:t>
      </w:r>
    </w:p>
  </w:footnote>
  <w:footnote w:id="146">
    <w:p w14:paraId="56B1D1BB" w14:textId="7A5B93CA" w:rsidR="002238AE" w:rsidRDefault="002238AE" w:rsidP="00D2684E">
      <w:pPr>
        <w:pStyle w:val="FootnoteText"/>
        <w:numPr>
          <w:ilvl w:val="0"/>
          <w:numId w:val="0"/>
        </w:numPr>
      </w:pPr>
      <w:r>
        <w:rPr>
          <w:rStyle w:val="FootnoteReference"/>
        </w:rPr>
        <w:footnoteRef/>
      </w:r>
      <w:r>
        <w:t xml:space="preserve"> The original OP 4 states that “</w:t>
      </w:r>
      <w:r w:rsidRPr="007F6E9C">
        <w:rPr>
          <w:snapToGrid w:val="0"/>
        </w:rPr>
        <w:t>Upon</w:t>
      </w:r>
      <w:r w:rsidRPr="00525E02">
        <w:rPr>
          <w:bCs/>
        </w:rPr>
        <w:t xml:space="preserve"> completion of the rebuild effort, PG&amp;E shall remove the existing utility</w:t>
      </w:r>
      <w:r>
        <w:rPr>
          <w:bCs/>
        </w:rPr>
        <w:t>-</w:t>
      </w:r>
      <w:r w:rsidRPr="00525E02">
        <w:rPr>
          <w:bCs/>
        </w:rPr>
        <w:t xml:space="preserve"> owned assets that are not in use. PG&amp;E shall not be</w:t>
      </w:r>
      <w:r>
        <w:rPr>
          <w:bCs/>
        </w:rPr>
        <w:t xml:space="preserve"> responsible for</w:t>
      </w:r>
      <w:r w:rsidRPr="00525E02">
        <w:rPr>
          <w:bCs/>
        </w:rPr>
        <w:t xml:space="preserve"> removing assets that are not PG&amp;E owned.</w:t>
      </w:r>
      <w:r>
        <w:rPr>
          <w:bCs/>
        </w:rPr>
        <w:t>”</w:t>
      </w:r>
    </w:p>
  </w:footnote>
  <w:footnote w:id="147">
    <w:p w14:paraId="4D05026C" w14:textId="67B55FF8" w:rsidR="002238AE" w:rsidRDefault="002238AE" w:rsidP="00D2684E">
      <w:pPr>
        <w:pStyle w:val="FootnoteText"/>
        <w:numPr>
          <w:ilvl w:val="0"/>
          <w:numId w:val="0"/>
        </w:numPr>
        <w:ind w:left="360" w:hanging="360"/>
      </w:pPr>
      <w:r>
        <w:rPr>
          <w:rStyle w:val="FootnoteReference"/>
        </w:rPr>
        <w:footnoteRef/>
      </w:r>
      <w:r>
        <w:t xml:space="preserve"> </w:t>
      </w:r>
      <w:r w:rsidRPr="00750534">
        <w:t xml:space="preserve">Comment of Forest Glen MHP at </w:t>
      </w:r>
      <w:r>
        <w:t>1</w:t>
      </w:r>
    </w:p>
  </w:footnote>
  <w:footnote w:id="148">
    <w:p w14:paraId="6AC5C9A2" w14:textId="17D35DCF" w:rsidR="002238AE" w:rsidRDefault="002238AE" w:rsidP="008F1409">
      <w:pPr>
        <w:pStyle w:val="FootnoteText"/>
        <w:numPr>
          <w:ilvl w:val="0"/>
          <w:numId w:val="0"/>
        </w:numPr>
        <w:ind w:left="360" w:hanging="360"/>
      </w:pPr>
      <w:r>
        <w:rPr>
          <w:rStyle w:val="FootnoteReference"/>
        </w:rPr>
        <w:footnoteRef/>
      </w:r>
      <w:r>
        <w:t xml:space="preserve"> Ibid.</w:t>
      </w:r>
    </w:p>
  </w:footnote>
  <w:footnote w:id="149">
    <w:p w14:paraId="096D2AD1" w14:textId="5FD127BF" w:rsidR="002238AE" w:rsidRDefault="002238AE" w:rsidP="00D2684E">
      <w:pPr>
        <w:pStyle w:val="FootnoteText"/>
        <w:numPr>
          <w:ilvl w:val="0"/>
          <w:numId w:val="0"/>
        </w:numPr>
      </w:pPr>
      <w:r>
        <w:rPr>
          <w:rStyle w:val="FootnoteReference"/>
        </w:rPr>
        <w:footnoteRef/>
      </w:r>
      <w:r>
        <w:t xml:space="preserve"> Ridgewood MHP refers to the Woodall one to five star rating system.  There is a detailed description of the Woodall star rating system at: </w:t>
      </w:r>
      <w:hyperlink r:id="rId12" w:history="1">
        <w:r w:rsidRPr="001076AE">
          <w:rPr>
            <w:rStyle w:val="Hyperlink"/>
          </w:rPr>
          <w:t>http://www.pbvillage.com/Mobile_Home_Park_Star_Ratings.pdf</w:t>
        </w:r>
      </w:hyperlink>
      <w:r>
        <w:t xml:space="preserve">.  </w:t>
      </w:r>
    </w:p>
  </w:footnote>
  <w:footnote w:id="150">
    <w:p w14:paraId="24D48F5D" w14:textId="2394F0E4" w:rsidR="002238AE" w:rsidRDefault="002238AE" w:rsidP="00D2684E">
      <w:pPr>
        <w:pStyle w:val="FootnoteText"/>
        <w:numPr>
          <w:ilvl w:val="0"/>
          <w:numId w:val="0"/>
        </w:numPr>
        <w:ind w:left="360" w:hanging="360"/>
      </w:pPr>
      <w:r>
        <w:rPr>
          <w:rStyle w:val="FootnoteReference"/>
        </w:rPr>
        <w:footnoteRef/>
      </w:r>
      <w:r>
        <w:t xml:space="preserve"> </w:t>
      </w:r>
      <w:r w:rsidRPr="002B4A96">
        <w:t xml:space="preserve">Comment of Ridgewood MHP at </w:t>
      </w:r>
      <w:r>
        <w:t>2</w:t>
      </w:r>
    </w:p>
  </w:footnote>
  <w:footnote w:id="151">
    <w:p w14:paraId="6143BBD1" w14:textId="4E34A968" w:rsidR="002238AE" w:rsidRDefault="002238AE" w:rsidP="00D2684E">
      <w:pPr>
        <w:pStyle w:val="FootnoteText"/>
        <w:numPr>
          <w:ilvl w:val="0"/>
          <w:numId w:val="0"/>
        </w:numPr>
        <w:ind w:left="360" w:hanging="360"/>
      </w:pPr>
      <w:r>
        <w:rPr>
          <w:rStyle w:val="FootnoteReference"/>
        </w:rPr>
        <w:footnoteRef/>
      </w:r>
      <w:r>
        <w:t xml:space="preserve"> </w:t>
      </w:r>
      <w:r w:rsidRPr="002B4A96">
        <w:t xml:space="preserve">Comment of Ridgewood MHP at </w:t>
      </w:r>
      <w:r>
        <w:t>1</w:t>
      </w:r>
    </w:p>
  </w:footnote>
  <w:footnote w:id="152">
    <w:p w14:paraId="3FB4CF70" w14:textId="098522D7" w:rsidR="002238AE" w:rsidRDefault="002238AE" w:rsidP="00D2684E">
      <w:pPr>
        <w:pStyle w:val="FootnoteText"/>
        <w:numPr>
          <w:ilvl w:val="0"/>
          <w:numId w:val="0"/>
        </w:numPr>
        <w:ind w:left="360" w:hanging="360"/>
      </w:pPr>
      <w:r>
        <w:rPr>
          <w:rStyle w:val="FootnoteReference"/>
        </w:rPr>
        <w:footnoteRef/>
      </w:r>
      <w:r>
        <w:t xml:space="preserve"> Ibid.</w:t>
      </w:r>
    </w:p>
  </w:footnote>
  <w:footnote w:id="153">
    <w:p w14:paraId="4558C01E" w14:textId="28534263" w:rsidR="002238AE" w:rsidRDefault="002238AE" w:rsidP="00D2684E">
      <w:pPr>
        <w:pStyle w:val="FootnoteText"/>
        <w:numPr>
          <w:ilvl w:val="0"/>
          <w:numId w:val="0"/>
        </w:numPr>
        <w:ind w:left="360" w:hanging="360"/>
      </w:pPr>
      <w:r>
        <w:rPr>
          <w:rStyle w:val="FootnoteReference"/>
        </w:rPr>
        <w:footnoteRef/>
      </w:r>
      <w:r>
        <w:t xml:space="preserve"> </w:t>
      </w:r>
      <w:r w:rsidRPr="00F83707">
        <w:t>Comment of PG&amp;E at 2</w:t>
      </w:r>
    </w:p>
  </w:footnote>
  <w:footnote w:id="154">
    <w:p w14:paraId="52EADCA2" w14:textId="2E1A5E15" w:rsidR="002238AE" w:rsidRDefault="002238AE" w:rsidP="00D2684E">
      <w:pPr>
        <w:pStyle w:val="FootnoteText"/>
        <w:numPr>
          <w:ilvl w:val="0"/>
          <w:numId w:val="0"/>
        </w:numPr>
        <w:ind w:left="360" w:hanging="360"/>
      </w:pPr>
      <w:r>
        <w:rPr>
          <w:rStyle w:val="FootnoteReference"/>
        </w:rPr>
        <w:footnoteRef/>
      </w:r>
      <w:r>
        <w:t xml:space="preserve"> Ibid.</w:t>
      </w:r>
    </w:p>
  </w:footnote>
  <w:footnote w:id="155">
    <w:p w14:paraId="2FE510A6" w14:textId="1BA7B969" w:rsidR="002238AE" w:rsidRDefault="002238AE" w:rsidP="00D2684E">
      <w:pPr>
        <w:pStyle w:val="FootnoteText"/>
        <w:numPr>
          <w:ilvl w:val="0"/>
          <w:numId w:val="0"/>
        </w:numPr>
      </w:pPr>
      <w:r>
        <w:rPr>
          <w:rStyle w:val="FootnoteReference"/>
        </w:rPr>
        <w:footnoteRef/>
      </w:r>
      <w:r>
        <w:t xml:space="preserve"> </w:t>
      </w:r>
      <w:r w:rsidRPr="00207AF3">
        <w:t>Data response to Energy Division on 5/11/21</w:t>
      </w:r>
      <w:r>
        <w:t xml:space="preserve">.  </w:t>
      </w:r>
      <w:r w:rsidRPr="00641A50">
        <w:t>(UO) S5354, Exhibit B</w:t>
      </w:r>
      <w:r>
        <w:t xml:space="preserve"> was dated 9/27/2006.</w:t>
      </w:r>
    </w:p>
  </w:footnote>
  <w:footnote w:id="156">
    <w:p w14:paraId="7A59D476" w14:textId="4C76204B" w:rsidR="002238AE" w:rsidRDefault="002238AE" w:rsidP="00D2684E">
      <w:pPr>
        <w:pStyle w:val="FootnoteText"/>
        <w:numPr>
          <w:ilvl w:val="0"/>
          <w:numId w:val="0"/>
        </w:numPr>
      </w:pPr>
      <w:r>
        <w:rPr>
          <w:rStyle w:val="FootnoteReference"/>
        </w:rPr>
        <w:footnoteRef/>
      </w:r>
      <w:r>
        <w:t xml:space="preserve"> UG-1 General Green Book 038193 Standard: Minimum Requirements for Design and Installation of Electric Conduit, Insulated Cable, and Facilities, dated 12/17/2020.</w:t>
      </w:r>
    </w:p>
  </w:footnote>
  <w:footnote w:id="157">
    <w:p w14:paraId="52891E5D" w14:textId="614AF3AB" w:rsidR="002238AE" w:rsidRDefault="002238AE" w:rsidP="00D2684E">
      <w:pPr>
        <w:pStyle w:val="FootnoteText"/>
        <w:numPr>
          <w:ilvl w:val="0"/>
          <w:numId w:val="0"/>
        </w:numPr>
        <w:ind w:left="360" w:hanging="360"/>
      </w:pPr>
      <w:r>
        <w:rPr>
          <w:rStyle w:val="FootnoteReference"/>
        </w:rPr>
        <w:footnoteRef/>
      </w:r>
      <w:r>
        <w:t xml:space="preserve"> </w:t>
      </w:r>
      <w:r w:rsidRPr="00CB6DFE">
        <w:t xml:space="preserve">Data response to Energy Division on 5/11/21.  </w:t>
      </w:r>
    </w:p>
  </w:footnote>
  <w:footnote w:id="158">
    <w:p w14:paraId="76703C7B" w14:textId="65C70D7D" w:rsidR="002238AE" w:rsidRDefault="002238AE" w:rsidP="00D2684E">
      <w:pPr>
        <w:pStyle w:val="FootnoteText"/>
        <w:numPr>
          <w:ilvl w:val="0"/>
          <w:numId w:val="0"/>
        </w:numPr>
        <w:ind w:left="360" w:hanging="360"/>
      </w:pPr>
      <w:r>
        <w:rPr>
          <w:rStyle w:val="FootnoteReference"/>
        </w:rPr>
        <w:footnoteRef/>
      </w:r>
      <w:r>
        <w:t xml:space="preserve"> Ibid.</w:t>
      </w:r>
    </w:p>
  </w:footnote>
  <w:footnote w:id="159">
    <w:p w14:paraId="5646AC53" w14:textId="4854037B" w:rsidR="002238AE" w:rsidRDefault="002238AE" w:rsidP="00D2684E">
      <w:pPr>
        <w:pStyle w:val="FootnoteText"/>
        <w:numPr>
          <w:ilvl w:val="0"/>
          <w:numId w:val="0"/>
        </w:numPr>
      </w:pPr>
      <w:r>
        <w:rPr>
          <w:rStyle w:val="FootnoteReference"/>
        </w:rPr>
        <w:footnoteRef/>
      </w:r>
      <w:r>
        <w:t xml:space="preserve"> OP 2 is changed to: “</w:t>
      </w:r>
      <w:r w:rsidRPr="00B24D14">
        <w:t>PG</w:t>
      </w:r>
      <w:r w:rsidRPr="00B24D14">
        <w:rPr>
          <w:bCs/>
        </w:rPr>
        <w:t xml:space="preserve">&amp;E shall have discretion to place electric and gas utilities routes according to the needs of this program and are not required to place them in the streets. </w:t>
      </w:r>
      <w:r w:rsidRPr="00B24D14" w:rsidDel="00375841">
        <w:rPr>
          <w:bCs/>
        </w:rPr>
        <w:t xml:space="preserve"> </w:t>
      </w:r>
      <w:r w:rsidRPr="00B24D14">
        <w:rPr>
          <w:bCs/>
        </w:rPr>
        <w:t xml:space="preserve">PG&amp;E shall take into consideration the most economic, convenient, and efficient service route in which utilities could </w:t>
      </w:r>
      <w:r w:rsidRPr="00926F49">
        <w:t xml:space="preserve">be </w:t>
      </w:r>
      <w:r w:rsidRPr="00D2684E">
        <w:rPr>
          <w:bCs/>
          <w:strike/>
        </w:rPr>
        <w:t>closer to the mobilehomes</w:t>
      </w:r>
      <w:r w:rsidRPr="00307EA0">
        <w:rPr>
          <w:bCs/>
          <w:i/>
          <w:iCs/>
        </w:rPr>
        <w:t xml:space="preserve"> </w:t>
      </w:r>
      <w:r w:rsidRPr="00D2684E">
        <w:rPr>
          <w:bCs/>
          <w:i/>
          <w:iCs/>
        </w:rPr>
        <w:t>better positioned with respect to the mobile homes, considering the park’s other constraints,</w:t>
      </w:r>
      <w:r w:rsidRPr="00B24D14">
        <w:rPr>
          <w:bCs/>
        </w:rPr>
        <w:t xml:space="preserve"> and away from the street.</w:t>
      </w:r>
    </w:p>
  </w:footnote>
  <w:footnote w:id="160">
    <w:p w14:paraId="461210E8" w14:textId="2C27A20E" w:rsidR="002238AE" w:rsidRDefault="002238AE" w:rsidP="00D2684E">
      <w:pPr>
        <w:pStyle w:val="FootnoteText"/>
        <w:numPr>
          <w:ilvl w:val="0"/>
          <w:numId w:val="0"/>
        </w:numPr>
        <w:ind w:left="360" w:hanging="360"/>
      </w:pPr>
      <w:r>
        <w:rPr>
          <w:rStyle w:val="FootnoteReference"/>
        </w:rPr>
        <w:footnoteRef/>
      </w:r>
      <w:r>
        <w:t xml:space="preserve"> Comment of PG&amp;E at 1</w:t>
      </w:r>
    </w:p>
  </w:footnote>
  <w:footnote w:id="161">
    <w:p w14:paraId="202B601E" w14:textId="3636C0BF" w:rsidR="002238AE" w:rsidRDefault="002238AE" w:rsidP="00D2684E">
      <w:pPr>
        <w:pStyle w:val="FootnoteText"/>
        <w:numPr>
          <w:ilvl w:val="0"/>
          <w:numId w:val="0"/>
        </w:numPr>
        <w:ind w:left="360" w:hanging="360"/>
      </w:pPr>
      <w:r>
        <w:rPr>
          <w:rStyle w:val="FootnoteReference"/>
        </w:rPr>
        <w:footnoteRef/>
      </w:r>
      <w:r>
        <w:t xml:space="preserve"> Ibid.</w:t>
      </w:r>
    </w:p>
  </w:footnote>
  <w:footnote w:id="162">
    <w:p w14:paraId="5BA2C97B" w14:textId="5434CC88" w:rsidR="002238AE" w:rsidRDefault="002238AE" w:rsidP="00D2684E">
      <w:pPr>
        <w:pStyle w:val="FootnoteText"/>
        <w:numPr>
          <w:ilvl w:val="0"/>
          <w:numId w:val="0"/>
        </w:numPr>
        <w:ind w:left="360" w:hanging="360"/>
      </w:pPr>
      <w:r>
        <w:rPr>
          <w:rStyle w:val="FootnoteReference"/>
        </w:rPr>
        <w:footnoteRef/>
      </w:r>
      <w:r>
        <w:t xml:space="preserve"> </w:t>
      </w:r>
      <w:r w:rsidRPr="00F236B8">
        <w:t xml:space="preserve">Comment of Forest Glen MHP at </w:t>
      </w:r>
      <w:r>
        <w:t xml:space="preserve">2 </w:t>
      </w:r>
      <w:r w:rsidRPr="00D21101">
        <w:t>(Emphasis added by protestant)</w:t>
      </w:r>
      <w:r>
        <w:t xml:space="preserve">. </w:t>
      </w:r>
    </w:p>
  </w:footnote>
  <w:footnote w:id="163">
    <w:p w14:paraId="0C357CA2" w14:textId="58431E24" w:rsidR="002238AE" w:rsidRDefault="002238AE" w:rsidP="00D2684E">
      <w:pPr>
        <w:pStyle w:val="FootnoteText"/>
        <w:numPr>
          <w:ilvl w:val="0"/>
          <w:numId w:val="0"/>
        </w:numPr>
        <w:ind w:left="360" w:hanging="360"/>
      </w:pPr>
      <w:r>
        <w:rPr>
          <w:rStyle w:val="FootnoteReference"/>
        </w:rPr>
        <w:footnoteRef/>
      </w:r>
      <w:r>
        <w:t xml:space="preserve"> </w:t>
      </w:r>
      <w:r w:rsidRPr="006705A9">
        <w:t xml:space="preserve">Comment of Ridgewood MHP at </w:t>
      </w:r>
      <w:r>
        <w:t xml:space="preserve">4 </w:t>
      </w:r>
      <w:r w:rsidRPr="00D21101">
        <w:t>(Emphasis added by protestant)</w:t>
      </w:r>
      <w:r>
        <w:t>.</w:t>
      </w:r>
    </w:p>
  </w:footnote>
  <w:footnote w:id="164">
    <w:p w14:paraId="5A2B496F" w14:textId="77777777" w:rsidR="002238AE" w:rsidRDefault="002238AE" w:rsidP="00CF54A6">
      <w:pPr>
        <w:pStyle w:val="FootnoteText"/>
        <w:numPr>
          <w:ilvl w:val="0"/>
          <w:numId w:val="0"/>
        </w:numPr>
      </w:pPr>
      <w:r>
        <w:rPr>
          <w:rStyle w:val="FootnoteReference"/>
        </w:rPr>
        <w:footnoteRef/>
      </w:r>
      <w:r>
        <w:t xml:space="preserve"> PG&amp;E notes that t</w:t>
      </w:r>
      <w:r w:rsidRPr="00CB3A5B">
        <w:t xml:space="preserve">he only difference in the entire </w:t>
      </w:r>
      <w:r>
        <w:t>indemnification clause</w:t>
      </w:r>
      <w:r w:rsidRPr="00CB3A5B">
        <w:t xml:space="preserve"> is the substitution of “program” for “conversion.”  </w:t>
      </w:r>
    </w:p>
  </w:footnote>
  <w:footnote w:id="165">
    <w:p w14:paraId="25AAE992" w14:textId="196C2359" w:rsidR="002238AE" w:rsidRDefault="002238AE" w:rsidP="00D2684E">
      <w:pPr>
        <w:pStyle w:val="FootnoteText"/>
        <w:numPr>
          <w:ilvl w:val="0"/>
          <w:numId w:val="0"/>
        </w:numPr>
        <w:ind w:left="360" w:hanging="360"/>
      </w:pPr>
      <w:r>
        <w:rPr>
          <w:rStyle w:val="FootnoteReference"/>
        </w:rPr>
        <w:footnoteRef/>
      </w:r>
      <w:r>
        <w:t xml:space="preserve"> </w:t>
      </w:r>
      <w:r w:rsidRPr="00850853">
        <w:t>Comment of Forest Glen MHP at 2</w:t>
      </w:r>
      <w:r>
        <w:t xml:space="preserve"> </w:t>
      </w:r>
    </w:p>
  </w:footnote>
  <w:footnote w:id="166">
    <w:p w14:paraId="607B6E73" w14:textId="17CE0135" w:rsidR="002238AE" w:rsidRDefault="002238AE" w:rsidP="00D2684E">
      <w:pPr>
        <w:pStyle w:val="FootnoteText"/>
        <w:numPr>
          <w:ilvl w:val="0"/>
          <w:numId w:val="0"/>
        </w:numPr>
        <w:ind w:left="360" w:hanging="360"/>
      </w:pPr>
      <w:r>
        <w:rPr>
          <w:rStyle w:val="FootnoteReference"/>
        </w:rPr>
        <w:footnoteRef/>
      </w:r>
      <w:r>
        <w:t xml:space="preserve"> </w:t>
      </w:r>
      <w:r w:rsidRPr="009A0BB2">
        <w:t xml:space="preserve">Comment of Ridgewood MHP at </w:t>
      </w:r>
      <w:r>
        <w:t>3</w:t>
      </w:r>
    </w:p>
  </w:footnote>
  <w:footnote w:id="167">
    <w:p w14:paraId="0374BA09" w14:textId="4CC2E92A" w:rsidR="002238AE" w:rsidRDefault="002238AE" w:rsidP="00D2684E">
      <w:pPr>
        <w:pStyle w:val="FootnoteText"/>
        <w:numPr>
          <w:ilvl w:val="0"/>
          <w:numId w:val="0"/>
        </w:numPr>
        <w:ind w:left="360" w:hanging="360"/>
      </w:pPr>
      <w:r>
        <w:rPr>
          <w:rStyle w:val="FootnoteReference"/>
        </w:rPr>
        <w:footnoteRef/>
      </w:r>
      <w:r>
        <w:t xml:space="preserve"> Ibid.</w:t>
      </w:r>
    </w:p>
  </w:footnote>
  <w:footnote w:id="168">
    <w:p w14:paraId="309FC9EC" w14:textId="44388511" w:rsidR="002238AE" w:rsidRDefault="002238AE" w:rsidP="00D2684E">
      <w:pPr>
        <w:pStyle w:val="FootnoteText"/>
        <w:numPr>
          <w:ilvl w:val="0"/>
          <w:numId w:val="0"/>
        </w:numPr>
        <w:ind w:left="360" w:hanging="360"/>
      </w:pPr>
      <w:r>
        <w:rPr>
          <w:rStyle w:val="FootnoteReference"/>
        </w:rPr>
        <w:footnoteRef/>
      </w:r>
      <w:r>
        <w:t xml:space="preserve"> </w:t>
      </w:r>
      <w:r w:rsidRPr="004F4072">
        <w:t>Data response to Energy Division on 5/11/21.</w:t>
      </w:r>
      <w:r>
        <w:t xml:space="preserve">  </w:t>
      </w:r>
    </w:p>
  </w:footnote>
  <w:footnote w:id="169">
    <w:p w14:paraId="415FC82B" w14:textId="46616E42" w:rsidR="002238AE" w:rsidRPr="00C80046" w:rsidRDefault="002238AE" w:rsidP="007D601A">
      <w:pPr>
        <w:rPr>
          <w:bCs/>
          <w:sz w:val="24"/>
          <w:szCs w:val="24"/>
        </w:rPr>
      </w:pPr>
      <w:r>
        <w:rPr>
          <w:rStyle w:val="FootnoteReference"/>
        </w:rPr>
        <w:footnoteRef/>
      </w:r>
      <w:r>
        <w:t xml:space="preserve"> </w:t>
      </w:r>
      <w:r w:rsidRPr="00C80046">
        <w:rPr>
          <w:bCs/>
          <w:sz w:val="24"/>
          <w:szCs w:val="24"/>
        </w:rPr>
        <w:t>Apple Tree Village, Canyon View Estates, Holly Hills Mobile Estates, Hudsons MHP, Paradise TP, Rocky Lane MP, The Plantation, and The Woodlands MHP have not submitted an application.</w:t>
      </w:r>
    </w:p>
  </w:footnote>
  <w:footnote w:id="170">
    <w:p w14:paraId="3A5B830E" w14:textId="27938AB1" w:rsidR="002238AE" w:rsidRDefault="002238AE" w:rsidP="00D863D9">
      <w:pPr>
        <w:pStyle w:val="FootnoteText"/>
        <w:numPr>
          <w:ilvl w:val="0"/>
          <w:numId w:val="0"/>
        </w:numPr>
        <w:rPr>
          <w:rFonts w:ascii="Calibri" w:hAnsi="Calibri"/>
          <w:sz w:val="20"/>
        </w:rPr>
      </w:pPr>
      <w:r>
        <w:rPr>
          <w:rStyle w:val="FootnoteReference"/>
        </w:rPr>
        <w:footnoteRef/>
      </w:r>
      <w:r>
        <w:t xml:space="preserve"> PG&amp;E indicates in AL 4116-G/5581-E that the Butte County Mobilehome Park Rebuild Program is anticipated to last 3 years.  However, PG&amp;E should report annual cost incurred until completion of this program. </w:t>
      </w:r>
    </w:p>
  </w:footnote>
  <w:footnote w:id="171">
    <w:p w14:paraId="0852682D" w14:textId="18A72A90" w:rsidR="002238AE" w:rsidRDefault="002238AE" w:rsidP="00DF4542">
      <w:pPr>
        <w:pStyle w:val="FootnoteText"/>
        <w:numPr>
          <w:ilvl w:val="0"/>
          <w:numId w:val="0"/>
        </w:numPr>
      </w:pPr>
      <w:r>
        <w:rPr>
          <w:rStyle w:val="FootnoteReference"/>
        </w:rPr>
        <w:footnoteRef/>
      </w:r>
      <w:r>
        <w:t xml:space="preserve"> </w:t>
      </w:r>
      <w:r w:rsidRPr="00285C42">
        <w:t>California Alternate Rates for Energy (CARE)</w:t>
      </w:r>
    </w:p>
  </w:footnote>
  <w:footnote w:id="172">
    <w:p w14:paraId="0F72B65F" w14:textId="065EA2E7" w:rsidR="002238AE" w:rsidRDefault="002238AE" w:rsidP="00DF4542">
      <w:pPr>
        <w:pStyle w:val="FootnoteText"/>
        <w:numPr>
          <w:ilvl w:val="0"/>
          <w:numId w:val="0"/>
        </w:numPr>
        <w:ind w:left="360" w:hanging="360"/>
      </w:pPr>
      <w:r>
        <w:rPr>
          <w:rStyle w:val="FootnoteReference"/>
        </w:rPr>
        <w:footnoteRef/>
      </w:r>
      <w:r>
        <w:t xml:space="preserve"> </w:t>
      </w:r>
      <w:r w:rsidRPr="00285C42">
        <w:t>Family Electric Rate Assistance (FERA)</w:t>
      </w:r>
    </w:p>
  </w:footnote>
  <w:footnote w:id="173">
    <w:p w14:paraId="467CD65F" w14:textId="2C930B6B" w:rsidR="002238AE" w:rsidRDefault="002238AE" w:rsidP="003A681C">
      <w:pPr>
        <w:pStyle w:val="FootnoteText"/>
        <w:numPr>
          <w:ilvl w:val="0"/>
          <w:numId w:val="0"/>
        </w:numPr>
        <w:ind w:left="360" w:hanging="360"/>
      </w:pPr>
      <w:r>
        <w:rPr>
          <w:rStyle w:val="FootnoteReference"/>
        </w:rPr>
        <w:footnoteRef/>
      </w:r>
      <w:r>
        <w:t xml:space="preserve"> The Census Bureau identifies two types of urban areas: </w:t>
      </w:r>
      <w:r>
        <w:br/>
        <w:t>• Urbanized Areas (UAs) of 50,000 or more people;</w:t>
      </w:r>
      <w:r>
        <w:br/>
        <w:t>• Urban Clusters (UCs) of at least 2,500 and less than 50,000 people.</w:t>
      </w:r>
      <w:r>
        <w:br/>
        <w:t xml:space="preserve">• “Rural” encompasses all population, housing, and territory not included within an urban area.  The Census Bureau website is: </w:t>
      </w:r>
      <w:hyperlink r:id="rId13" w:history="1">
        <w:r>
          <w:rPr>
            <w:rStyle w:val="Hyperlink"/>
          </w:rPr>
          <w:t>https://www.census.gov/geo/reference/urban-rural.html</w:t>
        </w:r>
      </w:hyperlink>
      <w:r>
        <w:t>.</w:t>
      </w:r>
    </w:p>
  </w:footnote>
  <w:footnote w:id="174">
    <w:p w14:paraId="4075CB7C" w14:textId="45E02CFC" w:rsidR="002238AE" w:rsidRDefault="002238AE" w:rsidP="009A7587">
      <w:pPr>
        <w:pStyle w:val="FootnoteText"/>
        <w:numPr>
          <w:ilvl w:val="0"/>
          <w:numId w:val="0"/>
        </w:numPr>
        <w:ind w:left="360" w:hanging="360"/>
      </w:pPr>
      <w:r>
        <w:rPr>
          <w:rStyle w:val="FootnoteReference"/>
        </w:rPr>
        <w:footnoteRef/>
      </w:r>
      <w:r>
        <w:t xml:space="preserve"> </w:t>
      </w:r>
      <w:r w:rsidRPr="0049161F">
        <w:t>ibid</w:t>
      </w:r>
      <w:r>
        <w:t>.</w:t>
      </w:r>
    </w:p>
  </w:footnote>
  <w:footnote w:id="175">
    <w:p w14:paraId="7C45728C" w14:textId="7B450F1A" w:rsidR="002238AE" w:rsidRDefault="002238AE" w:rsidP="00DF4542">
      <w:pPr>
        <w:pStyle w:val="FootnoteText"/>
        <w:numPr>
          <w:ilvl w:val="0"/>
          <w:numId w:val="0"/>
        </w:numPr>
        <w:ind w:left="360" w:hanging="360"/>
      </w:pPr>
      <w:r>
        <w:rPr>
          <w:rStyle w:val="FootnoteReference"/>
        </w:rPr>
        <w:footnoteRef/>
      </w:r>
      <w:r>
        <w:t xml:space="preserve"> To-the-Meter Mobile Home (TTM MH)</w:t>
      </w:r>
    </w:p>
  </w:footnote>
  <w:footnote w:id="176">
    <w:p w14:paraId="3E38E13D" w14:textId="77777777" w:rsidR="002238AE" w:rsidRDefault="002238AE" w:rsidP="00D863D9">
      <w:pPr>
        <w:pStyle w:val="FootnoteText"/>
        <w:numPr>
          <w:ilvl w:val="0"/>
          <w:numId w:val="0"/>
        </w:numPr>
      </w:pPr>
      <w:r>
        <w:rPr>
          <w:rStyle w:val="FootnoteReference"/>
        </w:rPr>
        <w:footnoteRef/>
      </w:r>
      <w:r>
        <w:t xml:space="preserve"> Provide as many labor cost lines with descriptions as needed to clarify types of labor included in project.</w:t>
      </w:r>
    </w:p>
  </w:footnote>
  <w:footnote w:id="177">
    <w:p w14:paraId="58DD32C8" w14:textId="04FA813A" w:rsidR="002238AE" w:rsidRDefault="002238AE" w:rsidP="00DF4542">
      <w:pPr>
        <w:pStyle w:val="FootnoteText"/>
        <w:numPr>
          <w:ilvl w:val="0"/>
          <w:numId w:val="0"/>
        </w:numPr>
        <w:ind w:left="360" w:hanging="360"/>
      </w:pPr>
      <w:r>
        <w:rPr>
          <w:rStyle w:val="FootnoteReference"/>
        </w:rPr>
        <w:footnoteRef/>
      </w:r>
      <w:r>
        <w:t xml:space="preserve"> </w:t>
      </w:r>
      <w:r w:rsidRPr="00285C42">
        <w:t>Allowance for Funds Used During Construction</w:t>
      </w:r>
      <w:r>
        <w:t xml:space="preserve"> </w:t>
      </w:r>
      <w:r w:rsidRPr="002746AA">
        <w:t>(AFUDC)</w:t>
      </w:r>
    </w:p>
  </w:footnote>
  <w:footnote w:id="178">
    <w:p w14:paraId="68FB467B" w14:textId="2F7E2017" w:rsidR="002238AE" w:rsidRDefault="002238AE" w:rsidP="00DF4542">
      <w:pPr>
        <w:pStyle w:val="FootnoteText"/>
        <w:numPr>
          <w:ilvl w:val="0"/>
          <w:numId w:val="0"/>
        </w:numPr>
        <w:ind w:left="360" w:hanging="360"/>
      </w:pPr>
      <w:r>
        <w:rPr>
          <w:rStyle w:val="FootnoteReference"/>
        </w:rPr>
        <w:footnoteRef/>
      </w:r>
      <w:r>
        <w:t xml:space="preserve"> </w:t>
      </w:r>
      <w:r w:rsidRPr="002746AA">
        <w:t>California Department of Housing and Community Development</w:t>
      </w:r>
      <w:r>
        <w:t xml:space="preserve"> (HCD)</w:t>
      </w:r>
    </w:p>
  </w:footnote>
  <w:footnote w:id="179">
    <w:p w14:paraId="723B5FAD" w14:textId="34F3B569" w:rsidR="002238AE" w:rsidRDefault="002238AE" w:rsidP="0049161F">
      <w:pPr>
        <w:pStyle w:val="FootnoteText"/>
        <w:numPr>
          <w:ilvl w:val="0"/>
          <w:numId w:val="0"/>
        </w:numPr>
        <w:ind w:left="360" w:hanging="360"/>
      </w:pPr>
      <w:r>
        <w:rPr>
          <w:rStyle w:val="FootnoteReference"/>
        </w:rPr>
        <w:footnoteRef/>
      </w:r>
      <w:r>
        <w:t xml:space="preserve"> Ibid 93.</w:t>
      </w:r>
    </w:p>
  </w:footnote>
  <w:footnote w:id="180">
    <w:p w14:paraId="14A1FDED" w14:textId="2C1F93DF" w:rsidR="002238AE" w:rsidRDefault="002238AE" w:rsidP="0049161F">
      <w:pPr>
        <w:pStyle w:val="FootnoteText"/>
        <w:numPr>
          <w:ilvl w:val="0"/>
          <w:numId w:val="0"/>
        </w:numPr>
        <w:ind w:left="360" w:hanging="360"/>
      </w:pPr>
      <w:r>
        <w:rPr>
          <w:rStyle w:val="FootnoteReference"/>
        </w:rPr>
        <w:footnoteRef/>
      </w:r>
      <w:r>
        <w:t xml:space="preserve"> </w:t>
      </w:r>
      <w:bookmarkStart w:id="54" w:name="_Hlk54619472"/>
      <w:r>
        <w:t>Ibid 93</w:t>
      </w:r>
      <w:bookmarkEnd w:id="54"/>
      <w:r>
        <w:t>.</w:t>
      </w:r>
    </w:p>
  </w:footnote>
  <w:footnote w:id="181">
    <w:p w14:paraId="7091AB48" w14:textId="52A00CA7" w:rsidR="002238AE" w:rsidRDefault="002238AE" w:rsidP="00DA4621">
      <w:pPr>
        <w:pStyle w:val="FootnoteText"/>
        <w:numPr>
          <w:ilvl w:val="0"/>
          <w:numId w:val="0"/>
        </w:numPr>
        <w:ind w:left="360" w:hanging="360"/>
      </w:pPr>
      <w:r>
        <w:rPr>
          <w:rStyle w:val="FootnoteReference"/>
        </w:rPr>
        <w:footnoteRef/>
      </w:r>
      <w:r>
        <w:t xml:space="preserve"> </w:t>
      </w:r>
      <w:r w:rsidRPr="00D345BE">
        <w:t>Ibid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081A" w14:textId="77777777" w:rsidR="0018682F" w:rsidRDefault="0018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6F7188CF" w:rsidR="002238AE" w:rsidRDefault="002238AE" w:rsidP="00CE7887">
    <w:pPr>
      <w:pStyle w:val="Header"/>
      <w:tabs>
        <w:tab w:val="clear" w:pos="4320"/>
        <w:tab w:val="clear" w:pos="8640"/>
        <w:tab w:val="center" w:pos="4680"/>
        <w:tab w:val="left" w:pos="7785"/>
        <w:tab w:val="right" w:pos="12960"/>
      </w:tabs>
      <w:ind w:right="90"/>
    </w:pPr>
    <w:r>
      <w:t xml:space="preserve">Resolution </w:t>
    </w:r>
    <w:r w:rsidRPr="00196DCD">
      <w:rPr>
        <w:bCs/>
      </w:rPr>
      <w:t>E-</w:t>
    </w:r>
    <w:r>
      <w:rPr>
        <w:bCs/>
      </w:rPr>
      <w:t>5070</w:t>
    </w:r>
    <w:r>
      <w:tab/>
      <w:t xml:space="preserve">                                                                                       May 20, 2021</w:t>
    </w:r>
  </w:p>
  <w:p w14:paraId="279E5C15" w14:textId="0A854A70" w:rsidR="002238AE" w:rsidRDefault="002238AE">
    <w:pPr>
      <w:pStyle w:val="Header"/>
      <w:tabs>
        <w:tab w:val="clear" w:pos="4320"/>
        <w:tab w:val="clear" w:pos="8640"/>
        <w:tab w:val="center" w:pos="4680"/>
        <w:tab w:val="right" w:pos="9180"/>
      </w:tabs>
    </w:pPr>
    <w:r w:rsidRPr="00196DCD">
      <w:t xml:space="preserve">Pacific Gas and Electric </w:t>
    </w:r>
    <w:r>
      <w:t>Advice Letter 4116-G/5581-E</w:t>
    </w:r>
    <w:r w:rsidRPr="00196DCD">
      <w:t>/</w:t>
    </w:r>
    <w:r>
      <w:t>dkl</w:t>
    </w:r>
  </w:p>
  <w:p w14:paraId="013F4CD4" w14:textId="77777777" w:rsidR="002238AE" w:rsidRDefault="00223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5E539EBD" w:rsidR="002238AE" w:rsidRPr="008E6797" w:rsidRDefault="002238AE" w:rsidP="002238AE">
    <w:pPr>
      <w:pStyle w:val="Header"/>
      <w:jc w:val="right"/>
      <w:rPr>
        <w:rFonts w:ascii="Helvetica" w:hAnsi="Helvetica"/>
        <w:sz w:val="28"/>
      </w:rPr>
    </w:pPr>
    <w:r w:rsidRPr="008E6797">
      <w:t>D</w:t>
    </w:r>
    <w:r>
      <w:t>ate of Issuance: May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639"/>
    <w:multiLevelType w:val="multilevel"/>
    <w:tmpl w:val="F2E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B3B1F"/>
    <w:multiLevelType w:val="hybridMultilevel"/>
    <w:tmpl w:val="C6EE3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E5E0A"/>
    <w:multiLevelType w:val="hybridMultilevel"/>
    <w:tmpl w:val="81622C8A"/>
    <w:lvl w:ilvl="0" w:tplc="B27E38A6">
      <w:start w:val="1"/>
      <w:numFmt w:val="upperLetter"/>
      <w:pStyle w:val="AListIndent"/>
      <w:lvlText w:val="%1. "/>
      <w:lvlJc w:val="left"/>
      <w:pPr>
        <w:tabs>
          <w:tab w:val="num" w:pos="1152"/>
        </w:tabs>
        <w:ind w:left="1152" w:hanging="432"/>
      </w:pPr>
      <w:rPr>
        <w:rFonts w:ascii="Courier" w:hAnsi="Courier" w:hint="default"/>
        <w:b w:val="0"/>
        <w:i w:val="0"/>
        <w:sz w:val="24"/>
      </w:rPr>
    </w:lvl>
    <w:lvl w:ilvl="1" w:tplc="BC442A10">
      <w:numFmt w:val="decimal"/>
      <w:lvlText w:val=""/>
      <w:lvlJc w:val="left"/>
    </w:lvl>
    <w:lvl w:ilvl="2" w:tplc="F3D4B920">
      <w:numFmt w:val="decimal"/>
      <w:lvlText w:val=""/>
      <w:lvlJc w:val="left"/>
    </w:lvl>
    <w:lvl w:ilvl="3" w:tplc="7B4C6DD6">
      <w:numFmt w:val="decimal"/>
      <w:lvlText w:val=""/>
      <w:lvlJc w:val="left"/>
    </w:lvl>
    <w:lvl w:ilvl="4" w:tplc="17D4A84A">
      <w:numFmt w:val="decimal"/>
      <w:lvlText w:val=""/>
      <w:lvlJc w:val="left"/>
    </w:lvl>
    <w:lvl w:ilvl="5" w:tplc="9E92E1EA">
      <w:numFmt w:val="decimal"/>
      <w:lvlText w:val=""/>
      <w:lvlJc w:val="left"/>
    </w:lvl>
    <w:lvl w:ilvl="6" w:tplc="86365796">
      <w:numFmt w:val="decimal"/>
      <w:lvlText w:val=""/>
      <w:lvlJc w:val="left"/>
    </w:lvl>
    <w:lvl w:ilvl="7" w:tplc="88B29832">
      <w:numFmt w:val="decimal"/>
      <w:lvlText w:val=""/>
      <w:lvlJc w:val="left"/>
    </w:lvl>
    <w:lvl w:ilvl="8" w:tplc="4B22BE7C">
      <w:numFmt w:val="decimal"/>
      <w:lvlText w:val=""/>
      <w:lvlJc w:val="left"/>
    </w:lvl>
  </w:abstractNum>
  <w:abstractNum w:abstractNumId="3" w15:restartNumberingAfterBreak="0">
    <w:nsid w:val="0BDB7819"/>
    <w:multiLevelType w:val="hybridMultilevel"/>
    <w:tmpl w:val="0409000F"/>
    <w:lvl w:ilvl="0" w:tplc="5D5ABA94">
      <w:start w:val="1"/>
      <w:numFmt w:val="decimal"/>
      <w:lvlText w:val="%1."/>
      <w:lvlJc w:val="left"/>
      <w:pPr>
        <w:tabs>
          <w:tab w:val="num" w:pos="360"/>
        </w:tabs>
        <w:ind w:left="360" w:hanging="360"/>
      </w:pPr>
    </w:lvl>
    <w:lvl w:ilvl="1" w:tplc="72A456C8">
      <w:numFmt w:val="decimal"/>
      <w:lvlText w:val=""/>
      <w:lvlJc w:val="left"/>
    </w:lvl>
    <w:lvl w:ilvl="2" w:tplc="D28E0EB8">
      <w:numFmt w:val="decimal"/>
      <w:lvlText w:val=""/>
      <w:lvlJc w:val="left"/>
    </w:lvl>
    <w:lvl w:ilvl="3" w:tplc="FF3C414E">
      <w:numFmt w:val="decimal"/>
      <w:lvlText w:val=""/>
      <w:lvlJc w:val="left"/>
    </w:lvl>
    <w:lvl w:ilvl="4" w:tplc="AE0CB314">
      <w:numFmt w:val="decimal"/>
      <w:lvlText w:val=""/>
      <w:lvlJc w:val="left"/>
    </w:lvl>
    <w:lvl w:ilvl="5" w:tplc="77E62DDE">
      <w:numFmt w:val="decimal"/>
      <w:lvlText w:val=""/>
      <w:lvlJc w:val="left"/>
    </w:lvl>
    <w:lvl w:ilvl="6" w:tplc="E4BEF730">
      <w:numFmt w:val="decimal"/>
      <w:lvlText w:val=""/>
      <w:lvlJc w:val="left"/>
    </w:lvl>
    <w:lvl w:ilvl="7" w:tplc="B90EF4A6">
      <w:numFmt w:val="decimal"/>
      <w:lvlText w:val=""/>
      <w:lvlJc w:val="left"/>
    </w:lvl>
    <w:lvl w:ilvl="8" w:tplc="31E43EFE">
      <w:numFmt w:val="decimal"/>
      <w:lvlText w:val=""/>
      <w:lvlJc w:val="left"/>
    </w:lvl>
  </w:abstractNum>
  <w:abstractNum w:abstractNumId="4" w15:restartNumberingAfterBreak="0">
    <w:nsid w:val="0CA140C1"/>
    <w:multiLevelType w:val="hybridMultilevel"/>
    <w:tmpl w:val="EC6C82BA"/>
    <w:lvl w:ilvl="0" w:tplc="50A66A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B82"/>
    <w:multiLevelType w:val="hybridMultilevel"/>
    <w:tmpl w:val="0D500A1C"/>
    <w:lvl w:ilvl="0" w:tplc="36DCE862">
      <w:start w:val="1"/>
      <w:numFmt w:val="decimal"/>
      <w:lvlText w:val="%1."/>
      <w:lvlJc w:val="left"/>
      <w:pPr>
        <w:ind w:left="705"/>
      </w:pPr>
      <w:rPr>
        <w:rFonts w:ascii="Palatino Linotype" w:eastAsia="Palatino Linotype" w:hAnsi="Palatino Linotype" w:cs="Palatino Linotype"/>
        <w:b/>
        <w:bCs/>
        <w:i w:val="0"/>
        <w:strike w:val="0"/>
        <w:dstrike w:val="0"/>
        <w:color w:val="000000"/>
        <w:sz w:val="26"/>
        <w:szCs w:val="26"/>
        <w:u w:val="none" w:color="000000"/>
        <w:bdr w:val="none" w:sz="0" w:space="0" w:color="auto"/>
        <w:shd w:val="clear" w:color="auto" w:fill="auto"/>
        <w:vertAlign w:val="baseline"/>
      </w:rPr>
    </w:lvl>
    <w:lvl w:ilvl="1" w:tplc="BB345500">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2EEA1F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0FAC0A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4C0FF0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BA67F7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1AEB16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42A53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F0275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16B6701"/>
    <w:multiLevelType w:val="hybridMultilevel"/>
    <w:tmpl w:val="5B6E26D4"/>
    <w:lvl w:ilvl="0" w:tplc="04090017">
      <w:start w:val="1"/>
      <w:numFmt w:val="lowerLetter"/>
      <w:lvlText w:val="%1)"/>
      <w:lvlJc w:val="left"/>
      <w:pPr>
        <w:ind w:left="720" w:hanging="360"/>
      </w:pPr>
      <w:rPr>
        <w:rFonts w:hint="default"/>
      </w:rPr>
    </w:lvl>
    <w:lvl w:ilvl="1" w:tplc="F5A0BB0C">
      <w:numFmt w:val="bullet"/>
      <w:lvlText w:val="•"/>
      <w:lvlJc w:val="left"/>
      <w:pPr>
        <w:ind w:left="1800" w:hanging="720"/>
      </w:pPr>
      <w:rPr>
        <w:rFonts w:ascii="Palatino" w:eastAsia="Times New Roman" w:hAnsi="Palatin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D43CE"/>
    <w:multiLevelType w:val="hybridMultilevel"/>
    <w:tmpl w:val="FF6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B0C43"/>
    <w:multiLevelType w:val="hybridMultilevel"/>
    <w:tmpl w:val="3570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30B19"/>
    <w:multiLevelType w:val="hybridMultilevel"/>
    <w:tmpl w:val="D47AF4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1600C3"/>
    <w:multiLevelType w:val="hybridMultilevel"/>
    <w:tmpl w:val="E5E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21C244E8"/>
    <w:multiLevelType w:val="hybridMultilevel"/>
    <w:tmpl w:val="70EEFD8E"/>
    <w:lvl w:ilvl="0" w:tplc="BB08B658">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24EE3EA">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7E6DE78">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05AC35A">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0C729C">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8706B6C">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EE064D6">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350819A">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2FACBEE">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5DD5720"/>
    <w:multiLevelType w:val="hybridMultilevel"/>
    <w:tmpl w:val="65B65490"/>
    <w:lvl w:ilvl="0" w:tplc="970ADCCE">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98AFA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EB681D2">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166830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C868DB6">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EF4F0B8">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5C3D1C">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9F6AC9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C8699B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63A33A4"/>
    <w:multiLevelType w:val="hybridMultilevel"/>
    <w:tmpl w:val="9F8A1B06"/>
    <w:lvl w:ilvl="0" w:tplc="53CAE9E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882558"/>
    <w:multiLevelType w:val="hybridMultilevel"/>
    <w:tmpl w:val="9266CA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0E261F"/>
    <w:multiLevelType w:val="hybridMultilevel"/>
    <w:tmpl w:val="433E09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DE584A"/>
    <w:multiLevelType w:val="hybridMultilevel"/>
    <w:tmpl w:val="BCD6F3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2FDD7285"/>
    <w:multiLevelType w:val="hybridMultilevel"/>
    <w:tmpl w:val="550AF8B6"/>
    <w:lvl w:ilvl="0" w:tplc="D6BC8196">
      <w:start w:val="4"/>
      <w:numFmt w:val="lowerLetter"/>
      <w:lvlText w:val="%1."/>
      <w:lvlJc w:val="left"/>
      <w:pPr>
        <w:tabs>
          <w:tab w:val="num" w:pos="720"/>
        </w:tabs>
        <w:ind w:left="720" w:hanging="360"/>
      </w:pPr>
    </w:lvl>
    <w:lvl w:ilvl="1" w:tplc="EF24F744">
      <w:start w:val="4"/>
      <w:numFmt w:val="lowerLetter"/>
      <w:lvlText w:val="%2."/>
      <w:lvlJc w:val="left"/>
      <w:pPr>
        <w:tabs>
          <w:tab w:val="num" w:pos="1440"/>
        </w:tabs>
        <w:ind w:left="1440" w:hanging="360"/>
      </w:pPr>
    </w:lvl>
    <w:lvl w:ilvl="2" w:tplc="6EA2AA2A" w:tentative="1">
      <w:start w:val="1"/>
      <w:numFmt w:val="lowerLetter"/>
      <w:lvlText w:val="%3."/>
      <w:lvlJc w:val="left"/>
      <w:pPr>
        <w:tabs>
          <w:tab w:val="num" w:pos="2160"/>
        </w:tabs>
        <w:ind w:left="2160" w:hanging="360"/>
      </w:pPr>
    </w:lvl>
    <w:lvl w:ilvl="3" w:tplc="8AF2E090" w:tentative="1">
      <w:start w:val="1"/>
      <w:numFmt w:val="lowerLetter"/>
      <w:lvlText w:val="%4."/>
      <w:lvlJc w:val="left"/>
      <w:pPr>
        <w:tabs>
          <w:tab w:val="num" w:pos="2880"/>
        </w:tabs>
        <w:ind w:left="2880" w:hanging="360"/>
      </w:pPr>
    </w:lvl>
    <w:lvl w:ilvl="4" w:tplc="6F8271B0" w:tentative="1">
      <w:start w:val="1"/>
      <w:numFmt w:val="lowerLetter"/>
      <w:lvlText w:val="%5."/>
      <w:lvlJc w:val="left"/>
      <w:pPr>
        <w:tabs>
          <w:tab w:val="num" w:pos="3600"/>
        </w:tabs>
        <w:ind w:left="3600" w:hanging="360"/>
      </w:pPr>
    </w:lvl>
    <w:lvl w:ilvl="5" w:tplc="08B20B7C" w:tentative="1">
      <w:start w:val="1"/>
      <w:numFmt w:val="lowerLetter"/>
      <w:lvlText w:val="%6."/>
      <w:lvlJc w:val="left"/>
      <w:pPr>
        <w:tabs>
          <w:tab w:val="num" w:pos="4320"/>
        </w:tabs>
        <w:ind w:left="4320" w:hanging="360"/>
      </w:pPr>
    </w:lvl>
    <w:lvl w:ilvl="6" w:tplc="D430B79E" w:tentative="1">
      <w:start w:val="1"/>
      <w:numFmt w:val="lowerLetter"/>
      <w:lvlText w:val="%7."/>
      <w:lvlJc w:val="left"/>
      <w:pPr>
        <w:tabs>
          <w:tab w:val="num" w:pos="5040"/>
        </w:tabs>
        <w:ind w:left="5040" w:hanging="360"/>
      </w:pPr>
    </w:lvl>
    <w:lvl w:ilvl="7" w:tplc="C7C8C6A0" w:tentative="1">
      <w:start w:val="1"/>
      <w:numFmt w:val="lowerLetter"/>
      <w:lvlText w:val="%8."/>
      <w:lvlJc w:val="left"/>
      <w:pPr>
        <w:tabs>
          <w:tab w:val="num" w:pos="5760"/>
        </w:tabs>
        <w:ind w:left="5760" w:hanging="360"/>
      </w:pPr>
    </w:lvl>
    <w:lvl w:ilvl="8" w:tplc="90F80D4E" w:tentative="1">
      <w:start w:val="1"/>
      <w:numFmt w:val="lowerLetter"/>
      <w:lvlText w:val="%9."/>
      <w:lvlJc w:val="left"/>
      <w:pPr>
        <w:tabs>
          <w:tab w:val="num" w:pos="6480"/>
        </w:tabs>
        <w:ind w:left="6480" w:hanging="360"/>
      </w:pPr>
    </w:lvl>
  </w:abstractNum>
  <w:abstractNum w:abstractNumId="21" w15:restartNumberingAfterBreak="0">
    <w:nsid w:val="2FF20C79"/>
    <w:multiLevelType w:val="hybridMultilevel"/>
    <w:tmpl w:val="6DC81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5B5A1A"/>
    <w:multiLevelType w:val="hybridMultilevel"/>
    <w:tmpl w:val="C824B430"/>
    <w:lvl w:ilvl="0" w:tplc="3244CC9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47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4857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860F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28AEA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84DD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30A7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E089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52552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7E5DA6"/>
    <w:multiLevelType w:val="hybridMultilevel"/>
    <w:tmpl w:val="EF843670"/>
    <w:lvl w:ilvl="0" w:tplc="713EB2FC">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9092B"/>
    <w:multiLevelType w:val="hybridMultilevel"/>
    <w:tmpl w:val="C360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38E798E"/>
    <w:multiLevelType w:val="hybridMultilevel"/>
    <w:tmpl w:val="1410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8A5084"/>
    <w:multiLevelType w:val="hybridMultilevel"/>
    <w:tmpl w:val="3CB8C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93161A"/>
    <w:multiLevelType w:val="hybridMultilevel"/>
    <w:tmpl w:val="3B6E335A"/>
    <w:lvl w:ilvl="0" w:tplc="FB0238E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F2DF5"/>
    <w:multiLevelType w:val="hybridMultilevel"/>
    <w:tmpl w:val="854429EC"/>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416F04B7"/>
    <w:multiLevelType w:val="hybridMultilevel"/>
    <w:tmpl w:val="0409000F"/>
    <w:lvl w:ilvl="0" w:tplc="2496D152">
      <w:start w:val="1"/>
      <w:numFmt w:val="decimal"/>
      <w:lvlText w:val="%1."/>
      <w:lvlJc w:val="left"/>
      <w:pPr>
        <w:tabs>
          <w:tab w:val="num" w:pos="360"/>
        </w:tabs>
        <w:ind w:left="360" w:hanging="360"/>
      </w:pPr>
    </w:lvl>
    <w:lvl w:ilvl="1" w:tplc="E338924A">
      <w:numFmt w:val="decimal"/>
      <w:lvlText w:val=""/>
      <w:lvlJc w:val="left"/>
    </w:lvl>
    <w:lvl w:ilvl="2" w:tplc="B9E4013C">
      <w:numFmt w:val="decimal"/>
      <w:lvlText w:val=""/>
      <w:lvlJc w:val="left"/>
    </w:lvl>
    <w:lvl w:ilvl="3" w:tplc="986E5EE0">
      <w:numFmt w:val="decimal"/>
      <w:lvlText w:val=""/>
      <w:lvlJc w:val="left"/>
    </w:lvl>
    <w:lvl w:ilvl="4" w:tplc="30A6A820">
      <w:numFmt w:val="decimal"/>
      <w:lvlText w:val=""/>
      <w:lvlJc w:val="left"/>
    </w:lvl>
    <w:lvl w:ilvl="5" w:tplc="5FC45442">
      <w:numFmt w:val="decimal"/>
      <w:lvlText w:val=""/>
      <w:lvlJc w:val="left"/>
    </w:lvl>
    <w:lvl w:ilvl="6" w:tplc="EAFED5E0">
      <w:numFmt w:val="decimal"/>
      <w:lvlText w:val=""/>
      <w:lvlJc w:val="left"/>
    </w:lvl>
    <w:lvl w:ilvl="7" w:tplc="6C0C80E2">
      <w:numFmt w:val="decimal"/>
      <w:lvlText w:val=""/>
      <w:lvlJc w:val="left"/>
    </w:lvl>
    <w:lvl w:ilvl="8" w:tplc="06289384">
      <w:numFmt w:val="decimal"/>
      <w:lvlText w:val=""/>
      <w:lvlJc w:val="left"/>
    </w:lvl>
  </w:abstractNum>
  <w:abstractNum w:abstractNumId="30" w15:restartNumberingAfterBreak="0">
    <w:nsid w:val="42F1677F"/>
    <w:multiLevelType w:val="hybridMultilevel"/>
    <w:tmpl w:val="8E9EA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4357462"/>
    <w:multiLevelType w:val="multilevel"/>
    <w:tmpl w:val="7AF0A87E"/>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813C0F"/>
    <w:multiLevelType w:val="hybridMultilevel"/>
    <w:tmpl w:val="8A9267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97C52BA"/>
    <w:multiLevelType w:val="hybridMultilevel"/>
    <w:tmpl w:val="EAD47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C7D204E"/>
    <w:multiLevelType w:val="hybridMultilevel"/>
    <w:tmpl w:val="FED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F6C8E"/>
    <w:multiLevelType w:val="hybridMultilevel"/>
    <w:tmpl w:val="983C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EF0387"/>
    <w:multiLevelType w:val="hybridMultilevel"/>
    <w:tmpl w:val="0409000F"/>
    <w:lvl w:ilvl="0" w:tplc="4604546E">
      <w:start w:val="1"/>
      <w:numFmt w:val="decimal"/>
      <w:lvlText w:val="%1."/>
      <w:lvlJc w:val="left"/>
      <w:pPr>
        <w:tabs>
          <w:tab w:val="num" w:pos="360"/>
        </w:tabs>
        <w:ind w:left="360" w:hanging="360"/>
      </w:pPr>
    </w:lvl>
    <w:lvl w:ilvl="1" w:tplc="67860540">
      <w:numFmt w:val="decimal"/>
      <w:lvlText w:val=""/>
      <w:lvlJc w:val="left"/>
    </w:lvl>
    <w:lvl w:ilvl="2" w:tplc="BEDC8520">
      <w:numFmt w:val="decimal"/>
      <w:lvlText w:val=""/>
      <w:lvlJc w:val="left"/>
    </w:lvl>
    <w:lvl w:ilvl="3" w:tplc="7CAE9E4E">
      <w:numFmt w:val="decimal"/>
      <w:lvlText w:val=""/>
      <w:lvlJc w:val="left"/>
    </w:lvl>
    <w:lvl w:ilvl="4" w:tplc="B5FE4B94">
      <w:numFmt w:val="decimal"/>
      <w:lvlText w:val=""/>
      <w:lvlJc w:val="left"/>
    </w:lvl>
    <w:lvl w:ilvl="5" w:tplc="E85A6CC4">
      <w:numFmt w:val="decimal"/>
      <w:lvlText w:val=""/>
      <w:lvlJc w:val="left"/>
    </w:lvl>
    <w:lvl w:ilvl="6" w:tplc="FB3CFA70">
      <w:numFmt w:val="decimal"/>
      <w:lvlText w:val=""/>
      <w:lvlJc w:val="left"/>
    </w:lvl>
    <w:lvl w:ilvl="7" w:tplc="59E06AFC">
      <w:numFmt w:val="decimal"/>
      <w:lvlText w:val=""/>
      <w:lvlJc w:val="left"/>
    </w:lvl>
    <w:lvl w:ilvl="8" w:tplc="DFEC233C">
      <w:numFmt w:val="decimal"/>
      <w:lvlText w:val=""/>
      <w:lvlJc w:val="left"/>
    </w:lvl>
  </w:abstractNum>
  <w:abstractNum w:abstractNumId="38" w15:restartNumberingAfterBreak="0">
    <w:nsid w:val="56F131D7"/>
    <w:multiLevelType w:val="hybridMultilevel"/>
    <w:tmpl w:val="9AF078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72565C7"/>
    <w:multiLevelType w:val="hybridMultilevel"/>
    <w:tmpl w:val="B4D29030"/>
    <w:lvl w:ilvl="0" w:tplc="6CEE70A4">
      <w:start w:val="1"/>
      <w:numFmt w:val="decimal"/>
      <w:lvlText w:val="%1."/>
      <w:lvlJc w:val="left"/>
      <w:pPr>
        <w:tabs>
          <w:tab w:val="num" w:pos="420"/>
        </w:tabs>
        <w:ind w:left="420" w:hanging="420"/>
      </w:pPr>
      <w:rPr>
        <w:rFonts w:hint="default"/>
      </w:rPr>
    </w:lvl>
    <w:lvl w:ilvl="1" w:tplc="CA5A7592">
      <w:numFmt w:val="decimal"/>
      <w:lvlText w:val=""/>
      <w:lvlJc w:val="left"/>
    </w:lvl>
    <w:lvl w:ilvl="2" w:tplc="C2F6E36E">
      <w:numFmt w:val="decimal"/>
      <w:lvlText w:val=""/>
      <w:lvlJc w:val="left"/>
    </w:lvl>
    <w:lvl w:ilvl="3" w:tplc="75AE0E6C">
      <w:numFmt w:val="decimal"/>
      <w:lvlText w:val=""/>
      <w:lvlJc w:val="left"/>
    </w:lvl>
    <w:lvl w:ilvl="4" w:tplc="A14C7908">
      <w:numFmt w:val="decimal"/>
      <w:lvlText w:val=""/>
      <w:lvlJc w:val="left"/>
    </w:lvl>
    <w:lvl w:ilvl="5" w:tplc="B75CE9E4">
      <w:numFmt w:val="decimal"/>
      <w:lvlText w:val=""/>
      <w:lvlJc w:val="left"/>
    </w:lvl>
    <w:lvl w:ilvl="6" w:tplc="547EEB10">
      <w:numFmt w:val="decimal"/>
      <w:lvlText w:val=""/>
      <w:lvlJc w:val="left"/>
    </w:lvl>
    <w:lvl w:ilvl="7" w:tplc="4F1C6A4E">
      <w:numFmt w:val="decimal"/>
      <w:lvlText w:val=""/>
      <w:lvlJc w:val="left"/>
    </w:lvl>
    <w:lvl w:ilvl="8" w:tplc="D486C2D4">
      <w:numFmt w:val="decimal"/>
      <w:lvlText w:val=""/>
      <w:lvlJc w:val="left"/>
    </w:lvl>
  </w:abstractNum>
  <w:abstractNum w:abstractNumId="40" w15:restartNumberingAfterBreak="0">
    <w:nsid w:val="5A332C6C"/>
    <w:multiLevelType w:val="hybridMultilevel"/>
    <w:tmpl w:val="31D64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B0B8A"/>
    <w:multiLevelType w:val="hybridMultilevel"/>
    <w:tmpl w:val="0409000F"/>
    <w:lvl w:ilvl="0" w:tplc="B5805EFC">
      <w:start w:val="1"/>
      <w:numFmt w:val="decimal"/>
      <w:lvlText w:val="%1."/>
      <w:lvlJc w:val="left"/>
      <w:pPr>
        <w:tabs>
          <w:tab w:val="num" w:pos="360"/>
        </w:tabs>
        <w:ind w:left="360" w:hanging="360"/>
      </w:pPr>
    </w:lvl>
    <w:lvl w:ilvl="1" w:tplc="7CE27CA2">
      <w:numFmt w:val="decimal"/>
      <w:lvlText w:val=""/>
      <w:lvlJc w:val="left"/>
    </w:lvl>
    <w:lvl w:ilvl="2" w:tplc="C2E8BBFE">
      <w:numFmt w:val="decimal"/>
      <w:lvlText w:val=""/>
      <w:lvlJc w:val="left"/>
    </w:lvl>
    <w:lvl w:ilvl="3" w:tplc="ADB6A65C">
      <w:numFmt w:val="decimal"/>
      <w:lvlText w:val=""/>
      <w:lvlJc w:val="left"/>
    </w:lvl>
    <w:lvl w:ilvl="4" w:tplc="9CAAAA1E">
      <w:numFmt w:val="decimal"/>
      <w:lvlText w:val=""/>
      <w:lvlJc w:val="left"/>
    </w:lvl>
    <w:lvl w:ilvl="5" w:tplc="C53AF946">
      <w:numFmt w:val="decimal"/>
      <w:lvlText w:val=""/>
      <w:lvlJc w:val="left"/>
    </w:lvl>
    <w:lvl w:ilvl="6" w:tplc="A0C8853C">
      <w:numFmt w:val="decimal"/>
      <w:lvlText w:val=""/>
      <w:lvlJc w:val="left"/>
    </w:lvl>
    <w:lvl w:ilvl="7" w:tplc="C7768FDE">
      <w:numFmt w:val="decimal"/>
      <w:lvlText w:val=""/>
      <w:lvlJc w:val="left"/>
    </w:lvl>
    <w:lvl w:ilvl="8" w:tplc="C22A6490">
      <w:numFmt w:val="decimal"/>
      <w:lvlText w:val=""/>
      <w:lvlJc w:val="left"/>
    </w:lvl>
  </w:abstractNum>
  <w:abstractNum w:abstractNumId="43" w15:restartNumberingAfterBreak="0">
    <w:nsid w:val="618B6090"/>
    <w:multiLevelType w:val="hybridMultilevel"/>
    <w:tmpl w:val="B64633E4"/>
    <w:lvl w:ilvl="0" w:tplc="8D58D1EA">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37F75"/>
    <w:multiLevelType w:val="hybridMultilevel"/>
    <w:tmpl w:val="DBF49EA6"/>
    <w:lvl w:ilvl="0" w:tplc="477CD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FB13AE"/>
    <w:multiLevelType w:val="hybridMultilevel"/>
    <w:tmpl w:val="5AA60AC6"/>
    <w:lvl w:ilvl="0" w:tplc="B31CB9F4">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BC0188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CC0F22C">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6B41DE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E602DB2">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E74C94A">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D72BA58">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9E871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1C853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6688409F"/>
    <w:multiLevelType w:val="hybridMultilevel"/>
    <w:tmpl w:val="C22E1734"/>
    <w:lvl w:ilvl="0" w:tplc="AA282F9A">
      <w:start w:val="1"/>
      <w:numFmt w:val="decimal"/>
      <w:lvlText w:val="%1."/>
      <w:lvlJc w:val="left"/>
      <w:pPr>
        <w:ind w:left="4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3346556">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32CE578E">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A9A6F74">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51D60E6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A4B6444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BCB05FE0">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ED46A90">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5828DFC">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33C126F"/>
    <w:multiLevelType w:val="hybridMultilevel"/>
    <w:tmpl w:val="CA469C8C"/>
    <w:lvl w:ilvl="0" w:tplc="3A589D5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04D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A55C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E6A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2C84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A647E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B6B5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46BB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A6219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E613C5"/>
    <w:multiLevelType w:val="hybridMultilevel"/>
    <w:tmpl w:val="27A2F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8594256"/>
    <w:multiLevelType w:val="hybridMultilevel"/>
    <w:tmpl w:val="316E9D30"/>
    <w:lvl w:ilvl="0" w:tplc="8FCE3CB8">
      <w:start w:val="1"/>
      <w:numFmt w:val="bullet"/>
      <w:lvlText w:val=""/>
      <w:lvlJc w:val="left"/>
      <w:pPr>
        <w:tabs>
          <w:tab w:val="num" w:pos="720"/>
        </w:tabs>
        <w:ind w:left="720" w:hanging="360"/>
      </w:pPr>
      <w:rPr>
        <w:rFonts w:ascii="Symbol" w:hAnsi="Symbol" w:hint="default"/>
        <w:sz w:val="20"/>
      </w:rPr>
    </w:lvl>
    <w:lvl w:ilvl="1" w:tplc="CF56D0AA" w:tentative="1">
      <w:start w:val="1"/>
      <w:numFmt w:val="bullet"/>
      <w:lvlText w:val="o"/>
      <w:lvlJc w:val="left"/>
      <w:pPr>
        <w:tabs>
          <w:tab w:val="num" w:pos="1440"/>
        </w:tabs>
        <w:ind w:left="1440" w:hanging="360"/>
      </w:pPr>
      <w:rPr>
        <w:rFonts w:ascii="Courier New" w:hAnsi="Courier New" w:hint="default"/>
        <w:sz w:val="20"/>
      </w:rPr>
    </w:lvl>
    <w:lvl w:ilvl="2" w:tplc="ACF6DA54" w:tentative="1">
      <w:start w:val="1"/>
      <w:numFmt w:val="bullet"/>
      <w:lvlText w:val=""/>
      <w:lvlJc w:val="left"/>
      <w:pPr>
        <w:tabs>
          <w:tab w:val="num" w:pos="2160"/>
        </w:tabs>
        <w:ind w:left="2160" w:hanging="360"/>
      </w:pPr>
      <w:rPr>
        <w:rFonts w:ascii="Wingdings" w:hAnsi="Wingdings" w:hint="default"/>
        <w:sz w:val="20"/>
      </w:rPr>
    </w:lvl>
    <w:lvl w:ilvl="3" w:tplc="4D92647E" w:tentative="1">
      <w:start w:val="1"/>
      <w:numFmt w:val="bullet"/>
      <w:lvlText w:val=""/>
      <w:lvlJc w:val="left"/>
      <w:pPr>
        <w:tabs>
          <w:tab w:val="num" w:pos="2880"/>
        </w:tabs>
        <w:ind w:left="2880" w:hanging="360"/>
      </w:pPr>
      <w:rPr>
        <w:rFonts w:ascii="Wingdings" w:hAnsi="Wingdings" w:hint="default"/>
        <w:sz w:val="20"/>
      </w:rPr>
    </w:lvl>
    <w:lvl w:ilvl="4" w:tplc="C6845F4E" w:tentative="1">
      <w:start w:val="1"/>
      <w:numFmt w:val="bullet"/>
      <w:lvlText w:val=""/>
      <w:lvlJc w:val="left"/>
      <w:pPr>
        <w:tabs>
          <w:tab w:val="num" w:pos="3600"/>
        </w:tabs>
        <w:ind w:left="3600" w:hanging="360"/>
      </w:pPr>
      <w:rPr>
        <w:rFonts w:ascii="Wingdings" w:hAnsi="Wingdings" w:hint="default"/>
        <w:sz w:val="20"/>
      </w:rPr>
    </w:lvl>
    <w:lvl w:ilvl="5" w:tplc="C1789B60" w:tentative="1">
      <w:start w:val="1"/>
      <w:numFmt w:val="bullet"/>
      <w:lvlText w:val=""/>
      <w:lvlJc w:val="left"/>
      <w:pPr>
        <w:tabs>
          <w:tab w:val="num" w:pos="4320"/>
        </w:tabs>
        <w:ind w:left="4320" w:hanging="360"/>
      </w:pPr>
      <w:rPr>
        <w:rFonts w:ascii="Wingdings" w:hAnsi="Wingdings" w:hint="default"/>
        <w:sz w:val="20"/>
      </w:rPr>
    </w:lvl>
    <w:lvl w:ilvl="6" w:tplc="47B09F9E" w:tentative="1">
      <w:start w:val="1"/>
      <w:numFmt w:val="bullet"/>
      <w:lvlText w:val=""/>
      <w:lvlJc w:val="left"/>
      <w:pPr>
        <w:tabs>
          <w:tab w:val="num" w:pos="5040"/>
        </w:tabs>
        <w:ind w:left="5040" w:hanging="360"/>
      </w:pPr>
      <w:rPr>
        <w:rFonts w:ascii="Wingdings" w:hAnsi="Wingdings" w:hint="default"/>
        <w:sz w:val="20"/>
      </w:rPr>
    </w:lvl>
    <w:lvl w:ilvl="7" w:tplc="D93EA240" w:tentative="1">
      <w:start w:val="1"/>
      <w:numFmt w:val="bullet"/>
      <w:lvlText w:val=""/>
      <w:lvlJc w:val="left"/>
      <w:pPr>
        <w:tabs>
          <w:tab w:val="num" w:pos="5760"/>
        </w:tabs>
        <w:ind w:left="5760" w:hanging="360"/>
      </w:pPr>
      <w:rPr>
        <w:rFonts w:ascii="Wingdings" w:hAnsi="Wingdings" w:hint="default"/>
        <w:sz w:val="20"/>
      </w:rPr>
    </w:lvl>
    <w:lvl w:ilvl="8" w:tplc="EE4672D6"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12"/>
  </w:num>
  <w:num w:numId="4">
    <w:abstractNumId w:val="39"/>
  </w:num>
  <w:num w:numId="5">
    <w:abstractNumId w:val="3"/>
  </w:num>
  <w:num w:numId="6">
    <w:abstractNumId w:val="16"/>
  </w:num>
  <w:num w:numId="7">
    <w:abstractNumId w:val="47"/>
  </w:num>
  <w:num w:numId="8">
    <w:abstractNumId w:val="51"/>
  </w:num>
  <w:num w:numId="9">
    <w:abstractNumId w:val="9"/>
  </w:num>
  <w:num w:numId="10">
    <w:abstractNumId w:val="41"/>
  </w:num>
  <w:num w:numId="11">
    <w:abstractNumId w:val="45"/>
  </w:num>
  <w:num w:numId="12">
    <w:abstractNumId w:val="5"/>
  </w:num>
  <w:num w:numId="13">
    <w:abstractNumId w:val="14"/>
  </w:num>
  <w:num w:numId="14">
    <w:abstractNumId w:val="13"/>
  </w:num>
  <w:num w:numId="15">
    <w:abstractNumId w:val="48"/>
  </w:num>
  <w:num w:numId="16">
    <w:abstractNumId w:val="46"/>
  </w:num>
  <w:num w:numId="17">
    <w:abstractNumId w:val="22"/>
  </w:num>
  <w:num w:numId="18">
    <w:abstractNumId w:val="24"/>
  </w:num>
  <w:num w:numId="19">
    <w:abstractNumId w:val="49"/>
  </w:num>
  <w:num w:numId="20">
    <w:abstractNumId w:val="8"/>
  </w:num>
  <w:num w:numId="21">
    <w:abstractNumId w:val="11"/>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4"/>
  </w:num>
  <w:num w:numId="24">
    <w:abstractNumId w:val="8"/>
  </w:num>
  <w:num w:numId="25">
    <w:abstractNumId w:val="15"/>
  </w:num>
  <w:num w:numId="26">
    <w:abstractNumId w:val="30"/>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28"/>
  </w:num>
  <w:num w:numId="37">
    <w:abstractNumId w:val="21"/>
  </w:num>
  <w:num w:numId="38">
    <w:abstractNumId w:val="6"/>
  </w:num>
  <w:num w:numId="39">
    <w:abstractNumId w:val="44"/>
  </w:num>
  <w:num w:numId="40">
    <w:abstractNumId w:val="26"/>
  </w:num>
  <w:num w:numId="41">
    <w:abstractNumId w:val="4"/>
  </w:num>
  <w:num w:numId="42">
    <w:abstractNumId w:val="38"/>
  </w:num>
  <w:num w:numId="43">
    <w:abstractNumId w:val="33"/>
  </w:num>
  <w:num w:numId="44">
    <w:abstractNumId w:val="18"/>
  </w:num>
  <w:num w:numId="45">
    <w:abstractNumId w:val="10"/>
  </w:num>
  <w:num w:numId="46">
    <w:abstractNumId w:val="42"/>
  </w:num>
  <w:num w:numId="47">
    <w:abstractNumId w:val="32"/>
  </w:num>
  <w:num w:numId="48">
    <w:abstractNumId w:val="12"/>
  </w:num>
  <w:num w:numId="49">
    <w:abstractNumId w:val="12"/>
  </w:num>
  <w:num w:numId="50">
    <w:abstractNumId w:val="35"/>
  </w:num>
  <w:num w:numId="51">
    <w:abstractNumId w:val="20"/>
  </w:num>
  <w:num w:numId="52">
    <w:abstractNumId w:val="1"/>
  </w:num>
  <w:num w:numId="53">
    <w:abstractNumId w:val="12"/>
  </w:num>
  <w:num w:numId="54">
    <w:abstractNumId w:val="12"/>
  </w:num>
  <w:num w:numId="55">
    <w:abstractNumId w:val="12"/>
  </w:num>
  <w:num w:numId="56">
    <w:abstractNumId w:val="40"/>
  </w:num>
  <w:num w:numId="57">
    <w:abstractNumId w:val="25"/>
  </w:num>
  <w:num w:numId="58">
    <w:abstractNumId w:val="37"/>
  </w:num>
  <w:num w:numId="59">
    <w:abstractNumId w:val="29"/>
  </w:num>
  <w:num w:numId="60">
    <w:abstractNumId w:val="27"/>
  </w:num>
  <w:num w:numId="61">
    <w:abstractNumId w:val="7"/>
  </w:num>
  <w:num w:numId="62">
    <w:abstractNumId w:val="50"/>
  </w:num>
  <w:num w:numId="63">
    <w:abstractNumId w:val="23"/>
  </w:num>
  <w:num w:numId="64">
    <w:abstractNumId w:val="43"/>
  </w:num>
  <w:num w:numId="65">
    <w:abstractNumId w:val="0"/>
  </w:num>
  <w:num w:numId="66">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64" w:dllVersion="0" w:nlCheck="1" w:checkStyle="0" w:appName="MSWord"/>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7F9"/>
    <w:rsid w:val="00000F13"/>
    <w:rsid w:val="00001042"/>
    <w:rsid w:val="000013F8"/>
    <w:rsid w:val="00001761"/>
    <w:rsid w:val="00001CDD"/>
    <w:rsid w:val="00002260"/>
    <w:rsid w:val="000024E1"/>
    <w:rsid w:val="00002D78"/>
    <w:rsid w:val="00002E05"/>
    <w:rsid w:val="000030FD"/>
    <w:rsid w:val="000035AE"/>
    <w:rsid w:val="0000360E"/>
    <w:rsid w:val="00003BA2"/>
    <w:rsid w:val="00004135"/>
    <w:rsid w:val="000042FC"/>
    <w:rsid w:val="000048AE"/>
    <w:rsid w:val="00004A8D"/>
    <w:rsid w:val="00005953"/>
    <w:rsid w:val="000059F3"/>
    <w:rsid w:val="00005B13"/>
    <w:rsid w:val="00006681"/>
    <w:rsid w:val="0000686D"/>
    <w:rsid w:val="000068A2"/>
    <w:rsid w:val="00006911"/>
    <w:rsid w:val="000069FB"/>
    <w:rsid w:val="00006A97"/>
    <w:rsid w:val="00006D7F"/>
    <w:rsid w:val="00007ADA"/>
    <w:rsid w:val="00007CD5"/>
    <w:rsid w:val="00007CE1"/>
    <w:rsid w:val="00007F07"/>
    <w:rsid w:val="00007FDA"/>
    <w:rsid w:val="000100B2"/>
    <w:rsid w:val="00010646"/>
    <w:rsid w:val="00010C8C"/>
    <w:rsid w:val="00010F44"/>
    <w:rsid w:val="00010FD2"/>
    <w:rsid w:val="0001161C"/>
    <w:rsid w:val="00011AC9"/>
    <w:rsid w:val="00011BDE"/>
    <w:rsid w:val="00011C66"/>
    <w:rsid w:val="0001211C"/>
    <w:rsid w:val="00012CA4"/>
    <w:rsid w:val="00012CFF"/>
    <w:rsid w:val="00012D45"/>
    <w:rsid w:val="00012E2F"/>
    <w:rsid w:val="00013196"/>
    <w:rsid w:val="0001331B"/>
    <w:rsid w:val="000133F5"/>
    <w:rsid w:val="00013701"/>
    <w:rsid w:val="00013AB4"/>
    <w:rsid w:val="00013B05"/>
    <w:rsid w:val="00013C23"/>
    <w:rsid w:val="000145AD"/>
    <w:rsid w:val="000145EB"/>
    <w:rsid w:val="000148AF"/>
    <w:rsid w:val="00014D56"/>
    <w:rsid w:val="00014EC3"/>
    <w:rsid w:val="00015875"/>
    <w:rsid w:val="00015BEB"/>
    <w:rsid w:val="00015CA4"/>
    <w:rsid w:val="00015FF8"/>
    <w:rsid w:val="00016431"/>
    <w:rsid w:val="0001658F"/>
    <w:rsid w:val="00016B04"/>
    <w:rsid w:val="00016E9A"/>
    <w:rsid w:val="00016FEE"/>
    <w:rsid w:val="000175F6"/>
    <w:rsid w:val="00017C8F"/>
    <w:rsid w:val="00017E75"/>
    <w:rsid w:val="000201EB"/>
    <w:rsid w:val="0002067A"/>
    <w:rsid w:val="000206E9"/>
    <w:rsid w:val="0002076E"/>
    <w:rsid w:val="0002083B"/>
    <w:rsid w:val="00020E9D"/>
    <w:rsid w:val="00021318"/>
    <w:rsid w:val="0002185C"/>
    <w:rsid w:val="00021952"/>
    <w:rsid w:val="00021C2F"/>
    <w:rsid w:val="00021D57"/>
    <w:rsid w:val="00021DA8"/>
    <w:rsid w:val="000221E1"/>
    <w:rsid w:val="0002231C"/>
    <w:rsid w:val="000228BA"/>
    <w:rsid w:val="00022918"/>
    <w:rsid w:val="00022ADC"/>
    <w:rsid w:val="00022BC6"/>
    <w:rsid w:val="00022BDE"/>
    <w:rsid w:val="00023619"/>
    <w:rsid w:val="0002397F"/>
    <w:rsid w:val="00023D38"/>
    <w:rsid w:val="00023FBB"/>
    <w:rsid w:val="0002401A"/>
    <w:rsid w:val="000243F1"/>
    <w:rsid w:val="000245EF"/>
    <w:rsid w:val="00024774"/>
    <w:rsid w:val="0002493B"/>
    <w:rsid w:val="00024C89"/>
    <w:rsid w:val="00025211"/>
    <w:rsid w:val="00025310"/>
    <w:rsid w:val="0002533E"/>
    <w:rsid w:val="000253DA"/>
    <w:rsid w:val="00025798"/>
    <w:rsid w:val="000257D0"/>
    <w:rsid w:val="0002587C"/>
    <w:rsid w:val="000258E5"/>
    <w:rsid w:val="00025947"/>
    <w:rsid w:val="00025975"/>
    <w:rsid w:val="00025C6D"/>
    <w:rsid w:val="00025CD7"/>
    <w:rsid w:val="00025D48"/>
    <w:rsid w:val="00025DC4"/>
    <w:rsid w:val="00025F60"/>
    <w:rsid w:val="00026BA3"/>
    <w:rsid w:val="00026BF4"/>
    <w:rsid w:val="00026DD8"/>
    <w:rsid w:val="000275AA"/>
    <w:rsid w:val="000279B1"/>
    <w:rsid w:val="00027EDB"/>
    <w:rsid w:val="00030145"/>
    <w:rsid w:val="00030683"/>
    <w:rsid w:val="00030817"/>
    <w:rsid w:val="00030B3F"/>
    <w:rsid w:val="00030BED"/>
    <w:rsid w:val="00031249"/>
    <w:rsid w:val="000315B5"/>
    <w:rsid w:val="000315E7"/>
    <w:rsid w:val="000315F6"/>
    <w:rsid w:val="000317CF"/>
    <w:rsid w:val="00031CE1"/>
    <w:rsid w:val="000320C4"/>
    <w:rsid w:val="000321CC"/>
    <w:rsid w:val="000323D5"/>
    <w:rsid w:val="000329A9"/>
    <w:rsid w:val="00032A4A"/>
    <w:rsid w:val="00032B17"/>
    <w:rsid w:val="00032F2D"/>
    <w:rsid w:val="0003309C"/>
    <w:rsid w:val="000331FC"/>
    <w:rsid w:val="00033540"/>
    <w:rsid w:val="00033BF6"/>
    <w:rsid w:val="00033CCA"/>
    <w:rsid w:val="000341F1"/>
    <w:rsid w:val="000343A0"/>
    <w:rsid w:val="000344CF"/>
    <w:rsid w:val="00034624"/>
    <w:rsid w:val="000346FE"/>
    <w:rsid w:val="0003488A"/>
    <w:rsid w:val="000348BB"/>
    <w:rsid w:val="00034B66"/>
    <w:rsid w:val="000353B6"/>
    <w:rsid w:val="000353E4"/>
    <w:rsid w:val="00035475"/>
    <w:rsid w:val="00035EC8"/>
    <w:rsid w:val="00035F16"/>
    <w:rsid w:val="00035FDF"/>
    <w:rsid w:val="00036277"/>
    <w:rsid w:val="000365B5"/>
    <w:rsid w:val="00036A4B"/>
    <w:rsid w:val="00036E6D"/>
    <w:rsid w:val="00036EEA"/>
    <w:rsid w:val="000376F6"/>
    <w:rsid w:val="000400E0"/>
    <w:rsid w:val="00040602"/>
    <w:rsid w:val="00040F1C"/>
    <w:rsid w:val="000410A5"/>
    <w:rsid w:val="0004146D"/>
    <w:rsid w:val="000414EA"/>
    <w:rsid w:val="00041516"/>
    <w:rsid w:val="000415A9"/>
    <w:rsid w:val="000415D5"/>
    <w:rsid w:val="00041799"/>
    <w:rsid w:val="00041856"/>
    <w:rsid w:val="00041968"/>
    <w:rsid w:val="00041C68"/>
    <w:rsid w:val="00041F63"/>
    <w:rsid w:val="00042391"/>
    <w:rsid w:val="00042438"/>
    <w:rsid w:val="000425D0"/>
    <w:rsid w:val="0004271F"/>
    <w:rsid w:val="000429EA"/>
    <w:rsid w:val="00043167"/>
    <w:rsid w:val="000444B1"/>
    <w:rsid w:val="00044C58"/>
    <w:rsid w:val="00044D45"/>
    <w:rsid w:val="00045501"/>
    <w:rsid w:val="000458F0"/>
    <w:rsid w:val="00045AC0"/>
    <w:rsid w:val="00045C2B"/>
    <w:rsid w:val="00045DC2"/>
    <w:rsid w:val="00045E11"/>
    <w:rsid w:val="0004601C"/>
    <w:rsid w:val="0004619C"/>
    <w:rsid w:val="000462BF"/>
    <w:rsid w:val="00046A54"/>
    <w:rsid w:val="000470BD"/>
    <w:rsid w:val="000470CF"/>
    <w:rsid w:val="0004710D"/>
    <w:rsid w:val="00047A87"/>
    <w:rsid w:val="000501D4"/>
    <w:rsid w:val="00050287"/>
    <w:rsid w:val="0005097A"/>
    <w:rsid w:val="00050CDC"/>
    <w:rsid w:val="000510F8"/>
    <w:rsid w:val="0005110F"/>
    <w:rsid w:val="00051303"/>
    <w:rsid w:val="00051481"/>
    <w:rsid w:val="00051550"/>
    <w:rsid w:val="000515A4"/>
    <w:rsid w:val="000516F2"/>
    <w:rsid w:val="000519BA"/>
    <w:rsid w:val="00051DA8"/>
    <w:rsid w:val="00051F0D"/>
    <w:rsid w:val="00051F4F"/>
    <w:rsid w:val="0005226B"/>
    <w:rsid w:val="00052299"/>
    <w:rsid w:val="00052803"/>
    <w:rsid w:val="00052FD7"/>
    <w:rsid w:val="000531A5"/>
    <w:rsid w:val="00053510"/>
    <w:rsid w:val="000539A7"/>
    <w:rsid w:val="00054427"/>
    <w:rsid w:val="00054F0D"/>
    <w:rsid w:val="00055241"/>
    <w:rsid w:val="00055467"/>
    <w:rsid w:val="000554C7"/>
    <w:rsid w:val="00055716"/>
    <w:rsid w:val="00055987"/>
    <w:rsid w:val="00055EA4"/>
    <w:rsid w:val="000560F1"/>
    <w:rsid w:val="00056694"/>
    <w:rsid w:val="00056887"/>
    <w:rsid w:val="000568B5"/>
    <w:rsid w:val="00056BB8"/>
    <w:rsid w:val="00056F00"/>
    <w:rsid w:val="00057386"/>
    <w:rsid w:val="00057447"/>
    <w:rsid w:val="00057544"/>
    <w:rsid w:val="00057C61"/>
    <w:rsid w:val="000601F7"/>
    <w:rsid w:val="00060328"/>
    <w:rsid w:val="00060377"/>
    <w:rsid w:val="0006063C"/>
    <w:rsid w:val="000607A6"/>
    <w:rsid w:val="00060FDF"/>
    <w:rsid w:val="00061045"/>
    <w:rsid w:val="000612C5"/>
    <w:rsid w:val="000612F4"/>
    <w:rsid w:val="000616C8"/>
    <w:rsid w:val="00061D2E"/>
    <w:rsid w:val="00062059"/>
    <w:rsid w:val="00062073"/>
    <w:rsid w:val="00062289"/>
    <w:rsid w:val="00062BA4"/>
    <w:rsid w:val="00062C35"/>
    <w:rsid w:val="00062C39"/>
    <w:rsid w:val="00062F93"/>
    <w:rsid w:val="00063109"/>
    <w:rsid w:val="00063127"/>
    <w:rsid w:val="00063146"/>
    <w:rsid w:val="000633B3"/>
    <w:rsid w:val="00063766"/>
    <w:rsid w:val="000639BF"/>
    <w:rsid w:val="00063B73"/>
    <w:rsid w:val="00063BD9"/>
    <w:rsid w:val="0006413C"/>
    <w:rsid w:val="0006414D"/>
    <w:rsid w:val="0006474C"/>
    <w:rsid w:val="00064DEC"/>
    <w:rsid w:val="000651E8"/>
    <w:rsid w:val="00065322"/>
    <w:rsid w:val="00065451"/>
    <w:rsid w:val="0006548F"/>
    <w:rsid w:val="00065645"/>
    <w:rsid w:val="0006584A"/>
    <w:rsid w:val="00065865"/>
    <w:rsid w:val="0006597F"/>
    <w:rsid w:val="00065BC0"/>
    <w:rsid w:val="00065CF9"/>
    <w:rsid w:val="00066660"/>
    <w:rsid w:val="000666CD"/>
    <w:rsid w:val="00066808"/>
    <w:rsid w:val="000669CF"/>
    <w:rsid w:val="00066A7B"/>
    <w:rsid w:val="00066AB9"/>
    <w:rsid w:val="00066D8F"/>
    <w:rsid w:val="000672B6"/>
    <w:rsid w:val="00067E66"/>
    <w:rsid w:val="00067FD4"/>
    <w:rsid w:val="00070903"/>
    <w:rsid w:val="00070C89"/>
    <w:rsid w:val="00070E8D"/>
    <w:rsid w:val="000714DB"/>
    <w:rsid w:val="00071551"/>
    <w:rsid w:val="00071575"/>
    <w:rsid w:val="00071934"/>
    <w:rsid w:val="0007194F"/>
    <w:rsid w:val="00071E3F"/>
    <w:rsid w:val="00072458"/>
    <w:rsid w:val="000726AD"/>
    <w:rsid w:val="0007280D"/>
    <w:rsid w:val="0007308F"/>
    <w:rsid w:val="000732E1"/>
    <w:rsid w:val="0007332F"/>
    <w:rsid w:val="00073B4A"/>
    <w:rsid w:val="00073D24"/>
    <w:rsid w:val="00073F4A"/>
    <w:rsid w:val="00074189"/>
    <w:rsid w:val="000744A0"/>
    <w:rsid w:val="000745C6"/>
    <w:rsid w:val="0007474C"/>
    <w:rsid w:val="000749F5"/>
    <w:rsid w:val="00074A9F"/>
    <w:rsid w:val="0007531D"/>
    <w:rsid w:val="000753E8"/>
    <w:rsid w:val="00075CE9"/>
    <w:rsid w:val="00075F89"/>
    <w:rsid w:val="00076327"/>
    <w:rsid w:val="00076A42"/>
    <w:rsid w:val="00076BE2"/>
    <w:rsid w:val="00077031"/>
    <w:rsid w:val="00077108"/>
    <w:rsid w:val="000771C5"/>
    <w:rsid w:val="000771E1"/>
    <w:rsid w:val="0007724F"/>
    <w:rsid w:val="000779CF"/>
    <w:rsid w:val="00077BE5"/>
    <w:rsid w:val="00077DE0"/>
    <w:rsid w:val="00077FA9"/>
    <w:rsid w:val="0008008D"/>
    <w:rsid w:val="000800FE"/>
    <w:rsid w:val="000802FB"/>
    <w:rsid w:val="00080314"/>
    <w:rsid w:val="000807B4"/>
    <w:rsid w:val="0008091C"/>
    <w:rsid w:val="00081250"/>
    <w:rsid w:val="000813DC"/>
    <w:rsid w:val="00081BA5"/>
    <w:rsid w:val="00081E46"/>
    <w:rsid w:val="00082354"/>
    <w:rsid w:val="00082B0A"/>
    <w:rsid w:val="000831B1"/>
    <w:rsid w:val="000831C0"/>
    <w:rsid w:val="000832DF"/>
    <w:rsid w:val="00083355"/>
    <w:rsid w:val="0008447D"/>
    <w:rsid w:val="00084732"/>
    <w:rsid w:val="00084CBA"/>
    <w:rsid w:val="00085121"/>
    <w:rsid w:val="0008547B"/>
    <w:rsid w:val="00085519"/>
    <w:rsid w:val="00085C47"/>
    <w:rsid w:val="00085E02"/>
    <w:rsid w:val="0008601F"/>
    <w:rsid w:val="000860F3"/>
    <w:rsid w:val="0008619B"/>
    <w:rsid w:val="00086482"/>
    <w:rsid w:val="0008660E"/>
    <w:rsid w:val="00086728"/>
    <w:rsid w:val="00086B25"/>
    <w:rsid w:val="00086C22"/>
    <w:rsid w:val="00086D9B"/>
    <w:rsid w:val="00087591"/>
    <w:rsid w:val="000877EB"/>
    <w:rsid w:val="00087814"/>
    <w:rsid w:val="00087DFA"/>
    <w:rsid w:val="00090050"/>
    <w:rsid w:val="00090339"/>
    <w:rsid w:val="00090446"/>
    <w:rsid w:val="00090488"/>
    <w:rsid w:val="000909E9"/>
    <w:rsid w:val="00090A9E"/>
    <w:rsid w:val="00090C04"/>
    <w:rsid w:val="00090C18"/>
    <w:rsid w:val="00090F27"/>
    <w:rsid w:val="000916FC"/>
    <w:rsid w:val="00091756"/>
    <w:rsid w:val="00091763"/>
    <w:rsid w:val="00091B28"/>
    <w:rsid w:val="00092023"/>
    <w:rsid w:val="000920DB"/>
    <w:rsid w:val="00092147"/>
    <w:rsid w:val="00092381"/>
    <w:rsid w:val="00092482"/>
    <w:rsid w:val="000928B1"/>
    <w:rsid w:val="00092C99"/>
    <w:rsid w:val="00092E3A"/>
    <w:rsid w:val="00093342"/>
    <w:rsid w:val="00093820"/>
    <w:rsid w:val="00094158"/>
    <w:rsid w:val="0009434F"/>
    <w:rsid w:val="0009477A"/>
    <w:rsid w:val="0009490D"/>
    <w:rsid w:val="00094986"/>
    <w:rsid w:val="00094B17"/>
    <w:rsid w:val="00094D92"/>
    <w:rsid w:val="00094EA4"/>
    <w:rsid w:val="000954AD"/>
    <w:rsid w:val="00095AE9"/>
    <w:rsid w:val="00095F91"/>
    <w:rsid w:val="000961D4"/>
    <w:rsid w:val="00096913"/>
    <w:rsid w:val="00096C13"/>
    <w:rsid w:val="00096FBF"/>
    <w:rsid w:val="000970DA"/>
    <w:rsid w:val="000973BE"/>
    <w:rsid w:val="000978AC"/>
    <w:rsid w:val="00097BDE"/>
    <w:rsid w:val="00097FA6"/>
    <w:rsid w:val="000A01E9"/>
    <w:rsid w:val="000A0823"/>
    <w:rsid w:val="000A08E4"/>
    <w:rsid w:val="000A0901"/>
    <w:rsid w:val="000A09B2"/>
    <w:rsid w:val="000A0C07"/>
    <w:rsid w:val="000A0F57"/>
    <w:rsid w:val="000A0FAB"/>
    <w:rsid w:val="000A102C"/>
    <w:rsid w:val="000A13AA"/>
    <w:rsid w:val="000A192A"/>
    <w:rsid w:val="000A1A09"/>
    <w:rsid w:val="000A220A"/>
    <w:rsid w:val="000A22A3"/>
    <w:rsid w:val="000A2668"/>
    <w:rsid w:val="000A26C4"/>
    <w:rsid w:val="000A2798"/>
    <w:rsid w:val="000A2AD9"/>
    <w:rsid w:val="000A2C0A"/>
    <w:rsid w:val="000A2E65"/>
    <w:rsid w:val="000A3194"/>
    <w:rsid w:val="000A343F"/>
    <w:rsid w:val="000A3604"/>
    <w:rsid w:val="000A376D"/>
    <w:rsid w:val="000A3C70"/>
    <w:rsid w:val="000A3D0D"/>
    <w:rsid w:val="000A3E18"/>
    <w:rsid w:val="000A400F"/>
    <w:rsid w:val="000A4774"/>
    <w:rsid w:val="000A4CF5"/>
    <w:rsid w:val="000A4FC3"/>
    <w:rsid w:val="000A52AB"/>
    <w:rsid w:val="000A5472"/>
    <w:rsid w:val="000A551A"/>
    <w:rsid w:val="000A5E7A"/>
    <w:rsid w:val="000A5EBC"/>
    <w:rsid w:val="000A66A5"/>
    <w:rsid w:val="000A66E2"/>
    <w:rsid w:val="000A6792"/>
    <w:rsid w:val="000A6D20"/>
    <w:rsid w:val="000A6DD8"/>
    <w:rsid w:val="000A76B2"/>
    <w:rsid w:val="000A774F"/>
    <w:rsid w:val="000A7A29"/>
    <w:rsid w:val="000A7AB0"/>
    <w:rsid w:val="000B0317"/>
    <w:rsid w:val="000B04D6"/>
    <w:rsid w:val="000B0C03"/>
    <w:rsid w:val="000B0DAB"/>
    <w:rsid w:val="000B175D"/>
    <w:rsid w:val="000B17BA"/>
    <w:rsid w:val="000B1B7D"/>
    <w:rsid w:val="000B1BB2"/>
    <w:rsid w:val="000B1CE3"/>
    <w:rsid w:val="000B200F"/>
    <w:rsid w:val="000B20BC"/>
    <w:rsid w:val="000B221C"/>
    <w:rsid w:val="000B2932"/>
    <w:rsid w:val="000B2C84"/>
    <w:rsid w:val="000B309E"/>
    <w:rsid w:val="000B3774"/>
    <w:rsid w:val="000B3B04"/>
    <w:rsid w:val="000B3FD4"/>
    <w:rsid w:val="000B42DF"/>
    <w:rsid w:val="000B49E5"/>
    <w:rsid w:val="000B4E37"/>
    <w:rsid w:val="000B57BA"/>
    <w:rsid w:val="000B5AB4"/>
    <w:rsid w:val="000B5D04"/>
    <w:rsid w:val="000B5D11"/>
    <w:rsid w:val="000B6239"/>
    <w:rsid w:val="000B63F6"/>
    <w:rsid w:val="000B64BD"/>
    <w:rsid w:val="000B694D"/>
    <w:rsid w:val="000B6BF0"/>
    <w:rsid w:val="000B6C07"/>
    <w:rsid w:val="000B6C30"/>
    <w:rsid w:val="000B6C50"/>
    <w:rsid w:val="000B6F7A"/>
    <w:rsid w:val="000B79DB"/>
    <w:rsid w:val="000B7F96"/>
    <w:rsid w:val="000C06F0"/>
    <w:rsid w:val="000C0922"/>
    <w:rsid w:val="000C0A5B"/>
    <w:rsid w:val="000C1045"/>
    <w:rsid w:val="000C1296"/>
    <w:rsid w:val="000C1890"/>
    <w:rsid w:val="000C1B78"/>
    <w:rsid w:val="000C1F26"/>
    <w:rsid w:val="000C2543"/>
    <w:rsid w:val="000C2991"/>
    <w:rsid w:val="000C2DC2"/>
    <w:rsid w:val="000C3193"/>
    <w:rsid w:val="000C35B8"/>
    <w:rsid w:val="000C3D0E"/>
    <w:rsid w:val="000C3DBA"/>
    <w:rsid w:val="000C3F06"/>
    <w:rsid w:val="000C4443"/>
    <w:rsid w:val="000C4C71"/>
    <w:rsid w:val="000C4FDA"/>
    <w:rsid w:val="000C50F5"/>
    <w:rsid w:val="000C5248"/>
    <w:rsid w:val="000C54DB"/>
    <w:rsid w:val="000C55DB"/>
    <w:rsid w:val="000C5874"/>
    <w:rsid w:val="000C58B3"/>
    <w:rsid w:val="000C592E"/>
    <w:rsid w:val="000C5A22"/>
    <w:rsid w:val="000C5AB0"/>
    <w:rsid w:val="000C62E1"/>
    <w:rsid w:val="000C6597"/>
    <w:rsid w:val="000C6B80"/>
    <w:rsid w:val="000C6E6B"/>
    <w:rsid w:val="000C6F23"/>
    <w:rsid w:val="000C743D"/>
    <w:rsid w:val="000C7576"/>
    <w:rsid w:val="000C7580"/>
    <w:rsid w:val="000C77E7"/>
    <w:rsid w:val="000C7BB8"/>
    <w:rsid w:val="000C7CE9"/>
    <w:rsid w:val="000C7E9B"/>
    <w:rsid w:val="000C7EA2"/>
    <w:rsid w:val="000D041A"/>
    <w:rsid w:val="000D068A"/>
    <w:rsid w:val="000D076D"/>
    <w:rsid w:val="000D0A5D"/>
    <w:rsid w:val="000D0C73"/>
    <w:rsid w:val="000D0FEA"/>
    <w:rsid w:val="000D12B6"/>
    <w:rsid w:val="000D12F9"/>
    <w:rsid w:val="000D1A94"/>
    <w:rsid w:val="000D1E8B"/>
    <w:rsid w:val="000D21BD"/>
    <w:rsid w:val="000D238B"/>
    <w:rsid w:val="000D2876"/>
    <w:rsid w:val="000D2891"/>
    <w:rsid w:val="000D29F3"/>
    <w:rsid w:val="000D2AFD"/>
    <w:rsid w:val="000D2D8E"/>
    <w:rsid w:val="000D2E48"/>
    <w:rsid w:val="000D341B"/>
    <w:rsid w:val="000D355A"/>
    <w:rsid w:val="000D3739"/>
    <w:rsid w:val="000D3A75"/>
    <w:rsid w:val="000D3F70"/>
    <w:rsid w:val="000D3F75"/>
    <w:rsid w:val="000D4121"/>
    <w:rsid w:val="000D469C"/>
    <w:rsid w:val="000D4715"/>
    <w:rsid w:val="000D47A7"/>
    <w:rsid w:val="000D47CD"/>
    <w:rsid w:val="000D4B40"/>
    <w:rsid w:val="000D4BAA"/>
    <w:rsid w:val="000D539A"/>
    <w:rsid w:val="000D53AC"/>
    <w:rsid w:val="000D5422"/>
    <w:rsid w:val="000D5B5D"/>
    <w:rsid w:val="000D5BED"/>
    <w:rsid w:val="000D5F76"/>
    <w:rsid w:val="000D65DA"/>
    <w:rsid w:val="000D6735"/>
    <w:rsid w:val="000D6C29"/>
    <w:rsid w:val="000D6DD2"/>
    <w:rsid w:val="000D6DED"/>
    <w:rsid w:val="000D70EF"/>
    <w:rsid w:val="000D79B5"/>
    <w:rsid w:val="000D7F4E"/>
    <w:rsid w:val="000D7FDB"/>
    <w:rsid w:val="000D7FF8"/>
    <w:rsid w:val="000E0639"/>
    <w:rsid w:val="000E07A2"/>
    <w:rsid w:val="000E08C9"/>
    <w:rsid w:val="000E141C"/>
    <w:rsid w:val="000E14F7"/>
    <w:rsid w:val="000E15BD"/>
    <w:rsid w:val="000E17AB"/>
    <w:rsid w:val="000E17F5"/>
    <w:rsid w:val="000E1AB5"/>
    <w:rsid w:val="000E1C4C"/>
    <w:rsid w:val="000E1D29"/>
    <w:rsid w:val="000E1DC3"/>
    <w:rsid w:val="000E2247"/>
    <w:rsid w:val="000E2271"/>
    <w:rsid w:val="000E237A"/>
    <w:rsid w:val="000E3146"/>
    <w:rsid w:val="000E3266"/>
    <w:rsid w:val="000E3499"/>
    <w:rsid w:val="000E35B6"/>
    <w:rsid w:val="000E39CD"/>
    <w:rsid w:val="000E3AD5"/>
    <w:rsid w:val="000E3D71"/>
    <w:rsid w:val="000E3F47"/>
    <w:rsid w:val="000E3F4B"/>
    <w:rsid w:val="000E3FB0"/>
    <w:rsid w:val="000E42BE"/>
    <w:rsid w:val="000E45B5"/>
    <w:rsid w:val="000E4BF8"/>
    <w:rsid w:val="000E4D57"/>
    <w:rsid w:val="000E4DA0"/>
    <w:rsid w:val="000E4ED7"/>
    <w:rsid w:val="000E5101"/>
    <w:rsid w:val="000E5658"/>
    <w:rsid w:val="000E5712"/>
    <w:rsid w:val="000E5844"/>
    <w:rsid w:val="000E5B34"/>
    <w:rsid w:val="000E5ED5"/>
    <w:rsid w:val="000E607B"/>
    <w:rsid w:val="000E63D3"/>
    <w:rsid w:val="000E6B3A"/>
    <w:rsid w:val="000E70AF"/>
    <w:rsid w:val="000E728C"/>
    <w:rsid w:val="000E7796"/>
    <w:rsid w:val="000E7AEF"/>
    <w:rsid w:val="000E7D4E"/>
    <w:rsid w:val="000F0275"/>
    <w:rsid w:val="000F02CC"/>
    <w:rsid w:val="000F042B"/>
    <w:rsid w:val="000F05E3"/>
    <w:rsid w:val="000F0693"/>
    <w:rsid w:val="000F0841"/>
    <w:rsid w:val="000F09F5"/>
    <w:rsid w:val="000F0D44"/>
    <w:rsid w:val="000F0DEF"/>
    <w:rsid w:val="000F0EDC"/>
    <w:rsid w:val="000F0FE7"/>
    <w:rsid w:val="000F109C"/>
    <w:rsid w:val="000F10CD"/>
    <w:rsid w:val="000F22A1"/>
    <w:rsid w:val="000F250E"/>
    <w:rsid w:val="000F2626"/>
    <w:rsid w:val="000F2976"/>
    <w:rsid w:val="000F29B7"/>
    <w:rsid w:val="000F2A05"/>
    <w:rsid w:val="000F2F93"/>
    <w:rsid w:val="000F3467"/>
    <w:rsid w:val="000F37F3"/>
    <w:rsid w:val="000F3B32"/>
    <w:rsid w:val="000F3C2A"/>
    <w:rsid w:val="000F3F00"/>
    <w:rsid w:val="000F41D7"/>
    <w:rsid w:val="000F4B07"/>
    <w:rsid w:val="000F4C1A"/>
    <w:rsid w:val="000F4DC8"/>
    <w:rsid w:val="000F4E0C"/>
    <w:rsid w:val="000F4EA2"/>
    <w:rsid w:val="000F5611"/>
    <w:rsid w:val="000F56BB"/>
    <w:rsid w:val="000F58BC"/>
    <w:rsid w:val="000F5962"/>
    <w:rsid w:val="000F5EA6"/>
    <w:rsid w:val="000F5FA9"/>
    <w:rsid w:val="000F6351"/>
    <w:rsid w:val="000F6375"/>
    <w:rsid w:val="000F63E5"/>
    <w:rsid w:val="000F6664"/>
    <w:rsid w:val="000F66C4"/>
    <w:rsid w:val="000F6BC9"/>
    <w:rsid w:val="000F6FEE"/>
    <w:rsid w:val="000F70EE"/>
    <w:rsid w:val="000F7765"/>
    <w:rsid w:val="000F7D18"/>
    <w:rsid w:val="001003BD"/>
    <w:rsid w:val="001008C0"/>
    <w:rsid w:val="001008C7"/>
    <w:rsid w:val="00100CB2"/>
    <w:rsid w:val="00101526"/>
    <w:rsid w:val="001016C3"/>
    <w:rsid w:val="00101778"/>
    <w:rsid w:val="00101A77"/>
    <w:rsid w:val="00101B52"/>
    <w:rsid w:val="00101C5C"/>
    <w:rsid w:val="00101D96"/>
    <w:rsid w:val="00102402"/>
    <w:rsid w:val="0010245B"/>
    <w:rsid w:val="00102794"/>
    <w:rsid w:val="00102F80"/>
    <w:rsid w:val="0010332D"/>
    <w:rsid w:val="001036F4"/>
    <w:rsid w:val="00103853"/>
    <w:rsid w:val="001039DB"/>
    <w:rsid w:val="00103F67"/>
    <w:rsid w:val="00104244"/>
    <w:rsid w:val="00104A26"/>
    <w:rsid w:val="00104BB0"/>
    <w:rsid w:val="00104C51"/>
    <w:rsid w:val="00104DBC"/>
    <w:rsid w:val="00105B60"/>
    <w:rsid w:val="00105D05"/>
    <w:rsid w:val="00105D12"/>
    <w:rsid w:val="00105E01"/>
    <w:rsid w:val="001060F9"/>
    <w:rsid w:val="0010664F"/>
    <w:rsid w:val="00106D7E"/>
    <w:rsid w:val="00106F83"/>
    <w:rsid w:val="001073FB"/>
    <w:rsid w:val="0010750D"/>
    <w:rsid w:val="0011002C"/>
    <w:rsid w:val="00110061"/>
    <w:rsid w:val="00110150"/>
    <w:rsid w:val="0011042E"/>
    <w:rsid w:val="0011057B"/>
    <w:rsid w:val="00110A29"/>
    <w:rsid w:val="00110EFB"/>
    <w:rsid w:val="00111088"/>
    <w:rsid w:val="0011130E"/>
    <w:rsid w:val="0011136B"/>
    <w:rsid w:val="00111509"/>
    <w:rsid w:val="00111B66"/>
    <w:rsid w:val="00111C1B"/>
    <w:rsid w:val="00111D1F"/>
    <w:rsid w:val="0011215A"/>
    <w:rsid w:val="00112514"/>
    <w:rsid w:val="00112551"/>
    <w:rsid w:val="00112CCA"/>
    <w:rsid w:val="00112E55"/>
    <w:rsid w:val="0011360F"/>
    <w:rsid w:val="00113D28"/>
    <w:rsid w:val="00113D78"/>
    <w:rsid w:val="00113EEF"/>
    <w:rsid w:val="00113F0C"/>
    <w:rsid w:val="00114195"/>
    <w:rsid w:val="001141BD"/>
    <w:rsid w:val="0011422E"/>
    <w:rsid w:val="00114421"/>
    <w:rsid w:val="00114482"/>
    <w:rsid w:val="001146C5"/>
    <w:rsid w:val="00114DB8"/>
    <w:rsid w:val="00114E53"/>
    <w:rsid w:val="001151FC"/>
    <w:rsid w:val="00115337"/>
    <w:rsid w:val="00115A85"/>
    <w:rsid w:val="00115AE9"/>
    <w:rsid w:val="00115BEF"/>
    <w:rsid w:val="00116861"/>
    <w:rsid w:val="00116DDA"/>
    <w:rsid w:val="0011704C"/>
    <w:rsid w:val="00117152"/>
    <w:rsid w:val="00117159"/>
    <w:rsid w:val="0011716B"/>
    <w:rsid w:val="00117575"/>
    <w:rsid w:val="00117646"/>
    <w:rsid w:val="001178F6"/>
    <w:rsid w:val="001203B4"/>
    <w:rsid w:val="001205AE"/>
    <w:rsid w:val="0012066F"/>
    <w:rsid w:val="001206B4"/>
    <w:rsid w:val="00120A08"/>
    <w:rsid w:val="001210E9"/>
    <w:rsid w:val="00121406"/>
    <w:rsid w:val="001215A9"/>
    <w:rsid w:val="00121949"/>
    <w:rsid w:val="00121968"/>
    <w:rsid w:val="00121A33"/>
    <w:rsid w:val="00121B00"/>
    <w:rsid w:val="00121C5E"/>
    <w:rsid w:val="00121DBC"/>
    <w:rsid w:val="0012328F"/>
    <w:rsid w:val="001234A0"/>
    <w:rsid w:val="00123777"/>
    <w:rsid w:val="00123A0E"/>
    <w:rsid w:val="00123E20"/>
    <w:rsid w:val="001241CD"/>
    <w:rsid w:val="00124556"/>
    <w:rsid w:val="00124CA9"/>
    <w:rsid w:val="00124FCF"/>
    <w:rsid w:val="001250E5"/>
    <w:rsid w:val="0012520C"/>
    <w:rsid w:val="0012527B"/>
    <w:rsid w:val="001256EB"/>
    <w:rsid w:val="00125896"/>
    <w:rsid w:val="00125EA0"/>
    <w:rsid w:val="00125F11"/>
    <w:rsid w:val="00126087"/>
    <w:rsid w:val="00126265"/>
    <w:rsid w:val="00126311"/>
    <w:rsid w:val="001263B0"/>
    <w:rsid w:val="001267C3"/>
    <w:rsid w:val="00126850"/>
    <w:rsid w:val="00126AA5"/>
    <w:rsid w:val="00126B91"/>
    <w:rsid w:val="00126BAB"/>
    <w:rsid w:val="00126CCC"/>
    <w:rsid w:val="00126D68"/>
    <w:rsid w:val="00126F4B"/>
    <w:rsid w:val="0012726C"/>
    <w:rsid w:val="0012760E"/>
    <w:rsid w:val="00127810"/>
    <w:rsid w:val="00127971"/>
    <w:rsid w:val="00127A52"/>
    <w:rsid w:val="00127A60"/>
    <w:rsid w:val="00127D6F"/>
    <w:rsid w:val="00127D88"/>
    <w:rsid w:val="00127E45"/>
    <w:rsid w:val="0013008E"/>
    <w:rsid w:val="001300B8"/>
    <w:rsid w:val="001300D6"/>
    <w:rsid w:val="001301A0"/>
    <w:rsid w:val="001305E3"/>
    <w:rsid w:val="00130706"/>
    <w:rsid w:val="001307D5"/>
    <w:rsid w:val="00130C13"/>
    <w:rsid w:val="00130E8A"/>
    <w:rsid w:val="001314AF"/>
    <w:rsid w:val="00131517"/>
    <w:rsid w:val="001315FC"/>
    <w:rsid w:val="00131826"/>
    <w:rsid w:val="00131989"/>
    <w:rsid w:val="00131BE9"/>
    <w:rsid w:val="00131D61"/>
    <w:rsid w:val="00131DDC"/>
    <w:rsid w:val="00131FE6"/>
    <w:rsid w:val="0013229C"/>
    <w:rsid w:val="0013252F"/>
    <w:rsid w:val="001329F7"/>
    <w:rsid w:val="00132D57"/>
    <w:rsid w:val="00132E79"/>
    <w:rsid w:val="00132F8B"/>
    <w:rsid w:val="00133255"/>
    <w:rsid w:val="001339EA"/>
    <w:rsid w:val="00134515"/>
    <w:rsid w:val="00134A73"/>
    <w:rsid w:val="00134BC6"/>
    <w:rsid w:val="0013577A"/>
    <w:rsid w:val="00135B53"/>
    <w:rsid w:val="00135D38"/>
    <w:rsid w:val="00135DAD"/>
    <w:rsid w:val="00135DDF"/>
    <w:rsid w:val="00136045"/>
    <w:rsid w:val="0013643C"/>
    <w:rsid w:val="00136814"/>
    <w:rsid w:val="00136B4B"/>
    <w:rsid w:val="00136D0A"/>
    <w:rsid w:val="001377FF"/>
    <w:rsid w:val="00137F0F"/>
    <w:rsid w:val="001401EA"/>
    <w:rsid w:val="0014024E"/>
    <w:rsid w:val="00140AEE"/>
    <w:rsid w:val="00140BA1"/>
    <w:rsid w:val="00140C7A"/>
    <w:rsid w:val="00140DBD"/>
    <w:rsid w:val="00140F09"/>
    <w:rsid w:val="00140F93"/>
    <w:rsid w:val="00141006"/>
    <w:rsid w:val="001410DD"/>
    <w:rsid w:val="00141592"/>
    <w:rsid w:val="001415A0"/>
    <w:rsid w:val="00141803"/>
    <w:rsid w:val="00141DED"/>
    <w:rsid w:val="001425BA"/>
    <w:rsid w:val="0014274A"/>
    <w:rsid w:val="00142889"/>
    <w:rsid w:val="0014292D"/>
    <w:rsid w:val="00142C4B"/>
    <w:rsid w:val="00142CDB"/>
    <w:rsid w:val="00142FB8"/>
    <w:rsid w:val="001435BD"/>
    <w:rsid w:val="00143698"/>
    <w:rsid w:val="001438CB"/>
    <w:rsid w:val="001439DD"/>
    <w:rsid w:val="00143EA7"/>
    <w:rsid w:val="0014421C"/>
    <w:rsid w:val="00144BCA"/>
    <w:rsid w:val="00144F25"/>
    <w:rsid w:val="001456CF"/>
    <w:rsid w:val="001458BB"/>
    <w:rsid w:val="00146075"/>
    <w:rsid w:val="001461CC"/>
    <w:rsid w:val="00146514"/>
    <w:rsid w:val="001465F3"/>
    <w:rsid w:val="0014662D"/>
    <w:rsid w:val="001466E4"/>
    <w:rsid w:val="00146A75"/>
    <w:rsid w:val="00146C1A"/>
    <w:rsid w:val="00146ED0"/>
    <w:rsid w:val="001478A0"/>
    <w:rsid w:val="00147CC6"/>
    <w:rsid w:val="001503F7"/>
    <w:rsid w:val="001506C5"/>
    <w:rsid w:val="001508A5"/>
    <w:rsid w:val="001514A8"/>
    <w:rsid w:val="00151985"/>
    <w:rsid w:val="001524B7"/>
    <w:rsid w:val="001527E4"/>
    <w:rsid w:val="00152AB2"/>
    <w:rsid w:val="00153015"/>
    <w:rsid w:val="001531CC"/>
    <w:rsid w:val="00153359"/>
    <w:rsid w:val="00153363"/>
    <w:rsid w:val="00153369"/>
    <w:rsid w:val="00153A6E"/>
    <w:rsid w:val="00153AD5"/>
    <w:rsid w:val="00153AD8"/>
    <w:rsid w:val="00153E2A"/>
    <w:rsid w:val="00153EF4"/>
    <w:rsid w:val="00154052"/>
    <w:rsid w:val="00154411"/>
    <w:rsid w:val="00154520"/>
    <w:rsid w:val="0015454B"/>
    <w:rsid w:val="00154967"/>
    <w:rsid w:val="00154D6B"/>
    <w:rsid w:val="00155761"/>
    <w:rsid w:val="00155786"/>
    <w:rsid w:val="0015595E"/>
    <w:rsid w:val="00155B37"/>
    <w:rsid w:val="00156611"/>
    <w:rsid w:val="001566D6"/>
    <w:rsid w:val="001568AE"/>
    <w:rsid w:val="00156C43"/>
    <w:rsid w:val="00156CA2"/>
    <w:rsid w:val="001572D4"/>
    <w:rsid w:val="00157581"/>
    <w:rsid w:val="00157F45"/>
    <w:rsid w:val="00160430"/>
    <w:rsid w:val="00160892"/>
    <w:rsid w:val="00160AAD"/>
    <w:rsid w:val="00160B0B"/>
    <w:rsid w:val="00160B61"/>
    <w:rsid w:val="00160F48"/>
    <w:rsid w:val="00161287"/>
    <w:rsid w:val="0016148C"/>
    <w:rsid w:val="001616B2"/>
    <w:rsid w:val="00161848"/>
    <w:rsid w:val="00161886"/>
    <w:rsid w:val="00161C0C"/>
    <w:rsid w:val="001621CD"/>
    <w:rsid w:val="001624F0"/>
    <w:rsid w:val="00162531"/>
    <w:rsid w:val="00162786"/>
    <w:rsid w:val="00162855"/>
    <w:rsid w:val="00162B6F"/>
    <w:rsid w:val="00162FF2"/>
    <w:rsid w:val="001637C0"/>
    <w:rsid w:val="0016384C"/>
    <w:rsid w:val="00163877"/>
    <w:rsid w:val="00163BE5"/>
    <w:rsid w:val="00163CB4"/>
    <w:rsid w:val="00163F8C"/>
    <w:rsid w:val="00164137"/>
    <w:rsid w:val="001643BC"/>
    <w:rsid w:val="001643EC"/>
    <w:rsid w:val="00164676"/>
    <w:rsid w:val="00164920"/>
    <w:rsid w:val="00164B99"/>
    <w:rsid w:val="00165280"/>
    <w:rsid w:val="00165427"/>
    <w:rsid w:val="00165777"/>
    <w:rsid w:val="00165A59"/>
    <w:rsid w:val="00165BA6"/>
    <w:rsid w:val="00165C5D"/>
    <w:rsid w:val="00165DA4"/>
    <w:rsid w:val="00166088"/>
    <w:rsid w:val="00166169"/>
    <w:rsid w:val="001664F1"/>
    <w:rsid w:val="0016668D"/>
    <w:rsid w:val="0016690D"/>
    <w:rsid w:val="00166CCA"/>
    <w:rsid w:val="00166E17"/>
    <w:rsid w:val="0016711B"/>
    <w:rsid w:val="001671B2"/>
    <w:rsid w:val="001673A1"/>
    <w:rsid w:val="001674BF"/>
    <w:rsid w:val="00167629"/>
    <w:rsid w:val="00170597"/>
    <w:rsid w:val="001705E3"/>
    <w:rsid w:val="00170618"/>
    <w:rsid w:val="00170AAA"/>
    <w:rsid w:val="00170B78"/>
    <w:rsid w:val="00170E91"/>
    <w:rsid w:val="00171135"/>
    <w:rsid w:val="001711BC"/>
    <w:rsid w:val="0017146C"/>
    <w:rsid w:val="00171811"/>
    <w:rsid w:val="00171949"/>
    <w:rsid w:val="00171EA7"/>
    <w:rsid w:val="001728FE"/>
    <w:rsid w:val="00172BB6"/>
    <w:rsid w:val="00172CB1"/>
    <w:rsid w:val="00172E0F"/>
    <w:rsid w:val="00172E54"/>
    <w:rsid w:val="001730DE"/>
    <w:rsid w:val="0017342B"/>
    <w:rsid w:val="0017375C"/>
    <w:rsid w:val="001738F0"/>
    <w:rsid w:val="0017394C"/>
    <w:rsid w:val="00173CA6"/>
    <w:rsid w:val="00173EEE"/>
    <w:rsid w:val="00174476"/>
    <w:rsid w:val="001746D1"/>
    <w:rsid w:val="00174954"/>
    <w:rsid w:val="00174F6C"/>
    <w:rsid w:val="00175290"/>
    <w:rsid w:val="001752EB"/>
    <w:rsid w:val="001756E7"/>
    <w:rsid w:val="001757E0"/>
    <w:rsid w:val="00175F4E"/>
    <w:rsid w:val="00175F85"/>
    <w:rsid w:val="001760D1"/>
    <w:rsid w:val="001760E7"/>
    <w:rsid w:val="00176249"/>
    <w:rsid w:val="00176940"/>
    <w:rsid w:val="00176A07"/>
    <w:rsid w:val="00176BFE"/>
    <w:rsid w:val="00176F4B"/>
    <w:rsid w:val="0017726F"/>
    <w:rsid w:val="00177318"/>
    <w:rsid w:val="00177A81"/>
    <w:rsid w:val="00177F7B"/>
    <w:rsid w:val="0018038E"/>
    <w:rsid w:val="001803FA"/>
    <w:rsid w:val="00180914"/>
    <w:rsid w:val="001809FD"/>
    <w:rsid w:val="00180C77"/>
    <w:rsid w:val="00180FDF"/>
    <w:rsid w:val="001810DA"/>
    <w:rsid w:val="00181318"/>
    <w:rsid w:val="00181429"/>
    <w:rsid w:val="001817E5"/>
    <w:rsid w:val="00181802"/>
    <w:rsid w:val="00181BB1"/>
    <w:rsid w:val="00181ECB"/>
    <w:rsid w:val="00182187"/>
    <w:rsid w:val="001821CF"/>
    <w:rsid w:val="0018289E"/>
    <w:rsid w:val="00182A9C"/>
    <w:rsid w:val="0018346B"/>
    <w:rsid w:val="0018346C"/>
    <w:rsid w:val="001835C6"/>
    <w:rsid w:val="0018366B"/>
    <w:rsid w:val="001837A7"/>
    <w:rsid w:val="00183CA5"/>
    <w:rsid w:val="00183F99"/>
    <w:rsid w:val="00183FEA"/>
    <w:rsid w:val="00184071"/>
    <w:rsid w:val="0018495C"/>
    <w:rsid w:val="00184966"/>
    <w:rsid w:val="00184AE5"/>
    <w:rsid w:val="00184AFB"/>
    <w:rsid w:val="00184C6A"/>
    <w:rsid w:val="00184ED0"/>
    <w:rsid w:val="00185C86"/>
    <w:rsid w:val="00185DBC"/>
    <w:rsid w:val="00185F6C"/>
    <w:rsid w:val="0018682F"/>
    <w:rsid w:val="00186886"/>
    <w:rsid w:val="00186B85"/>
    <w:rsid w:val="00186D4B"/>
    <w:rsid w:val="0018718A"/>
    <w:rsid w:val="0018737C"/>
    <w:rsid w:val="00187424"/>
    <w:rsid w:val="001874B2"/>
    <w:rsid w:val="001875BA"/>
    <w:rsid w:val="001906EF"/>
    <w:rsid w:val="0019087A"/>
    <w:rsid w:val="00190CD1"/>
    <w:rsid w:val="001914DF"/>
    <w:rsid w:val="001917FF"/>
    <w:rsid w:val="001919EA"/>
    <w:rsid w:val="00191B24"/>
    <w:rsid w:val="00191D85"/>
    <w:rsid w:val="00191F8E"/>
    <w:rsid w:val="001920D8"/>
    <w:rsid w:val="00192187"/>
    <w:rsid w:val="0019242A"/>
    <w:rsid w:val="001924EF"/>
    <w:rsid w:val="001925BF"/>
    <w:rsid w:val="0019297B"/>
    <w:rsid w:val="00192AA7"/>
    <w:rsid w:val="00193072"/>
    <w:rsid w:val="00193334"/>
    <w:rsid w:val="00193609"/>
    <w:rsid w:val="00193859"/>
    <w:rsid w:val="00193DBF"/>
    <w:rsid w:val="00193DCB"/>
    <w:rsid w:val="00193FBF"/>
    <w:rsid w:val="00194060"/>
    <w:rsid w:val="001942DA"/>
    <w:rsid w:val="001942E9"/>
    <w:rsid w:val="001944BB"/>
    <w:rsid w:val="00194538"/>
    <w:rsid w:val="00194989"/>
    <w:rsid w:val="00194ACF"/>
    <w:rsid w:val="00194B0B"/>
    <w:rsid w:val="00194C03"/>
    <w:rsid w:val="00195254"/>
    <w:rsid w:val="001952A7"/>
    <w:rsid w:val="0019534F"/>
    <w:rsid w:val="001953D2"/>
    <w:rsid w:val="0019561A"/>
    <w:rsid w:val="00195901"/>
    <w:rsid w:val="00195B8A"/>
    <w:rsid w:val="00195D4E"/>
    <w:rsid w:val="00195FDF"/>
    <w:rsid w:val="0019620E"/>
    <w:rsid w:val="001962E0"/>
    <w:rsid w:val="00196313"/>
    <w:rsid w:val="001965F8"/>
    <w:rsid w:val="00196D76"/>
    <w:rsid w:val="00196DCD"/>
    <w:rsid w:val="00196E66"/>
    <w:rsid w:val="00196F8D"/>
    <w:rsid w:val="0019715D"/>
    <w:rsid w:val="00197B7F"/>
    <w:rsid w:val="00197FAA"/>
    <w:rsid w:val="001A0761"/>
    <w:rsid w:val="001A08B7"/>
    <w:rsid w:val="001A0BED"/>
    <w:rsid w:val="001A0DAB"/>
    <w:rsid w:val="001A0F5D"/>
    <w:rsid w:val="001A1070"/>
    <w:rsid w:val="001A135D"/>
    <w:rsid w:val="001A1928"/>
    <w:rsid w:val="001A1A61"/>
    <w:rsid w:val="001A1D58"/>
    <w:rsid w:val="001A20AA"/>
    <w:rsid w:val="001A21E3"/>
    <w:rsid w:val="001A286B"/>
    <w:rsid w:val="001A2DE3"/>
    <w:rsid w:val="001A2FEC"/>
    <w:rsid w:val="001A31A2"/>
    <w:rsid w:val="001A33A0"/>
    <w:rsid w:val="001A38A7"/>
    <w:rsid w:val="001A3DBA"/>
    <w:rsid w:val="001A427A"/>
    <w:rsid w:val="001A42DC"/>
    <w:rsid w:val="001A4340"/>
    <w:rsid w:val="001A48AA"/>
    <w:rsid w:val="001A4D49"/>
    <w:rsid w:val="001A4DE6"/>
    <w:rsid w:val="001A4F75"/>
    <w:rsid w:val="001A50FD"/>
    <w:rsid w:val="001A5334"/>
    <w:rsid w:val="001A5B09"/>
    <w:rsid w:val="001A5B11"/>
    <w:rsid w:val="001A5F70"/>
    <w:rsid w:val="001A635E"/>
    <w:rsid w:val="001A63C4"/>
    <w:rsid w:val="001A6433"/>
    <w:rsid w:val="001A6475"/>
    <w:rsid w:val="001A6593"/>
    <w:rsid w:val="001A6C16"/>
    <w:rsid w:val="001A6DDF"/>
    <w:rsid w:val="001A6E67"/>
    <w:rsid w:val="001A70A7"/>
    <w:rsid w:val="001A7245"/>
    <w:rsid w:val="001A755A"/>
    <w:rsid w:val="001A7942"/>
    <w:rsid w:val="001A7DBC"/>
    <w:rsid w:val="001A7DE3"/>
    <w:rsid w:val="001B0183"/>
    <w:rsid w:val="001B02A2"/>
    <w:rsid w:val="001B05C6"/>
    <w:rsid w:val="001B06A0"/>
    <w:rsid w:val="001B07B6"/>
    <w:rsid w:val="001B07FD"/>
    <w:rsid w:val="001B0EA1"/>
    <w:rsid w:val="001B14D3"/>
    <w:rsid w:val="001B1524"/>
    <w:rsid w:val="001B1660"/>
    <w:rsid w:val="001B17C4"/>
    <w:rsid w:val="001B2B06"/>
    <w:rsid w:val="001B2B1E"/>
    <w:rsid w:val="001B2CE2"/>
    <w:rsid w:val="001B3DD7"/>
    <w:rsid w:val="001B4321"/>
    <w:rsid w:val="001B4C47"/>
    <w:rsid w:val="001B4D0C"/>
    <w:rsid w:val="001B50DA"/>
    <w:rsid w:val="001B60DC"/>
    <w:rsid w:val="001B6AF0"/>
    <w:rsid w:val="001B6F16"/>
    <w:rsid w:val="001B6F1E"/>
    <w:rsid w:val="001B72D5"/>
    <w:rsid w:val="001B74A4"/>
    <w:rsid w:val="001B77F0"/>
    <w:rsid w:val="001C08EE"/>
    <w:rsid w:val="001C0A1C"/>
    <w:rsid w:val="001C0E90"/>
    <w:rsid w:val="001C0ED1"/>
    <w:rsid w:val="001C1066"/>
    <w:rsid w:val="001C111C"/>
    <w:rsid w:val="001C133A"/>
    <w:rsid w:val="001C1C04"/>
    <w:rsid w:val="001C2283"/>
    <w:rsid w:val="001C22C2"/>
    <w:rsid w:val="001C230F"/>
    <w:rsid w:val="001C27D9"/>
    <w:rsid w:val="001C2AF3"/>
    <w:rsid w:val="001C2C3F"/>
    <w:rsid w:val="001C399F"/>
    <w:rsid w:val="001C3AA8"/>
    <w:rsid w:val="001C3C0F"/>
    <w:rsid w:val="001C3CF4"/>
    <w:rsid w:val="001C45D7"/>
    <w:rsid w:val="001C48D2"/>
    <w:rsid w:val="001C4C7A"/>
    <w:rsid w:val="001C4D6E"/>
    <w:rsid w:val="001C4E10"/>
    <w:rsid w:val="001C4F21"/>
    <w:rsid w:val="001C4F9E"/>
    <w:rsid w:val="001C5088"/>
    <w:rsid w:val="001C51A7"/>
    <w:rsid w:val="001C557F"/>
    <w:rsid w:val="001C5B89"/>
    <w:rsid w:val="001C643E"/>
    <w:rsid w:val="001C64F1"/>
    <w:rsid w:val="001C65C8"/>
    <w:rsid w:val="001C670B"/>
    <w:rsid w:val="001C67A0"/>
    <w:rsid w:val="001C6A57"/>
    <w:rsid w:val="001C6ABA"/>
    <w:rsid w:val="001C6AF1"/>
    <w:rsid w:val="001C7232"/>
    <w:rsid w:val="001C7E8F"/>
    <w:rsid w:val="001D0262"/>
    <w:rsid w:val="001D048C"/>
    <w:rsid w:val="001D0C67"/>
    <w:rsid w:val="001D0EBD"/>
    <w:rsid w:val="001D1021"/>
    <w:rsid w:val="001D11CF"/>
    <w:rsid w:val="001D1382"/>
    <w:rsid w:val="001D1774"/>
    <w:rsid w:val="001D177A"/>
    <w:rsid w:val="001D18E3"/>
    <w:rsid w:val="001D1A09"/>
    <w:rsid w:val="001D1B0F"/>
    <w:rsid w:val="001D1F3C"/>
    <w:rsid w:val="001D2456"/>
    <w:rsid w:val="001D2537"/>
    <w:rsid w:val="001D257F"/>
    <w:rsid w:val="001D28D9"/>
    <w:rsid w:val="001D2B2E"/>
    <w:rsid w:val="001D2BC0"/>
    <w:rsid w:val="001D2C12"/>
    <w:rsid w:val="001D3221"/>
    <w:rsid w:val="001D372C"/>
    <w:rsid w:val="001D3DAC"/>
    <w:rsid w:val="001D457F"/>
    <w:rsid w:val="001D475A"/>
    <w:rsid w:val="001D4C1A"/>
    <w:rsid w:val="001D4D97"/>
    <w:rsid w:val="001D4DDA"/>
    <w:rsid w:val="001D4E93"/>
    <w:rsid w:val="001D53BF"/>
    <w:rsid w:val="001D5BB2"/>
    <w:rsid w:val="001D5D35"/>
    <w:rsid w:val="001D5F43"/>
    <w:rsid w:val="001D607E"/>
    <w:rsid w:val="001D61B9"/>
    <w:rsid w:val="001D63EF"/>
    <w:rsid w:val="001D66CF"/>
    <w:rsid w:val="001D6CB7"/>
    <w:rsid w:val="001D6E4F"/>
    <w:rsid w:val="001D6E86"/>
    <w:rsid w:val="001D6F31"/>
    <w:rsid w:val="001D7052"/>
    <w:rsid w:val="001D7187"/>
    <w:rsid w:val="001D7405"/>
    <w:rsid w:val="001D78B5"/>
    <w:rsid w:val="001D7AA3"/>
    <w:rsid w:val="001D7CCF"/>
    <w:rsid w:val="001E0129"/>
    <w:rsid w:val="001E02F8"/>
    <w:rsid w:val="001E05A5"/>
    <w:rsid w:val="001E0BEC"/>
    <w:rsid w:val="001E10D2"/>
    <w:rsid w:val="001E1207"/>
    <w:rsid w:val="001E160D"/>
    <w:rsid w:val="001E1822"/>
    <w:rsid w:val="001E2387"/>
    <w:rsid w:val="001E2943"/>
    <w:rsid w:val="001E2AA5"/>
    <w:rsid w:val="001E2C0B"/>
    <w:rsid w:val="001E2CD3"/>
    <w:rsid w:val="001E30E9"/>
    <w:rsid w:val="001E3296"/>
    <w:rsid w:val="001E336C"/>
    <w:rsid w:val="001E3561"/>
    <w:rsid w:val="001E413A"/>
    <w:rsid w:val="001E41EC"/>
    <w:rsid w:val="001E455C"/>
    <w:rsid w:val="001E456C"/>
    <w:rsid w:val="001E4698"/>
    <w:rsid w:val="001E4B53"/>
    <w:rsid w:val="001E4B80"/>
    <w:rsid w:val="001E4FD7"/>
    <w:rsid w:val="001E50DD"/>
    <w:rsid w:val="001E5240"/>
    <w:rsid w:val="001E550A"/>
    <w:rsid w:val="001E5948"/>
    <w:rsid w:val="001E5A68"/>
    <w:rsid w:val="001E5FE0"/>
    <w:rsid w:val="001E6132"/>
    <w:rsid w:val="001E68D7"/>
    <w:rsid w:val="001E6C41"/>
    <w:rsid w:val="001E7132"/>
    <w:rsid w:val="001E7726"/>
    <w:rsid w:val="001E7D59"/>
    <w:rsid w:val="001F0016"/>
    <w:rsid w:val="001F019F"/>
    <w:rsid w:val="001F0702"/>
    <w:rsid w:val="001F0AF5"/>
    <w:rsid w:val="001F15B3"/>
    <w:rsid w:val="001F19DC"/>
    <w:rsid w:val="001F22DA"/>
    <w:rsid w:val="001F28D1"/>
    <w:rsid w:val="001F2C7F"/>
    <w:rsid w:val="001F2F6D"/>
    <w:rsid w:val="001F2F72"/>
    <w:rsid w:val="001F33A9"/>
    <w:rsid w:val="001F39EF"/>
    <w:rsid w:val="001F3B1E"/>
    <w:rsid w:val="001F3BEC"/>
    <w:rsid w:val="001F3D34"/>
    <w:rsid w:val="001F3E50"/>
    <w:rsid w:val="001F412A"/>
    <w:rsid w:val="001F445C"/>
    <w:rsid w:val="001F4A1B"/>
    <w:rsid w:val="001F4BCE"/>
    <w:rsid w:val="001F4D64"/>
    <w:rsid w:val="001F4EF2"/>
    <w:rsid w:val="001F518B"/>
    <w:rsid w:val="001F51EE"/>
    <w:rsid w:val="001F5296"/>
    <w:rsid w:val="001F5537"/>
    <w:rsid w:val="001F5615"/>
    <w:rsid w:val="001F56B3"/>
    <w:rsid w:val="001F5838"/>
    <w:rsid w:val="001F5C7B"/>
    <w:rsid w:val="001F6950"/>
    <w:rsid w:val="001F6A79"/>
    <w:rsid w:val="001F6F6D"/>
    <w:rsid w:val="001F7276"/>
    <w:rsid w:val="001F74A3"/>
    <w:rsid w:val="001F7AF1"/>
    <w:rsid w:val="002005EE"/>
    <w:rsid w:val="0020063E"/>
    <w:rsid w:val="00200688"/>
    <w:rsid w:val="002006D6"/>
    <w:rsid w:val="00200A50"/>
    <w:rsid w:val="00200D30"/>
    <w:rsid w:val="002023DB"/>
    <w:rsid w:val="002025F9"/>
    <w:rsid w:val="002029FE"/>
    <w:rsid w:val="00202CBD"/>
    <w:rsid w:val="00202D1C"/>
    <w:rsid w:val="00202E6B"/>
    <w:rsid w:val="002033A3"/>
    <w:rsid w:val="0020341A"/>
    <w:rsid w:val="0020349B"/>
    <w:rsid w:val="00203A06"/>
    <w:rsid w:val="002041CB"/>
    <w:rsid w:val="00204286"/>
    <w:rsid w:val="00204656"/>
    <w:rsid w:val="0020466B"/>
    <w:rsid w:val="00204AC5"/>
    <w:rsid w:val="00204B6A"/>
    <w:rsid w:val="00204BDE"/>
    <w:rsid w:val="00204FCB"/>
    <w:rsid w:val="0020512B"/>
    <w:rsid w:val="00205167"/>
    <w:rsid w:val="00205E60"/>
    <w:rsid w:val="00205FC6"/>
    <w:rsid w:val="00205FD0"/>
    <w:rsid w:val="0020606D"/>
    <w:rsid w:val="002062A9"/>
    <w:rsid w:val="00206418"/>
    <w:rsid w:val="00206721"/>
    <w:rsid w:val="002069D7"/>
    <w:rsid w:val="00206A46"/>
    <w:rsid w:val="00206AF7"/>
    <w:rsid w:val="002072D1"/>
    <w:rsid w:val="0020737D"/>
    <w:rsid w:val="00207670"/>
    <w:rsid w:val="00207AF3"/>
    <w:rsid w:val="002107EF"/>
    <w:rsid w:val="00210FA3"/>
    <w:rsid w:val="0021143A"/>
    <w:rsid w:val="002114AF"/>
    <w:rsid w:val="00211657"/>
    <w:rsid w:val="00211B3F"/>
    <w:rsid w:val="002120AD"/>
    <w:rsid w:val="0021219C"/>
    <w:rsid w:val="002122B0"/>
    <w:rsid w:val="002122F4"/>
    <w:rsid w:val="00212597"/>
    <w:rsid w:val="00212994"/>
    <w:rsid w:val="0021303A"/>
    <w:rsid w:val="00213254"/>
    <w:rsid w:val="0021340E"/>
    <w:rsid w:val="00213621"/>
    <w:rsid w:val="00214570"/>
    <w:rsid w:val="002149AF"/>
    <w:rsid w:val="00214BE3"/>
    <w:rsid w:val="00214C27"/>
    <w:rsid w:val="00214F1E"/>
    <w:rsid w:val="00215031"/>
    <w:rsid w:val="00215733"/>
    <w:rsid w:val="00215A43"/>
    <w:rsid w:val="002160B8"/>
    <w:rsid w:val="00216181"/>
    <w:rsid w:val="00216496"/>
    <w:rsid w:val="00216709"/>
    <w:rsid w:val="00216897"/>
    <w:rsid w:val="00216ABE"/>
    <w:rsid w:val="00216D7A"/>
    <w:rsid w:val="00216E2B"/>
    <w:rsid w:val="00216F6F"/>
    <w:rsid w:val="0021728B"/>
    <w:rsid w:val="002178D1"/>
    <w:rsid w:val="002178FE"/>
    <w:rsid w:val="002179A5"/>
    <w:rsid w:val="00217B8C"/>
    <w:rsid w:val="002202EF"/>
    <w:rsid w:val="00220431"/>
    <w:rsid w:val="00220527"/>
    <w:rsid w:val="00220833"/>
    <w:rsid w:val="00220C39"/>
    <w:rsid w:val="00221251"/>
    <w:rsid w:val="00221367"/>
    <w:rsid w:val="00221F5D"/>
    <w:rsid w:val="002228FE"/>
    <w:rsid w:val="00222B71"/>
    <w:rsid w:val="00222C1C"/>
    <w:rsid w:val="00223074"/>
    <w:rsid w:val="0022351B"/>
    <w:rsid w:val="002236C0"/>
    <w:rsid w:val="002238AE"/>
    <w:rsid w:val="002238EE"/>
    <w:rsid w:val="0022394A"/>
    <w:rsid w:val="00223F5D"/>
    <w:rsid w:val="00224100"/>
    <w:rsid w:val="002245E6"/>
    <w:rsid w:val="0022495D"/>
    <w:rsid w:val="00224B15"/>
    <w:rsid w:val="00224D96"/>
    <w:rsid w:val="00224E2B"/>
    <w:rsid w:val="00224E67"/>
    <w:rsid w:val="00225502"/>
    <w:rsid w:val="0022564A"/>
    <w:rsid w:val="002261C8"/>
    <w:rsid w:val="00226363"/>
    <w:rsid w:val="002267A7"/>
    <w:rsid w:val="002267DB"/>
    <w:rsid w:val="00226906"/>
    <w:rsid w:val="00226BEC"/>
    <w:rsid w:val="00226CC3"/>
    <w:rsid w:val="00226CCD"/>
    <w:rsid w:val="00226D92"/>
    <w:rsid w:val="00227257"/>
    <w:rsid w:val="002272AA"/>
    <w:rsid w:val="002277C3"/>
    <w:rsid w:val="0022788C"/>
    <w:rsid w:val="00227942"/>
    <w:rsid w:val="00227969"/>
    <w:rsid w:val="00227993"/>
    <w:rsid w:val="002279C7"/>
    <w:rsid w:val="00227F97"/>
    <w:rsid w:val="002301CB"/>
    <w:rsid w:val="00230319"/>
    <w:rsid w:val="002304B6"/>
    <w:rsid w:val="00230567"/>
    <w:rsid w:val="002305D1"/>
    <w:rsid w:val="00230A7D"/>
    <w:rsid w:val="00230D0D"/>
    <w:rsid w:val="00230E70"/>
    <w:rsid w:val="00230F54"/>
    <w:rsid w:val="002310B9"/>
    <w:rsid w:val="00231211"/>
    <w:rsid w:val="00231B6D"/>
    <w:rsid w:val="00231BB0"/>
    <w:rsid w:val="00231F59"/>
    <w:rsid w:val="00232912"/>
    <w:rsid w:val="00232E3D"/>
    <w:rsid w:val="00232E56"/>
    <w:rsid w:val="00233088"/>
    <w:rsid w:val="00233369"/>
    <w:rsid w:val="002333EE"/>
    <w:rsid w:val="0023347C"/>
    <w:rsid w:val="002337C9"/>
    <w:rsid w:val="00233841"/>
    <w:rsid w:val="0023384F"/>
    <w:rsid w:val="00233863"/>
    <w:rsid w:val="002339BD"/>
    <w:rsid w:val="00233FB6"/>
    <w:rsid w:val="00234168"/>
    <w:rsid w:val="0023430B"/>
    <w:rsid w:val="00234571"/>
    <w:rsid w:val="002348E9"/>
    <w:rsid w:val="00234D16"/>
    <w:rsid w:val="00234E2C"/>
    <w:rsid w:val="0023524F"/>
    <w:rsid w:val="00235286"/>
    <w:rsid w:val="00235404"/>
    <w:rsid w:val="00235739"/>
    <w:rsid w:val="00235917"/>
    <w:rsid w:val="002359A9"/>
    <w:rsid w:val="00235FE7"/>
    <w:rsid w:val="00236038"/>
    <w:rsid w:val="00236164"/>
    <w:rsid w:val="00236370"/>
    <w:rsid w:val="002364EC"/>
    <w:rsid w:val="0023684A"/>
    <w:rsid w:val="00236976"/>
    <w:rsid w:val="00236A13"/>
    <w:rsid w:val="00236FA1"/>
    <w:rsid w:val="00237117"/>
    <w:rsid w:val="002376D5"/>
    <w:rsid w:val="00237BE8"/>
    <w:rsid w:val="00237F07"/>
    <w:rsid w:val="00237FF0"/>
    <w:rsid w:val="00240454"/>
    <w:rsid w:val="0024060D"/>
    <w:rsid w:val="002407CF"/>
    <w:rsid w:val="00240B4D"/>
    <w:rsid w:val="00240BD8"/>
    <w:rsid w:val="00240E1A"/>
    <w:rsid w:val="00240F8A"/>
    <w:rsid w:val="0024187B"/>
    <w:rsid w:val="00241C59"/>
    <w:rsid w:val="00241F7E"/>
    <w:rsid w:val="002421CC"/>
    <w:rsid w:val="00242808"/>
    <w:rsid w:val="002430B8"/>
    <w:rsid w:val="002432C8"/>
    <w:rsid w:val="00243BBC"/>
    <w:rsid w:val="00243EB7"/>
    <w:rsid w:val="00244029"/>
    <w:rsid w:val="002440B3"/>
    <w:rsid w:val="0024410E"/>
    <w:rsid w:val="00244310"/>
    <w:rsid w:val="0024459D"/>
    <w:rsid w:val="0024463A"/>
    <w:rsid w:val="002448F3"/>
    <w:rsid w:val="00244A76"/>
    <w:rsid w:val="00244D39"/>
    <w:rsid w:val="0024599E"/>
    <w:rsid w:val="00245B67"/>
    <w:rsid w:val="00245CE3"/>
    <w:rsid w:val="00245D80"/>
    <w:rsid w:val="00245E1D"/>
    <w:rsid w:val="00245F0B"/>
    <w:rsid w:val="00246432"/>
    <w:rsid w:val="002464E4"/>
    <w:rsid w:val="00246820"/>
    <w:rsid w:val="00246E0F"/>
    <w:rsid w:val="002474AE"/>
    <w:rsid w:val="002474E7"/>
    <w:rsid w:val="00247714"/>
    <w:rsid w:val="00247AFE"/>
    <w:rsid w:val="00250475"/>
    <w:rsid w:val="002505B2"/>
    <w:rsid w:val="00250D8D"/>
    <w:rsid w:val="00251503"/>
    <w:rsid w:val="00251535"/>
    <w:rsid w:val="00252116"/>
    <w:rsid w:val="002524F6"/>
    <w:rsid w:val="00252B68"/>
    <w:rsid w:val="00252B7B"/>
    <w:rsid w:val="00252C0F"/>
    <w:rsid w:val="00253573"/>
    <w:rsid w:val="0025372C"/>
    <w:rsid w:val="00253953"/>
    <w:rsid w:val="0025411A"/>
    <w:rsid w:val="002541D5"/>
    <w:rsid w:val="00254AB7"/>
    <w:rsid w:val="00254E06"/>
    <w:rsid w:val="00254E33"/>
    <w:rsid w:val="0025512E"/>
    <w:rsid w:val="002551A8"/>
    <w:rsid w:val="00255257"/>
    <w:rsid w:val="0025525C"/>
    <w:rsid w:val="002555A8"/>
    <w:rsid w:val="00255DD8"/>
    <w:rsid w:val="0025625F"/>
    <w:rsid w:val="002563E5"/>
    <w:rsid w:val="00256696"/>
    <w:rsid w:val="0025683A"/>
    <w:rsid w:val="00256921"/>
    <w:rsid w:val="00256D5C"/>
    <w:rsid w:val="002576C6"/>
    <w:rsid w:val="002578F5"/>
    <w:rsid w:val="00257A45"/>
    <w:rsid w:val="00257E6B"/>
    <w:rsid w:val="00260257"/>
    <w:rsid w:val="002603AD"/>
    <w:rsid w:val="002605EE"/>
    <w:rsid w:val="00261ED0"/>
    <w:rsid w:val="00262171"/>
    <w:rsid w:val="002621A6"/>
    <w:rsid w:val="002622B7"/>
    <w:rsid w:val="002628A4"/>
    <w:rsid w:val="00262945"/>
    <w:rsid w:val="00262A81"/>
    <w:rsid w:val="00262BC4"/>
    <w:rsid w:val="00262E57"/>
    <w:rsid w:val="00263189"/>
    <w:rsid w:val="002631A6"/>
    <w:rsid w:val="0026344C"/>
    <w:rsid w:val="0026353C"/>
    <w:rsid w:val="00263DA9"/>
    <w:rsid w:val="00264361"/>
    <w:rsid w:val="00264565"/>
    <w:rsid w:val="002649C7"/>
    <w:rsid w:val="00264AC7"/>
    <w:rsid w:val="00265183"/>
    <w:rsid w:val="0026561F"/>
    <w:rsid w:val="002660D5"/>
    <w:rsid w:val="00266B90"/>
    <w:rsid w:val="00266D98"/>
    <w:rsid w:val="002670EC"/>
    <w:rsid w:val="00267334"/>
    <w:rsid w:val="00267532"/>
    <w:rsid w:val="0026764F"/>
    <w:rsid w:val="002676A5"/>
    <w:rsid w:val="00267FDF"/>
    <w:rsid w:val="002702AB"/>
    <w:rsid w:val="002702F5"/>
    <w:rsid w:val="002705D1"/>
    <w:rsid w:val="00270643"/>
    <w:rsid w:val="002706C2"/>
    <w:rsid w:val="0027094F"/>
    <w:rsid w:val="00270994"/>
    <w:rsid w:val="00270BBF"/>
    <w:rsid w:val="00270EA3"/>
    <w:rsid w:val="00271599"/>
    <w:rsid w:val="002716F0"/>
    <w:rsid w:val="00271905"/>
    <w:rsid w:val="00271A1F"/>
    <w:rsid w:val="00272245"/>
    <w:rsid w:val="0027262C"/>
    <w:rsid w:val="0027263E"/>
    <w:rsid w:val="0027273D"/>
    <w:rsid w:val="00272830"/>
    <w:rsid w:val="00272ABC"/>
    <w:rsid w:val="00272E13"/>
    <w:rsid w:val="00273456"/>
    <w:rsid w:val="002737FD"/>
    <w:rsid w:val="00273DBD"/>
    <w:rsid w:val="00273E0D"/>
    <w:rsid w:val="00274261"/>
    <w:rsid w:val="00274506"/>
    <w:rsid w:val="002746AA"/>
    <w:rsid w:val="00274892"/>
    <w:rsid w:val="00274A89"/>
    <w:rsid w:val="00274D30"/>
    <w:rsid w:val="00275098"/>
    <w:rsid w:val="002759AD"/>
    <w:rsid w:val="00275C39"/>
    <w:rsid w:val="00275E2F"/>
    <w:rsid w:val="002762F3"/>
    <w:rsid w:val="00276676"/>
    <w:rsid w:val="0027691D"/>
    <w:rsid w:val="00276AA8"/>
    <w:rsid w:val="00276BB9"/>
    <w:rsid w:val="00276DE2"/>
    <w:rsid w:val="00277180"/>
    <w:rsid w:val="002771E5"/>
    <w:rsid w:val="002772C4"/>
    <w:rsid w:val="002773CA"/>
    <w:rsid w:val="00277844"/>
    <w:rsid w:val="002779EF"/>
    <w:rsid w:val="00280249"/>
    <w:rsid w:val="00280251"/>
    <w:rsid w:val="00280501"/>
    <w:rsid w:val="0028073C"/>
    <w:rsid w:val="002809E4"/>
    <w:rsid w:val="00280BC1"/>
    <w:rsid w:val="00280C25"/>
    <w:rsid w:val="00280C2A"/>
    <w:rsid w:val="00280F14"/>
    <w:rsid w:val="00281031"/>
    <w:rsid w:val="002819E9"/>
    <w:rsid w:val="00281B2F"/>
    <w:rsid w:val="00281D85"/>
    <w:rsid w:val="00281D9F"/>
    <w:rsid w:val="00281E41"/>
    <w:rsid w:val="00282096"/>
    <w:rsid w:val="0028262B"/>
    <w:rsid w:val="0028289A"/>
    <w:rsid w:val="00282D87"/>
    <w:rsid w:val="00282D97"/>
    <w:rsid w:val="002830EC"/>
    <w:rsid w:val="0028312E"/>
    <w:rsid w:val="0028327D"/>
    <w:rsid w:val="0028359C"/>
    <w:rsid w:val="002837A7"/>
    <w:rsid w:val="00283DF2"/>
    <w:rsid w:val="00283E69"/>
    <w:rsid w:val="00284314"/>
    <w:rsid w:val="0028437A"/>
    <w:rsid w:val="00284866"/>
    <w:rsid w:val="00284C32"/>
    <w:rsid w:val="00284DB5"/>
    <w:rsid w:val="00284E64"/>
    <w:rsid w:val="0028509D"/>
    <w:rsid w:val="0028593F"/>
    <w:rsid w:val="00285C42"/>
    <w:rsid w:val="00285C60"/>
    <w:rsid w:val="00285E5F"/>
    <w:rsid w:val="00285F7B"/>
    <w:rsid w:val="00286184"/>
    <w:rsid w:val="00286338"/>
    <w:rsid w:val="00286611"/>
    <w:rsid w:val="00286660"/>
    <w:rsid w:val="00286EC1"/>
    <w:rsid w:val="002870C5"/>
    <w:rsid w:val="002876A6"/>
    <w:rsid w:val="00287ACD"/>
    <w:rsid w:val="0029002B"/>
    <w:rsid w:val="00290123"/>
    <w:rsid w:val="002904B5"/>
    <w:rsid w:val="00290920"/>
    <w:rsid w:val="0029114D"/>
    <w:rsid w:val="00291171"/>
    <w:rsid w:val="002915F5"/>
    <w:rsid w:val="0029184B"/>
    <w:rsid w:val="00292114"/>
    <w:rsid w:val="002923AB"/>
    <w:rsid w:val="002925CF"/>
    <w:rsid w:val="00292BFC"/>
    <w:rsid w:val="00292C6D"/>
    <w:rsid w:val="002932DF"/>
    <w:rsid w:val="00293A1A"/>
    <w:rsid w:val="00293DC3"/>
    <w:rsid w:val="002942D3"/>
    <w:rsid w:val="0029448A"/>
    <w:rsid w:val="00294760"/>
    <w:rsid w:val="00294B58"/>
    <w:rsid w:val="00294F91"/>
    <w:rsid w:val="002956FA"/>
    <w:rsid w:val="00295814"/>
    <w:rsid w:val="0029594A"/>
    <w:rsid w:val="00295EDD"/>
    <w:rsid w:val="00296142"/>
    <w:rsid w:val="002965A1"/>
    <w:rsid w:val="0029697C"/>
    <w:rsid w:val="00296EA8"/>
    <w:rsid w:val="00296FDE"/>
    <w:rsid w:val="002973A2"/>
    <w:rsid w:val="00297441"/>
    <w:rsid w:val="00297A54"/>
    <w:rsid w:val="00297ABD"/>
    <w:rsid w:val="00297B69"/>
    <w:rsid w:val="00297C5F"/>
    <w:rsid w:val="002A078C"/>
    <w:rsid w:val="002A09F4"/>
    <w:rsid w:val="002A0AFB"/>
    <w:rsid w:val="002A0C94"/>
    <w:rsid w:val="002A26E8"/>
    <w:rsid w:val="002A2C44"/>
    <w:rsid w:val="002A351F"/>
    <w:rsid w:val="002A352F"/>
    <w:rsid w:val="002A35AA"/>
    <w:rsid w:val="002A3799"/>
    <w:rsid w:val="002A3BB1"/>
    <w:rsid w:val="002A3E71"/>
    <w:rsid w:val="002A3EB2"/>
    <w:rsid w:val="002A4174"/>
    <w:rsid w:val="002A4D1E"/>
    <w:rsid w:val="002A4F3C"/>
    <w:rsid w:val="002A5278"/>
    <w:rsid w:val="002A52D1"/>
    <w:rsid w:val="002A531F"/>
    <w:rsid w:val="002A552A"/>
    <w:rsid w:val="002A5582"/>
    <w:rsid w:val="002A560F"/>
    <w:rsid w:val="002A5A0B"/>
    <w:rsid w:val="002A5EDF"/>
    <w:rsid w:val="002A5F2B"/>
    <w:rsid w:val="002A5F3D"/>
    <w:rsid w:val="002A6072"/>
    <w:rsid w:val="002A614E"/>
    <w:rsid w:val="002A63BE"/>
    <w:rsid w:val="002A6618"/>
    <w:rsid w:val="002A6623"/>
    <w:rsid w:val="002A68A3"/>
    <w:rsid w:val="002A6BB2"/>
    <w:rsid w:val="002A6D69"/>
    <w:rsid w:val="002A6DF6"/>
    <w:rsid w:val="002A6F70"/>
    <w:rsid w:val="002A706A"/>
    <w:rsid w:val="002A7626"/>
    <w:rsid w:val="002A7781"/>
    <w:rsid w:val="002A7B1B"/>
    <w:rsid w:val="002A7EFA"/>
    <w:rsid w:val="002B0328"/>
    <w:rsid w:val="002B0356"/>
    <w:rsid w:val="002B0777"/>
    <w:rsid w:val="002B07DB"/>
    <w:rsid w:val="002B0874"/>
    <w:rsid w:val="002B10BC"/>
    <w:rsid w:val="002B1371"/>
    <w:rsid w:val="002B154F"/>
    <w:rsid w:val="002B159E"/>
    <w:rsid w:val="002B1B33"/>
    <w:rsid w:val="002B1B94"/>
    <w:rsid w:val="002B1BC7"/>
    <w:rsid w:val="002B1EE8"/>
    <w:rsid w:val="002B1F6E"/>
    <w:rsid w:val="002B2424"/>
    <w:rsid w:val="002B281D"/>
    <w:rsid w:val="002B2BF8"/>
    <w:rsid w:val="002B2D09"/>
    <w:rsid w:val="002B2D7C"/>
    <w:rsid w:val="002B2DC6"/>
    <w:rsid w:val="002B2FAD"/>
    <w:rsid w:val="002B39E8"/>
    <w:rsid w:val="002B3ECB"/>
    <w:rsid w:val="002B4437"/>
    <w:rsid w:val="002B48E4"/>
    <w:rsid w:val="002B4A96"/>
    <w:rsid w:val="002B4D6F"/>
    <w:rsid w:val="002B4E84"/>
    <w:rsid w:val="002B52D4"/>
    <w:rsid w:val="002B55A4"/>
    <w:rsid w:val="002B56DD"/>
    <w:rsid w:val="002B58DA"/>
    <w:rsid w:val="002B5BD8"/>
    <w:rsid w:val="002B5DBD"/>
    <w:rsid w:val="002B5F4B"/>
    <w:rsid w:val="002B61AD"/>
    <w:rsid w:val="002B6237"/>
    <w:rsid w:val="002B65A4"/>
    <w:rsid w:val="002B6847"/>
    <w:rsid w:val="002B6D3D"/>
    <w:rsid w:val="002B7337"/>
    <w:rsid w:val="002B745B"/>
    <w:rsid w:val="002B774B"/>
    <w:rsid w:val="002B7775"/>
    <w:rsid w:val="002B7B90"/>
    <w:rsid w:val="002B7D18"/>
    <w:rsid w:val="002C0205"/>
    <w:rsid w:val="002C0347"/>
    <w:rsid w:val="002C0494"/>
    <w:rsid w:val="002C0780"/>
    <w:rsid w:val="002C0CD4"/>
    <w:rsid w:val="002C11D8"/>
    <w:rsid w:val="002C1648"/>
    <w:rsid w:val="002C1877"/>
    <w:rsid w:val="002C1E14"/>
    <w:rsid w:val="002C207D"/>
    <w:rsid w:val="002C2336"/>
    <w:rsid w:val="002C2574"/>
    <w:rsid w:val="002C35EB"/>
    <w:rsid w:val="002C374B"/>
    <w:rsid w:val="002C39A1"/>
    <w:rsid w:val="002C39BC"/>
    <w:rsid w:val="002C459C"/>
    <w:rsid w:val="002C45AD"/>
    <w:rsid w:val="002C4627"/>
    <w:rsid w:val="002C4BD2"/>
    <w:rsid w:val="002C4DFF"/>
    <w:rsid w:val="002C50F0"/>
    <w:rsid w:val="002C51BA"/>
    <w:rsid w:val="002C5B4E"/>
    <w:rsid w:val="002C6223"/>
    <w:rsid w:val="002C6446"/>
    <w:rsid w:val="002C64CA"/>
    <w:rsid w:val="002C64DA"/>
    <w:rsid w:val="002C6AF8"/>
    <w:rsid w:val="002C6B1D"/>
    <w:rsid w:val="002C6DA5"/>
    <w:rsid w:val="002C7388"/>
    <w:rsid w:val="002C73B4"/>
    <w:rsid w:val="002C74EF"/>
    <w:rsid w:val="002C77DA"/>
    <w:rsid w:val="002C7983"/>
    <w:rsid w:val="002C7A62"/>
    <w:rsid w:val="002C7BB0"/>
    <w:rsid w:val="002C7C14"/>
    <w:rsid w:val="002C7C48"/>
    <w:rsid w:val="002C7F59"/>
    <w:rsid w:val="002D01B1"/>
    <w:rsid w:val="002D0672"/>
    <w:rsid w:val="002D0C97"/>
    <w:rsid w:val="002D0DB6"/>
    <w:rsid w:val="002D121A"/>
    <w:rsid w:val="002D1E35"/>
    <w:rsid w:val="002D23A0"/>
    <w:rsid w:val="002D2A7B"/>
    <w:rsid w:val="002D2B6D"/>
    <w:rsid w:val="002D319D"/>
    <w:rsid w:val="002D321B"/>
    <w:rsid w:val="002D330A"/>
    <w:rsid w:val="002D344A"/>
    <w:rsid w:val="002D344D"/>
    <w:rsid w:val="002D371A"/>
    <w:rsid w:val="002D3B2C"/>
    <w:rsid w:val="002D3CFC"/>
    <w:rsid w:val="002D3F2B"/>
    <w:rsid w:val="002D4405"/>
    <w:rsid w:val="002D4A2A"/>
    <w:rsid w:val="002D4C17"/>
    <w:rsid w:val="002D4F87"/>
    <w:rsid w:val="002D50D5"/>
    <w:rsid w:val="002D519D"/>
    <w:rsid w:val="002D5AF7"/>
    <w:rsid w:val="002D5D12"/>
    <w:rsid w:val="002D5E36"/>
    <w:rsid w:val="002D5F72"/>
    <w:rsid w:val="002D63F8"/>
    <w:rsid w:val="002D6608"/>
    <w:rsid w:val="002D669C"/>
    <w:rsid w:val="002D66A7"/>
    <w:rsid w:val="002D674B"/>
    <w:rsid w:val="002D6D53"/>
    <w:rsid w:val="002D6FA1"/>
    <w:rsid w:val="002D704B"/>
    <w:rsid w:val="002D704F"/>
    <w:rsid w:val="002D7AEC"/>
    <w:rsid w:val="002D7AF6"/>
    <w:rsid w:val="002E0082"/>
    <w:rsid w:val="002E00CA"/>
    <w:rsid w:val="002E02D5"/>
    <w:rsid w:val="002E079F"/>
    <w:rsid w:val="002E0E6B"/>
    <w:rsid w:val="002E1069"/>
    <w:rsid w:val="002E162E"/>
    <w:rsid w:val="002E1651"/>
    <w:rsid w:val="002E1812"/>
    <w:rsid w:val="002E1D00"/>
    <w:rsid w:val="002E20EA"/>
    <w:rsid w:val="002E2988"/>
    <w:rsid w:val="002E3176"/>
    <w:rsid w:val="002E3672"/>
    <w:rsid w:val="002E39D5"/>
    <w:rsid w:val="002E3A2E"/>
    <w:rsid w:val="002E3B5C"/>
    <w:rsid w:val="002E3C91"/>
    <w:rsid w:val="002E3DC1"/>
    <w:rsid w:val="002E3ECE"/>
    <w:rsid w:val="002E4145"/>
    <w:rsid w:val="002E41A1"/>
    <w:rsid w:val="002E44FD"/>
    <w:rsid w:val="002E467A"/>
    <w:rsid w:val="002E47D2"/>
    <w:rsid w:val="002E49BB"/>
    <w:rsid w:val="002E4DA2"/>
    <w:rsid w:val="002E4DB6"/>
    <w:rsid w:val="002E57C6"/>
    <w:rsid w:val="002E5951"/>
    <w:rsid w:val="002E59CC"/>
    <w:rsid w:val="002E5B32"/>
    <w:rsid w:val="002E5C9A"/>
    <w:rsid w:val="002E5D83"/>
    <w:rsid w:val="002E61A4"/>
    <w:rsid w:val="002E62DE"/>
    <w:rsid w:val="002E6692"/>
    <w:rsid w:val="002E6CE0"/>
    <w:rsid w:val="002E6F34"/>
    <w:rsid w:val="002E6F8F"/>
    <w:rsid w:val="002E707B"/>
    <w:rsid w:val="002E7223"/>
    <w:rsid w:val="002E72AE"/>
    <w:rsid w:val="002E75AF"/>
    <w:rsid w:val="002E772C"/>
    <w:rsid w:val="002E7890"/>
    <w:rsid w:val="002E7BDD"/>
    <w:rsid w:val="002E7C15"/>
    <w:rsid w:val="002E7CDA"/>
    <w:rsid w:val="002E7CE5"/>
    <w:rsid w:val="002F076E"/>
    <w:rsid w:val="002F07C5"/>
    <w:rsid w:val="002F0D9C"/>
    <w:rsid w:val="002F1011"/>
    <w:rsid w:val="002F12E9"/>
    <w:rsid w:val="002F13C0"/>
    <w:rsid w:val="002F16AB"/>
    <w:rsid w:val="002F18CA"/>
    <w:rsid w:val="002F1B89"/>
    <w:rsid w:val="002F1C34"/>
    <w:rsid w:val="002F216B"/>
    <w:rsid w:val="002F2590"/>
    <w:rsid w:val="002F26B6"/>
    <w:rsid w:val="002F2736"/>
    <w:rsid w:val="002F2964"/>
    <w:rsid w:val="002F2DBD"/>
    <w:rsid w:val="002F36EE"/>
    <w:rsid w:val="002F3755"/>
    <w:rsid w:val="002F39CC"/>
    <w:rsid w:val="002F3A43"/>
    <w:rsid w:val="002F3A75"/>
    <w:rsid w:val="002F3DA5"/>
    <w:rsid w:val="002F44A4"/>
    <w:rsid w:val="002F4701"/>
    <w:rsid w:val="002F4976"/>
    <w:rsid w:val="002F49E0"/>
    <w:rsid w:val="002F5889"/>
    <w:rsid w:val="002F5BB4"/>
    <w:rsid w:val="002F6161"/>
    <w:rsid w:val="002F6667"/>
    <w:rsid w:val="002F699F"/>
    <w:rsid w:val="002F71E4"/>
    <w:rsid w:val="002F7218"/>
    <w:rsid w:val="002F728D"/>
    <w:rsid w:val="002F78C8"/>
    <w:rsid w:val="002F7DC5"/>
    <w:rsid w:val="002F7E3C"/>
    <w:rsid w:val="0030004A"/>
    <w:rsid w:val="00300A4B"/>
    <w:rsid w:val="00300AE6"/>
    <w:rsid w:val="00300C0A"/>
    <w:rsid w:val="00300F8B"/>
    <w:rsid w:val="00301EFA"/>
    <w:rsid w:val="003028CF"/>
    <w:rsid w:val="0030296E"/>
    <w:rsid w:val="00302B25"/>
    <w:rsid w:val="0030308C"/>
    <w:rsid w:val="00303AC9"/>
    <w:rsid w:val="00303F33"/>
    <w:rsid w:val="0030438E"/>
    <w:rsid w:val="0030467D"/>
    <w:rsid w:val="00304809"/>
    <w:rsid w:val="0030498B"/>
    <w:rsid w:val="00304F7D"/>
    <w:rsid w:val="00305108"/>
    <w:rsid w:val="00305263"/>
    <w:rsid w:val="00305453"/>
    <w:rsid w:val="003058BF"/>
    <w:rsid w:val="00305EC5"/>
    <w:rsid w:val="0030627B"/>
    <w:rsid w:val="003062A8"/>
    <w:rsid w:val="00306A09"/>
    <w:rsid w:val="00306C2D"/>
    <w:rsid w:val="00306FD1"/>
    <w:rsid w:val="00307659"/>
    <w:rsid w:val="00307C6B"/>
    <w:rsid w:val="00307F67"/>
    <w:rsid w:val="003102D3"/>
    <w:rsid w:val="003105BD"/>
    <w:rsid w:val="00310638"/>
    <w:rsid w:val="0031084F"/>
    <w:rsid w:val="00310F50"/>
    <w:rsid w:val="00310F68"/>
    <w:rsid w:val="0031158C"/>
    <w:rsid w:val="00311730"/>
    <w:rsid w:val="003121F9"/>
    <w:rsid w:val="00312352"/>
    <w:rsid w:val="00312747"/>
    <w:rsid w:val="00312866"/>
    <w:rsid w:val="00312D0C"/>
    <w:rsid w:val="00313135"/>
    <w:rsid w:val="003131BF"/>
    <w:rsid w:val="003133AD"/>
    <w:rsid w:val="00314397"/>
    <w:rsid w:val="003145DA"/>
    <w:rsid w:val="00314B9F"/>
    <w:rsid w:val="00314C68"/>
    <w:rsid w:val="0031570C"/>
    <w:rsid w:val="00315812"/>
    <w:rsid w:val="00315A72"/>
    <w:rsid w:val="00315A9F"/>
    <w:rsid w:val="00315EB2"/>
    <w:rsid w:val="00315F73"/>
    <w:rsid w:val="00316052"/>
    <w:rsid w:val="003161ED"/>
    <w:rsid w:val="0031623D"/>
    <w:rsid w:val="003162EE"/>
    <w:rsid w:val="00316421"/>
    <w:rsid w:val="00316607"/>
    <w:rsid w:val="003168D0"/>
    <w:rsid w:val="00317142"/>
    <w:rsid w:val="003172E8"/>
    <w:rsid w:val="00317587"/>
    <w:rsid w:val="0031779E"/>
    <w:rsid w:val="00317860"/>
    <w:rsid w:val="003178B2"/>
    <w:rsid w:val="00317BA8"/>
    <w:rsid w:val="003205E0"/>
    <w:rsid w:val="0032067D"/>
    <w:rsid w:val="00320988"/>
    <w:rsid w:val="00320D92"/>
    <w:rsid w:val="0032170B"/>
    <w:rsid w:val="00321890"/>
    <w:rsid w:val="00321A29"/>
    <w:rsid w:val="00321B43"/>
    <w:rsid w:val="00321C8F"/>
    <w:rsid w:val="003221D6"/>
    <w:rsid w:val="003221DF"/>
    <w:rsid w:val="00323077"/>
    <w:rsid w:val="003235B5"/>
    <w:rsid w:val="003237FE"/>
    <w:rsid w:val="00323828"/>
    <w:rsid w:val="003238DD"/>
    <w:rsid w:val="00323A13"/>
    <w:rsid w:val="00323E28"/>
    <w:rsid w:val="0032410C"/>
    <w:rsid w:val="003241F4"/>
    <w:rsid w:val="003245BA"/>
    <w:rsid w:val="003245BD"/>
    <w:rsid w:val="0032461D"/>
    <w:rsid w:val="003247C9"/>
    <w:rsid w:val="003250E4"/>
    <w:rsid w:val="003251F0"/>
    <w:rsid w:val="003252EA"/>
    <w:rsid w:val="003254C0"/>
    <w:rsid w:val="00325D59"/>
    <w:rsid w:val="00325F26"/>
    <w:rsid w:val="00326329"/>
    <w:rsid w:val="00326872"/>
    <w:rsid w:val="003268A5"/>
    <w:rsid w:val="00326AC5"/>
    <w:rsid w:val="00326E0E"/>
    <w:rsid w:val="00326F63"/>
    <w:rsid w:val="00327183"/>
    <w:rsid w:val="00327287"/>
    <w:rsid w:val="00327A4F"/>
    <w:rsid w:val="003301A3"/>
    <w:rsid w:val="00330533"/>
    <w:rsid w:val="00330B25"/>
    <w:rsid w:val="00330F43"/>
    <w:rsid w:val="00331161"/>
    <w:rsid w:val="0033162A"/>
    <w:rsid w:val="00331644"/>
    <w:rsid w:val="00331648"/>
    <w:rsid w:val="00331981"/>
    <w:rsid w:val="00331AF5"/>
    <w:rsid w:val="0033212B"/>
    <w:rsid w:val="003321E0"/>
    <w:rsid w:val="003327C7"/>
    <w:rsid w:val="00332A79"/>
    <w:rsid w:val="00333365"/>
    <w:rsid w:val="0033367C"/>
    <w:rsid w:val="00333763"/>
    <w:rsid w:val="00333966"/>
    <w:rsid w:val="00333D05"/>
    <w:rsid w:val="00333D39"/>
    <w:rsid w:val="003341BE"/>
    <w:rsid w:val="003342FF"/>
    <w:rsid w:val="003343BF"/>
    <w:rsid w:val="003344AD"/>
    <w:rsid w:val="00334BD1"/>
    <w:rsid w:val="0033512B"/>
    <w:rsid w:val="00335554"/>
    <w:rsid w:val="00335759"/>
    <w:rsid w:val="00335863"/>
    <w:rsid w:val="00335C56"/>
    <w:rsid w:val="00335CFE"/>
    <w:rsid w:val="00335D4B"/>
    <w:rsid w:val="00335EED"/>
    <w:rsid w:val="0033614B"/>
    <w:rsid w:val="003361B4"/>
    <w:rsid w:val="00336487"/>
    <w:rsid w:val="003368E6"/>
    <w:rsid w:val="00336A0D"/>
    <w:rsid w:val="00336A36"/>
    <w:rsid w:val="00336A9D"/>
    <w:rsid w:val="003373BB"/>
    <w:rsid w:val="003378AC"/>
    <w:rsid w:val="003378F6"/>
    <w:rsid w:val="00337FD4"/>
    <w:rsid w:val="0034007E"/>
    <w:rsid w:val="0034031E"/>
    <w:rsid w:val="003403A4"/>
    <w:rsid w:val="0034083C"/>
    <w:rsid w:val="003410E0"/>
    <w:rsid w:val="003414DF"/>
    <w:rsid w:val="00341A88"/>
    <w:rsid w:val="00341B95"/>
    <w:rsid w:val="0034202B"/>
    <w:rsid w:val="003423AE"/>
    <w:rsid w:val="003424A8"/>
    <w:rsid w:val="0034263D"/>
    <w:rsid w:val="00342A21"/>
    <w:rsid w:val="00342C1A"/>
    <w:rsid w:val="00342F20"/>
    <w:rsid w:val="00343328"/>
    <w:rsid w:val="00343970"/>
    <w:rsid w:val="00343B29"/>
    <w:rsid w:val="00343B36"/>
    <w:rsid w:val="00343D30"/>
    <w:rsid w:val="00343D5F"/>
    <w:rsid w:val="00343E2E"/>
    <w:rsid w:val="00343EDC"/>
    <w:rsid w:val="003446B6"/>
    <w:rsid w:val="003448FF"/>
    <w:rsid w:val="00344C85"/>
    <w:rsid w:val="00344D05"/>
    <w:rsid w:val="00344E28"/>
    <w:rsid w:val="00344FC5"/>
    <w:rsid w:val="0034517A"/>
    <w:rsid w:val="00345693"/>
    <w:rsid w:val="003456CC"/>
    <w:rsid w:val="003457FF"/>
    <w:rsid w:val="00345FEC"/>
    <w:rsid w:val="0034606D"/>
    <w:rsid w:val="003465F0"/>
    <w:rsid w:val="00346AE7"/>
    <w:rsid w:val="00346B26"/>
    <w:rsid w:val="00346BD8"/>
    <w:rsid w:val="00346E0A"/>
    <w:rsid w:val="00346F2E"/>
    <w:rsid w:val="00346F95"/>
    <w:rsid w:val="003474D0"/>
    <w:rsid w:val="00347751"/>
    <w:rsid w:val="003479DA"/>
    <w:rsid w:val="00347C23"/>
    <w:rsid w:val="00347D3E"/>
    <w:rsid w:val="00350209"/>
    <w:rsid w:val="00350279"/>
    <w:rsid w:val="003502E3"/>
    <w:rsid w:val="00350331"/>
    <w:rsid w:val="00350383"/>
    <w:rsid w:val="00350467"/>
    <w:rsid w:val="0035081A"/>
    <w:rsid w:val="00350B90"/>
    <w:rsid w:val="00350D3B"/>
    <w:rsid w:val="00350E50"/>
    <w:rsid w:val="00350EC0"/>
    <w:rsid w:val="00350F93"/>
    <w:rsid w:val="00351000"/>
    <w:rsid w:val="00351736"/>
    <w:rsid w:val="00351746"/>
    <w:rsid w:val="00351DF7"/>
    <w:rsid w:val="00351DFC"/>
    <w:rsid w:val="00352083"/>
    <w:rsid w:val="003521F7"/>
    <w:rsid w:val="0035249F"/>
    <w:rsid w:val="003526C1"/>
    <w:rsid w:val="0035280B"/>
    <w:rsid w:val="00352828"/>
    <w:rsid w:val="00352886"/>
    <w:rsid w:val="00352BA4"/>
    <w:rsid w:val="00352E43"/>
    <w:rsid w:val="0035313F"/>
    <w:rsid w:val="00353147"/>
    <w:rsid w:val="003536FA"/>
    <w:rsid w:val="0035391C"/>
    <w:rsid w:val="00353A81"/>
    <w:rsid w:val="00353B9F"/>
    <w:rsid w:val="0035422F"/>
    <w:rsid w:val="0035426A"/>
    <w:rsid w:val="00354B19"/>
    <w:rsid w:val="003550A9"/>
    <w:rsid w:val="003553CA"/>
    <w:rsid w:val="003556FA"/>
    <w:rsid w:val="00355E1D"/>
    <w:rsid w:val="00356142"/>
    <w:rsid w:val="003562B0"/>
    <w:rsid w:val="003565C2"/>
    <w:rsid w:val="00357140"/>
    <w:rsid w:val="00357D04"/>
    <w:rsid w:val="00357EB6"/>
    <w:rsid w:val="00357F33"/>
    <w:rsid w:val="00357FCD"/>
    <w:rsid w:val="00360691"/>
    <w:rsid w:val="00360780"/>
    <w:rsid w:val="00360871"/>
    <w:rsid w:val="00360D52"/>
    <w:rsid w:val="00360DBA"/>
    <w:rsid w:val="00361B2B"/>
    <w:rsid w:val="00361EDB"/>
    <w:rsid w:val="00362102"/>
    <w:rsid w:val="00362912"/>
    <w:rsid w:val="0036294B"/>
    <w:rsid w:val="00362B2F"/>
    <w:rsid w:val="00362C81"/>
    <w:rsid w:val="00363064"/>
    <w:rsid w:val="00363657"/>
    <w:rsid w:val="003639FF"/>
    <w:rsid w:val="00363A0D"/>
    <w:rsid w:val="00364435"/>
    <w:rsid w:val="003647A5"/>
    <w:rsid w:val="00364918"/>
    <w:rsid w:val="0036492D"/>
    <w:rsid w:val="00364991"/>
    <w:rsid w:val="00364A07"/>
    <w:rsid w:val="00364B30"/>
    <w:rsid w:val="00364CFD"/>
    <w:rsid w:val="00364F26"/>
    <w:rsid w:val="003651FB"/>
    <w:rsid w:val="00365524"/>
    <w:rsid w:val="00365942"/>
    <w:rsid w:val="00365A33"/>
    <w:rsid w:val="00365A54"/>
    <w:rsid w:val="00365C4D"/>
    <w:rsid w:val="0036656B"/>
    <w:rsid w:val="0036684D"/>
    <w:rsid w:val="003668E3"/>
    <w:rsid w:val="00366A70"/>
    <w:rsid w:val="00366BC9"/>
    <w:rsid w:val="00366C62"/>
    <w:rsid w:val="00367439"/>
    <w:rsid w:val="003675A3"/>
    <w:rsid w:val="00367791"/>
    <w:rsid w:val="00367F73"/>
    <w:rsid w:val="00367FBD"/>
    <w:rsid w:val="003704E0"/>
    <w:rsid w:val="003706CF"/>
    <w:rsid w:val="00370EB6"/>
    <w:rsid w:val="00371181"/>
    <w:rsid w:val="00371A86"/>
    <w:rsid w:val="00371C0F"/>
    <w:rsid w:val="00371D47"/>
    <w:rsid w:val="00372462"/>
    <w:rsid w:val="003726A0"/>
    <w:rsid w:val="003729D1"/>
    <w:rsid w:val="00372FB2"/>
    <w:rsid w:val="00373121"/>
    <w:rsid w:val="00373692"/>
    <w:rsid w:val="003737C4"/>
    <w:rsid w:val="00373F51"/>
    <w:rsid w:val="00373F84"/>
    <w:rsid w:val="00374055"/>
    <w:rsid w:val="00374536"/>
    <w:rsid w:val="003745DA"/>
    <w:rsid w:val="003746C7"/>
    <w:rsid w:val="00374A70"/>
    <w:rsid w:val="00374AD1"/>
    <w:rsid w:val="00374B41"/>
    <w:rsid w:val="00374C13"/>
    <w:rsid w:val="00374EB3"/>
    <w:rsid w:val="003751BA"/>
    <w:rsid w:val="00375296"/>
    <w:rsid w:val="0037533D"/>
    <w:rsid w:val="003753FC"/>
    <w:rsid w:val="00375659"/>
    <w:rsid w:val="00375841"/>
    <w:rsid w:val="00375ACD"/>
    <w:rsid w:val="00375D15"/>
    <w:rsid w:val="00376076"/>
    <w:rsid w:val="00376526"/>
    <w:rsid w:val="003768DE"/>
    <w:rsid w:val="00376982"/>
    <w:rsid w:val="00376FD3"/>
    <w:rsid w:val="0037716E"/>
    <w:rsid w:val="00377756"/>
    <w:rsid w:val="00377ADE"/>
    <w:rsid w:val="00377CAC"/>
    <w:rsid w:val="0038002D"/>
    <w:rsid w:val="003801BA"/>
    <w:rsid w:val="00380370"/>
    <w:rsid w:val="003805F7"/>
    <w:rsid w:val="003806FB"/>
    <w:rsid w:val="003807EC"/>
    <w:rsid w:val="00380985"/>
    <w:rsid w:val="00380CA6"/>
    <w:rsid w:val="00381291"/>
    <w:rsid w:val="00381389"/>
    <w:rsid w:val="00381ABA"/>
    <w:rsid w:val="00381BBC"/>
    <w:rsid w:val="00381BF8"/>
    <w:rsid w:val="00381D3F"/>
    <w:rsid w:val="00382604"/>
    <w:rsid w:val="0038263B"/>
    <w:rsid w:val="00382F26"/>
    <w:rsid w:val="00382FA7"/>
    <w:rsid w:val="00383025"/>
    <w:rsid w:val="00383238"/>
    <w:rsid w:val="00383345"/>
    <w:rsid w:val="00383C1D"/>
    <w:rsid w:val="00383CEA"/>
    <w:rsid w:val="003841EE"/>
    <w:rsid w:val="0038422B"/>
    <w:rsid w:val="0038459C"/>
    <w:rsid w:val="003849CE"/>
    <w:rsid w:val="003850AD"/>
    <w:rsid w:val="00385263"/>
    <w:rsid w:val="00385A81"/>
    <w:rsid w:val="00385D4F"/>
    <w:rsid w:val="00385E6A"/>
    <w:rsid w:val="003861DD"/>
    <w:rsid w:val="0038640B"/>
    <w:rsid w:val="003864F5"/>
    <w:rsid w:val="0038674D"/>
    <w:rsid w:val="003868CD"/>
    <w:rsid w:val="00386AB6"/>
    <w:rsid w:val="00386B78"/>
    <w:rsid w:val="00387386"/>
    <w:rsid w:val="003879BE"/>
    <w:rsid w:val="003879C7"/>
    <w:rsid w:val="00387B02"/>
    <w:rsid w:val="00387B14"/>
    <w:rsid w:val="00387E5A"/>
    <w:rsid w:val="00390206"/>
    <w:rsid w:val="00390371"/>
    <w:rsid w:val="00390817"/>
    <w:rsid w:val="003914E3"/>
    <w:rsid w:val="0039180E"/>
    <w:rsid w:val="003919AD"/>
    <w:rsid w:val="00391CD3"/>
    <w:rsid w:val="00391CE2"/>
    <w:rsid w:val="00391D89"/>
    <w:rsid w:val="00391EBD"/>
    <w:rsid w:val="00391FE2"/>
    <w:rsid w:val="0039203A"/>
    <w:rsid w:val="0039229B"/>
    <w:rsid w:val="00392305"/>
    <w:rsid w:val="00392368"/>
    <w:rsid w:val="00392945"/>
    <w:rsid w:val="00392BB1"/>
    <w:rsid w:val="00392D1C"/>
    <w:rsid w:val="00392EFA"/>
    <w:rsid w:val="00393099"/>
    <w:rsid w:val="00393724"/>
    <w:rsid w:val="00393A09"/>
    <w:rsid w:val="00393DEB"/>
    <w:rsid w:val="00394666"/>
    <w:rsid w:val="00394714"/>
    <w:rsid w:val="00394993"/>
    <w:rsid w:val="00394B3A"/>
    <w:rsid w:val="00394DC3"/>
    <w:rsid w:val="00394F91"/>
    <w:rsid w:val="00394FF3"/>
    <w:rsid w:val="00395130"/>
    <w:rsid w:val="003955D8"/>
    <w:rsid w:val="003957CA"/>
    <w:rsid w:val="00395A00"/>
    <w:rsid w:val="00395C0E"/>
    <w:rsid w:val="00396683"/>
    <w:rsid w:val="003967EE"/>
    <w:rsid w:val="00396C5D"/>
    <w:rsid w:val="00396E38"/>
    <w:rsid w:val="00396ECD"/>
    <w:rsid w:val="00396FDE"/>
    <w:rsid w:val="00397373"/>
    <w:rsid w:val="0039797B"/>
    <w:rsid w:val="00397B36"/>
    <w:rsid w:val="00397BFB"/>
    <w:rsid w:val="00397DEB"/>
    <w:rsid w:val="003A0B76"/>
    <w:rsid w:val="003A111B"/>
    <w:rsid w:val="003A12F9"/>
    <w:rsid w:val="003A174F"/>
    <w:rsid w:val="003A1B60"/>
    <w:rsid w:val="003A1D9D"/>
    <w:rsid w:val="003A2242"/>
    <w:rsid w:val="003A2817"/>
    <w:rsid w:val="003A2B52"/>
    <w:rsid w:val="003A3353"/>
    <w:rsid w:val="003A33E2"/>
    <w:rsid w:val="003A38DF"/>
    <w:rsid w:val="003A3923"/>
    <w:rsid w:val="003A3AB5"/>
    <w:rsid w:val="003A3DD0"/>
    <w:rsid w:val="003A423C"/>
    <w:rsid w:val="003A4287"/>
    <w:rsid w:val="003A4393"/>
    <w:rsid w:val="003A447A"/>
    <w:rsid w:val="003A48F0"/>
    <w:rsid w:val="003A4AE6"/>
    <w:rsid w:val="003A4EF4"/>
    <w:rsid w:val="003A5214"/>
    <w:rsid w:val="003A52C0"/>
    <w:rsid w:val="003A56C1"/>
    <w:rsid w:val="003A574D"/>
    <w:rsid w:val="003A57A4"/>
    <w:rsid w:val="003A5A21"/>
    <w:rsid w:val="003A5FC9"/>
    <w:rsid w:val="003A62A3"/>
    <w:rsid w:val="003A681C"/>
    <w:rsid w:val="003A690D"/>
    <w:rsid w:val="003A6943"/>
    <w:rsid w:val="003A6945"/>
    <w:rsid w:val="003A6BE1"/>
    <w:rsid w:val="003A6EA6"/>
    <w:rsid w:val="003A6F9D"/>
    <w:rsid w:val="003A7079"/>
    <w:rsid w:val="003A7217"/>
    <w:rsid w:val="003A7580"/>
    <w:rsid w:val="003A783B"/>
    <w:rsid w:val="003A7AF8"/>
    <w:rsid w:val="003B0187"/>
    <w:rsid w:val="003B0910"/>
    <w:rsid w:val="003B0C66"/>
    <w:rsid w:val="003B0D49"/>
    <w:rsid w:val="003B1304"/>
    <w:rsid w:val="003B1839"/>
    <w:rsid w:val="003B194A"/>
    <w:rsid w:val="003B19BD"/>
    <w:rsid w:val="003B2072"/>
    <w:rsid w:val="003B230C"/>
    <w:rsid w:val="003B235F"/>
    <w:rsid w:val="003B23F1"/>
    <w:rsid w:val="003B26C1"/>
    <w:rsid w:val="003B2BA5"/>
    <w:rsid w:val="003B2DB9"/>
    <w:rsid w:val="003B303A"/>
    <w:rsid w:val="003B340D"/>
    <w:rsid w:val="003B34ED"/>
    <w:rsid w:val="003B3591"/>
    <w:rsid w:val="003B359D"/>
    <w:rsid w:val="003B3B27"/>
    <w:rsid w:val="003B3CA1"/>
    <w:rsid w:val="003B3EE7"/>
    <w:rsid w:val="003B434C"/>
    <w:rsid w:val="003B4498"/>
    <w:rsid w:val="003B4795"/>
    <w:rsid w:val="003B4A70"/>
    <w:rsid w:val="003B4D61"/>
    <w:rsid w:val="003B5200"/>
    <w:rsid w:val="003B5737"/>
    <w:rsid w:val="003B6265"/>
    <w:rsid w:val="003B6487"/>
    <w:rsid w:val="003B650F"/>
    <w:rsid w:val="003B689D"/>
    <w:rsid w:val="003B6DB7"/>
    <w:rsid w:val="003B76FD"/>
    <w:rsid w:val="003B7781"/>
    <w:rsid w:val="003B7CF9"/>
    <w:rsid w:val="003C0584"/>
    <w:rsid w:val="003C0B91"/>
    <w:rsid w:val="003C0E3C"/>
    <w:rsid w:val="003C11D7"/>
    <w:rsid w:val="003C1374"/>
    <w:rsid w:val="003C1C86"/>
    <w:rsid w:val="003C275D"/>
    <w:rsid w:val="003C27C3"/>
    <w:rsid w:val="003C33DF"/>
    <w:rsid w:val="003C37EA"/>
    <w:rsid w:val="003C3BFB"/>
    <w:rsid w:val="003C3DA2"/>
    <w:rsid w:val="003C3F53"/>
    <w:rsid w:val="003C4604"/>
    <w:rsid w:val="003C48C9"/>
    <w:rsid w:val="003C4AA9"/>
    <w:rsid w:val="003C5100"/>
    <w:rsid w:val="003C541D"/>
    <w:rsid w:val="003C570C"/>
    <w:rsid w:val="003C5CAF"/>
    <w:rsid w:val="003C5CE1"/>
    <w:rsid w:val="003C5F4A"/>
    <w:rsid w:val="003C5F77"/>
    <w:rsid w:val="003C68E7"/>
    <w:rsid w:val="003C6F94"/>
    <w:rsid w:val="003C7254"/>
    <w:rsid w:val="003C72D8"/>
    <w:rsid w:val="003C7801"/>
    <w:rsid w:val="003C7896"/>
    <w:rsid w:val="003C7DD5"/>
    <w:rsid w:val="003D04DA"/>
    <w:rsid w:val="003D04ED"/>
    <w:rsid w:val="003D0827"/>
    <w:rsid w:val="003D0AF3"/>
    <w:rsid w:val="003D0B27"/>
    <w:rsid w:val="003D0C7F"/>
    <w:rsid w:val="003D0FD5"/>
    <w:rsid w:val="003D139F"/>
    <w:rsid w:val="003D1409"/>
    <w:rsid w:val="003D14E3"/>
    <w:rsid w:val="003D1510"/>
    <w:rsid w:val="003D1F28"/>
    <w:rsid w:val="003D2422"/>
    <w:rsid w:val="003D2435"/>
    <w:rsid w:val="003D2774"/>
    <w:rsid w:val="003D2AA8"/>
    <w:rsid w:val="003D323A"/>
    <w:rsid w:val="003D328D"/>
    <w:rsid w:val="003D341F"/>
    <w:rsid w:val="003D360B"/>
    <w:rsid w:val="003D36E7"/>
    <w:rsid w:val="003D3A63"/>
    <w:rsid w:val="003D3D5B"/>
    <w:rsid w:val="003D3DB8"/>
    <w:rsid w:val="003D3DE4"/>
    <w:rsid w:val="003D3E02"/>
    <w:rsid w:val="003D4593"/>
    <w:rsid w:val="003D4832"/>
    <w:rsid w:val="003D4879"/>
    <w:rsid w:val="003D4951"/>
    <w:rsid w:val="003D5232"/>
    <w:rsid w:val="003D5562"/>
    <w:rsid w:val="003D589E"/>
    <w:rsid w:val="003D5B09"/>
    <w:rsid w:val="003D5D30"/>
    <w:rsid w:val="003D5D9D"/>
    <w:rsid w:val="003D5E73"/>
    <w:rsid w:val="003D5EB8"/>
    <w:rsid w:val="003D6059"/>
    <w:rsid w:val="003D6192"/>
    <w:rsid w:val="003D62E2"/>
    <w:rsid w:val="003D62F7"/>
    <w:rsid w:val="003D66E5"/>
    <w:rsid w:val="003D6AE2"/>
    <w:rsid w:val="003D6E2E"/>
    <w:rsid w:val="003D7050"/>
    <w:rsid w:val="003D7204"/>
    <w:rsid w:val="003D7315"/>
    <w:rsid w:val="003D79F5"/>
    <w:rsid w:val="003D7A9E"/>
    <w:rsid w:val="003D7B42"/>
    <w:rsid w:val="003D7C82"/>
    <w:rsid w:val="003E00BD"/>
    <w:rsid w:val="003E027E"/>
    <w:rsid w:val="003E0797"/>
    <w:rsid w:val="003E0A01"/>
    <w:rsid w:val="003E0CB9"/>
    <w:rsid w:val="003E1626"/>
    <w:rsid w:val="003E1982"/>
    <w:rsid w:val="003E25ED"/>
    <w:rsid w:val="003E276B"/>
    <w:rsid w:val="003E27EC"/>
    <w:rsid w:val="003E3651"/>
    <w:rsid w:val="003E3713"/>
    <w:rsid w:val="003E40AB"/>
    <w:rsid w:val="003E4197"/>
    <w:rsid w:val="003E443B"/>
    <w:rsid w:val="003E48CE"/>
    <w:rsid w:val="003E49E8"/>
    <w:rsid w:val="003E5159"/>
    <w:rsid w:val="003E5222"/>
    <w:rsid w:val="003E528F"/>
    <w:rsid w:val="003E5387"/>
    <w:rsid w:val="003E5A6B"/>
    <w:rsid w:val="003E5B34"/>
    <w:rsid w:val="003E5D23"/>
    <w:rsid w:val="003E5E6A"/>
    <w:rsid w:val="003E60C7"/>
    <w:rsid w:val="003E65EE"/>
    <w:rsid w:val="003E6800"/>
    <w:rsid w:val="003E682B"/>
    <w:rsid w:val="003E68BD"/>
    <w:rsid w:val="003E6A6F"/>
    <w:rsid w:val="003E6D51"/>
    <w:rsid w:val="003E6F0C"/>
    <w:rsid w:val="003E766F"/>
    <w:rsid w:val="003E7902"/>
    <w:rsid w:val="003E7EF3"/>
    <w:rsid w:val="003F0241"/>
    <w:rsid w:val="003F104B"/>
    <w:rsid w:val="003F159D"/>
    <w:rsid w:val="003F1676"/>
    <w:rsid w:val="003F16B0"/>
    <w:rsid w:val="003F17B1"/>
    <w:rsid w:val="003F1FF5"/>
    <w:rsid w:val="003F236C"/>
    <w:rsid w:val="003F2843"/>
    <w:rsid w:val="003F29BD"/>
    <w:rsid w:val="003F2C9F"/>
    <w:rsid w:val="003F2F95"/>
    <w:rsid w:val="003F315E"/>
    <w:rsid w:val="003F323C"/>
    <w:rsid w:val="003F3571"/>
    <w:rsid w:val="003F3624"/>
    <w:rsid w:val="003F396C"/>
    <w:rsid w:val="003F3AD8"/>
    <w:rsid w:val="003F3B19"/>
    <w:rsid w:val="003F3F9C"/>
    <w:rsid w:val="003F4200"/>
    <w:rsid w:val="003F446F"/>
    <w:rsid w:val="003F46C2"/>
    <w:rsid w:val="003F4BF3"/>
    <w:rsid w:val="003F4E84"/>
    <w:rsid w:val="003F4EA7"/>
    <w:rsid w:val="003F50EC"/>
    <w:rsid w:val="003F54EE"/>
    <w:rsid w:val="003F57BA"/>
    <w:rsid w:val="003F591C"/>
    <w:rsid w:val="003F5DCD"/>
    <w:rsid w:val="003F5F8D"/>
    <w:rsid w:val="003F5F92"/>
    <w:rsid w:val="003F5FF5"/>
    <w:rsid w:val="003F6175"/>
    <w:rsid w:val="003F63B6"/>
    <w:rsid w:val="003F6438"/>
    <w:rsid w:val="003F66F7"/>
    <w:rsid w:val="003F6A91"/>
    <w:rsid w:val="003F6E5A"/>
    <w:rsid w:val="003F72FD"/>
    <w:rsid w:val="003F763F"/>
    <w:rsid w:val="003F7C69"/>
    <w:rsid w:val="003F7D7F"/>
    <w:rsid w:val="00400152"/>
    <w:rsid w:val="0040078C"/>
    <w:rsid w:val="004007B4"/>
    <w:rsid w:val="00400A36"/>
    <w:rsid w:val="00400B95"/>
    <w:rsid w:val="00400C77"/>
    <w:rsid w:val="00400E9A"/>
    <w:rsid w:val="00400F6B"/>
    <w:rsid w:val="004011F2"/>
    <w:rsid w:val="004012A1"/>
    <w:rsid w:val="00401329"/>
    <w:rsid w:val="004015A7"/>
    <w:rsid w:val="00401D02"/>
    <w:rsid w:val="00401DCE"/>
    <w:rsid w:val="00401F47"/>
    <w:rsid w:val="004023C5"/>
    <w:rsid w:val="00402A13"/>
    <w:rsid w:val="00402A1E"/>
    <w:rsid w:val="0040324A"/>
    <w:rsid w:val="0040362F"/>
    <w:rsid w:val="00403723"/>
    <w:rsid w:val="0040389D"/>
    <w:rsid w:val="00403A46"/>
    <w:rsid w:val="00403B86"/>
    <w:rsid w:val="00403D44"/>
    <w:rsid w:val="00403F32"/>
    <w:rsid w:val="00403FFC"/>
    <w:rsid w:val="00404091"/>
    <w:rsid w:val="00404561"/>
    <w:rsid w:val="00404946"/>
    <w:rsid w:val="00404B91"/>
    <w:rsid w:val="00404D60"/>
    <w:rsid w:val="00404DF6"/>
    <w:rsid w:val="00404F42"/>
    <w:rsid w:val="00404F5F"/>
    <w:rsid w:val="004053AF"/>
    <w:rsid w:val="00405414"/>
    <w:rsid w:val="0040591C"/>
    <w:rsid w:val="00405AEB"/>
    <w:rsid w:val="00405C07"/>
    <w:rsid w:val="00405CAA"/>
    <w:rsid w:val="00405E9C"/>
    <w:rsid w:val="00406217"/>
    <w:rsid w:val="00406281"/>
    <w:rsid w:val="00406558"/>
    <w:rsid w:val="004069A3"/>
    <w:rsid w:val="00406C22"/>
    <w:rsid w:val="00406CB3"/>
    <w:rsid w:val="00406F1B"/>
    <w:rsid w:val="00407295"/>
    <w:rsid w:val="00407812"/>
    <w:rsid w:val="0040792F"/>
    <w:rsid w:val="00410073"/>
    <w:rsid w:val="0041064C"/>
    <w:rsid w:val="00410853"/>
    <w:rsid w:val="0041093B"/>
    <w:rsid w:val="00410D86"/>
    <w:rsid w:val="00410FFB"/>
    <w:rsid w:val="00411317"/>
    <w:rsid w:val="00411BBA"/>
    <w:rsid w:val="00411D6C"/>
    <w:rsid w:val="004121AD"/>
    <w:rsid w:val="00412537"/>
    <w:rsid w:val="004125AA"/>
    <w:rsid w:val="004129DC"/>
    <w:rsid w:val="00413047"/>
    <w:rsid w:val="00413361"/>
    <w:rsid w:val="00413442"/>
    <w:rsid w:val="004136C1"/>
    <w:rsid w:val="0041382E"/>
    <w:rsid w:val="004138F0"/>
    <w:rsid w:val="00413A18"/>
    <w:rsid w:val="00413A33"/>
    <w:rsid w:val="00413A63"/>
    <w:rsid w:val="00413CA9"/>
    <w:rsid w:val="00413F5C"/>
    <w:rsid w:val="00414115"/>
    <w:rsid w:val="00414631"/>
    <w:rsid w:val="00414691"/>
    <w:rsid w:val="004146A5"/>
    <w:rsid w:val="004154B9"/>
    <w:rsid w:val="00415501"/>
    <w:rsid w:val="00415793"/>
    <w:rsid w:val="00416870"/>
    <w:rsid w:val="004176CF"/>
    <w:rsid w:val="00417925"/>
    <w:rsid w:val="00417A8B"/>
    <w:rsid w:val="004200BE"/>
    <w:rsid w:val="004202EC"/>
    <w:rsid w:val="0042039D"/>
    <w:rsid w:val="004205AA"/>
    <w:rsid w:val="00420825"/>
    <w:rsid w:val="0042099B"/>
    <w:rsid w:val="00420D7C"/>
    <w:rsid w:val="0042172D"/>
    <w:rsid w:val="0042184C"/>
    <w:rsid w:val="0042193C"/>
    <w:rsid w:val="00421B56"/>
    <w:rsid w:val="00422090"/>
    <w:rsid w:val="00422499"/>
    <w:rsid w:val="00422802"/>
    <w:rsid w:val="00422BE3"/>
    <w:rsid w:val="00423306"/>
    <w:rsid w:val="00423A8C"/>
    <w:rsid w:val="00423D90"/>
    <w:rsid w:val="00423DFF"/>
    <w:rsid w:val="00423EFA"/>
    <w:rsid w:val="00424B9B"/>
    <w:rsid w:val="00424D17"/>
    <w:rsid w:val="00424FEA"/>
    <w:rsid w:val="0042511C"/>
    <w:rsid w:val="004255D5"/>
    <w:rsid w:val="00425625"/>
    <w:rsid w:val="00425717"/>
    <w:rsid w:val="00425A4E"/>
    <w:rsid w:val="00425B63"/>
    <w:rsid w:val="00425DB2"/>
    <w:rsid w:val="00425EA6"/>
    <w:rsid w:val="00426C2C"/>
    <w:rsid w:val="004275ED"/>
    <w:rsid w:val="00427BA4"/>
    <w:rsid w:val="00427F43"/>
    <w:rsid w:val="0043000D"/>
    <w:rsid w:val="00430CEC"/>
    <w:rsid w:val="00430E09"/>
    <w:rsid w:val="00431481"/>
    <w:rsid w:val="004319B8"/>
    <w:rsid w:val="00431A2C"/>
    <w:rsid w:val="00431DB7"/>
    <w:rsid w:val="00431F02"/>
    <w:rsid w:val="00432155"/>
    <w:rsid w:val="004324DE"/>
    <w:rsid w:val="00432767"/>
    <w:rsid w:val="004327D8"/>
    <w:rsid w:val="00432D19"/>
    <w:rsid w:val="00432E6C"/>
    <w:rsid w:val="00432F1F"/>
    <w:rsid w:val="0043309D"/>
    <w:rsid w:val="004330C5"/>
    <w:rsid w:val="00433199"/>
    <w:rsid w:val="004337A3"/>
    <w:rsid w:val="00433CE3"/>
    <w:rsid w:val="004342A6"/>
    <w:rsid w:val="00434311"/>
    <w:rsid w:val="0043446A"/>
    <w:rsid w:val="0043452B"/>
    <w:rsid w:val="004345D6"/>
    <w:rsid w:val="00434782"/>
    <w:rsid w:val="00434871"/>
    <w:rsid w:val="004349F0"/>
    <w:rsid w:val="00434C20"/>
    <w:rsid w:val="0043534A"/>
    <w:rsid w:val="00435430"/>
    <w:rsid w:val="0043594A"/>
    <w:rsid w:val="00435DDB"/>
    <w:rsid w:val="00435ED4"/>
    <w:rsid w:val="004363D1"/>
    <w:rsid w:val="004367C9"/>
    <w:rsid w:val="00440129"/>
    <w:rsid w:val="00440528"/>
    <w:rsid w:val="0044054C"/>
    <w:rsid w:val="0044061E"/>
    <w:rsid w:val="00440695"/>
    <w:rsid w:val="00440AB7"/>
    <w:rsid w:val="00440D3F"/>
    <w:rsid w:val="00440F2D"/>
    <w:rsid w:val="004415D8"/>
    <w:rsid w:val="00441AAB"/>
    <w:rsid w:val="00441B96"/>
    <w:rsid w:val="00442098"/>
    <w:rsid w:val="0044227D"/>
    <w:rsid w:val="00442479"/>
    <w:rsid w:val="00442A0B"/>
    <w:rsid w:val="00442A69"/>
    <w:rsid w:val="00442B7A"/>
    <w:rsid w:val="00442C53"/>
    <w:rsid w:val="00442D88"/>
    <w:rsid w:val="00442DD4"/>
    <w:rsid w:val="00442FE8"/>
    <w:rsid w:val="004431F5"/>
    <w:rsid w:val="0044359F"/>
    <w:rsid w:val="0044365C"/>
    <w:rsid w:val="004439B0"/>
    <w:rsid w:val="0044413C"/>
    <w:rsid w:val="00444598"/>
    <w:rsid w:val="00444B34"/>
    <w:rsid w:val="00444ED6"/>
    <w:rsid w:val="004451D3"/>
    <w:rsid w:val="00445685"/>
    <w:rsid w:val="00445C7B"/>
    <w:rsid w:val="004464D1"/>
    <w:rsid w:val="00446680"/>
    <w:rsid w:val="0044689F"/>
    <w:rsid w:val="004468F8"/>
    <w:rsid w:val="00446C6B"/>
    <w:rsid w:val="0044715C"/>
    <w:rsid w:val="00447514"/>
    <w:rsid w:val="004475FF"/>
    <w:rsid w:val="004478BB"/>
    <w:rsid w:val="00447AA5"/>
    <w:rsid w:val="00447EFE"/>
    <w:rsid w:val="00450038"/>
    <w:rsid w:val="00450051"/>
    <w:rsid w:val="00450295"/>
    <w:rsid w:val="004504D0"/>
    <w:rsid w:val="00450A4F"/>
    <w:rsid w:val="00450C70"/>
    <w:rsid w:val="0045105F"/>
    <w:rsid w:val="00451365"/>
    <w:rsid w:val="004514E1"/>
    <w:rsid w:val="004518E1"/>
    <w:rsid w:val="00451908"/>
    <w:rsid w:val="004519DC"/>
    <w:rsid w:val="004522B6"/>
    <w:rsid w:val="004526EE"/>
    <w:rsid w:val="00452C25"/>
    <w:rsid w:val="00452E2E"/>
    <w:rsid w:val="00452E3C"/>
    <w:rsid w:val="004531BD"/>
    <w:rsid w:val="004534CA"/>
    <w:rsid w:val="004538F8"/>
    <w:rsid w:val="00453CB8"/>
    <w:rsid w:val="00453E84"/>
    <w:rsid w:val="00453EE0"/>
    <w:rsid w:val="00453F61"/>
    <w:rsid w:val="00453FC5"/>
    <w:rsid w:val="004542C1"/>
    <w:rsid w:val="004543D4"/>
    <w:rsid w:val="00454639"/>
    <w:rsid w:val="0045465B"/>
    <w:rsid w:val="00454A52"/>
    <w:rsid w:val="00454E77"/>
    <w:rsid w:val="00455335"/>
    <w:rsid w:val="00455834"/>
    <w:rsid w:val="004558BC"/>
    <w:rsid w:val="00455BB1"/>
    <w:rsid w:val="00456100"/>
    <w:rsid w:val="00456138"/>
    <w:rsid w:val="00456686"/>
    <w:rsid w:val="004567CB"/>
    <w:rsid w:val="004569F6"/>
    <w:rsid w:val="00456A70"/>
    <w:rsid w:val="00456D3D"/>
    <w:rsid w:val="0045733F"/>
    <w:rsid w:val="00457A10"/>
    <w:rsid w:val="00457DEE"/>
    <w:rsid w:val="00460290"/>
    <w:rsid w:val="0046093D"/>
    <w:rsid w:val="004609BD"/>
    <w:rsid w:val="00460E0D"/>
    <w:rsid w:val="00460F83"/>
    <w:rsid w:val="0046136E"/>
    <w:rsid w:val="00461A95"/>
    <w:rsid w:val="00461B86"/>
    <w:rsid w:val="00461BD6"/>
    <w:rsid w:val="00461C2F"/>
    <w:rsid w:val="00461C9D"/>
    <w:rsid w:val="00462003"/>
    <w:rsid w:val="0046224E"/>
    <w:rsid w:val="00462919"/>
    <w:rsid w:val="00462B21"/>
    <w:rsid w:val="00462C34"/>
    <w:rsid w:val="00463032"/>
    <w:rsid w:val="004635D5"/>
    <w:rsid w:val="0046360B"/>
    <w:rsid w:val="00463683"/>
    <w:rsid w:val="004636C8"/>
    <w:rsid w:val="004638EB"/>
    <w:rsid w:val="004638F1"/>
    <w:rsid w:val="0046393B"/>
    <w:rsid w:val="00463A89"/>
    <w:rsid w:val="00463B95"/>
    <w:rsid w:val="00463BD7"/>
    <w:rsid w:val="00463D2E"/>
    <w:rsid w:val="00464244"/>
    <w:rsid w:val="0046430E"/>
    <w:rsid w:val="004644AE"/>
    <w:rsid w:val="00464ADB"/>
    <w:rsid w:val="00464B61"/>
    <w:rsid w:val="00464DAE"/>
    <w:rsid w:val="00464DC7"/>
    <w:rsid w:val="00465035"/>
    <w:rsid w:val="004650BE"/>
    <w:rsid w:val="004657EE"/>
    <w:rsid w:val="00465CE0"/>
    <w:rsid w:val="00465D49"/>
    <w:rsid w:val="004661D3"/>
    <w:rsid w:val="004662F7"/>
    <w:rsid w:val="004666AA"/>
    <w:rsid w:val="00466CC0"/>
    <w:rsid w:val="00467624"/>
    <w:rsid w:val="00467643"/>
    <w:rsid w:val="0046771E"/>
    <w:rsid w:val="00467956"/>
    <w:rsid w:val="004679A6"/>
    <w:rsid w:val="0047003A"/>
    <w:rsid w:val="0047012D"/>
    <w:rsid w:val="0047033A"/>
    <w:rsid w:val="00470730"/>
    <w:rsid w:val="00470844"/>
    <w:rsid w:val="00470B9B"/>
    <w:rsid w:val="00470DC1"/>
    <w:rsid w:val="00470EC4"/>
    <w:rsid w:val="00471376"/>
    <w:rsid w:val="00471411"/>
    <w:rsid w:val="00471781"/>
    <w:rsid w:val="00471A8B"/>
    <w:rsid w:val="00471DCF"/>
    <w:rsid w:val="00471F4D"/>
    <w:rsid w:val="0047216B"/>
    <w:rsid w:val="00472567"/>
    <w:rsid w:val="00472AA4"/>
    <w:rsid w:val="00472FA8"/>
    <w:rsid w:val="004731E6"/>
    <w:rsid w:val="004734DD"/>
    <w:rsid w:val="0047356B"/>
    <w:rsid w:val="00473774"/>
    <w:rsid w:val="00473948"/>
    <w:rsid w:val="00473A55"/>
    <w:rsid w:val="00473EE1"/>
    <w:rsid w:val="004740F6"/>
    <w:rsid w:val="004743E9"/>
    <w:rsid w:val="004746B4"/>
    <w:rsid w:val="004747C9"/>
    <w:rsid w:val="004747DB"/>
    <w:rsid w:val="00474A57"/>
    <w:rsid w:val="0047501D"/>
    <w:rsid w:val="00475147"/>
    <w:rsid w:val="004753D6"/>
    <w:rsid w:val="0047595B"/>
    <w:rsid w:val="00475AA5"/>
    <w:rsid w:val="00475BB3"/>
    <w:rsid w:val="0047605E"/>
    <w:rsid w:val="00476172"/>
    <w:rsid w:val="004767F1"/>
    <w:rsid w:val="00476D54"/>
    <w:rsid w:val="0047702C"/>
    <w:rsid w:val="00477073"/>
    <w:rsid w:val="00477079"/>
    <w:rsid w:val="00477553"/>
    <w:rsid w:val="0047788F"/>
    <w:rsid w:val="00477A47"/>
    <w:rsid w:val="00477DC3"/>
    <w:rsid w:val="004800F7"/>
    <w:rsid w:val="0048072B"/>
    <w:rsid w:val="00480FD6"/>
    <w:rsid w:val="004810AF"/>
    <w:rsid w:val="004814FF"/>
    <w:rsid w:val="00481BBB"/>
    <w:rsid w:val="00481E5B"/>
    <w:rsid w:val="0048275D"/>
    <w:rsid w:val="00482893"/>
    <w:rsid w:val="00482A48"/>
    <w:rsid w:val="00482B76"/>
    <w:rsid w:val="00482C48"/>
    <w:rsid w:val="00482E7B"/>
    <w:rsid w:val="004830D0"/>
    <w:rsid w:val="004830D9"/>
    <w:rsid w:val="0048347D"/>
    <w:rsid w:val="004834A5"/>
    <w:rsid w:val="004835AB"/>
    <w:rsid w:val="00483673"/>
    <w:rsid w:val="004836E1"/>
    <w:rsid w:val="00483A1E"/>
    <w:rsid w:val="00483C15"/>
    <w:rsid w:val="00483D56"/>
    <w:rsid w:val="00483F4F"/>
    <w:rsid w:val="004844D7"/>
    <w:rsid w:val="004845F1"/>
    <w:rsid w:val="00484AC4"/>
    <w:rsid w:val="00484F27"/>
    <w:rsid w:val="004855F4"/>
    <w:rsid w:val="004859C7"/>
    <w:rsid w:val="00485DA4"/>
    <w:rsid w:val="0048656B"/>
    <w:rsid w:val="00487183"/>
    <w:rsid w:val="00487B63"/>
    <w:rsid w:val="00487C24"/>
    <w:rsid w:val="00487D00"/>
    <w:rsid w:val="00487DA0"/>
    <w:rsid w:val="004900FB"/>
    <w:rsid w:val="00490353"/>
    <w:rsid w:val="004903B0"/>
    <w:rsid w:val="00490552"/>
    <w:rsid w:val="004905D3"/>
    <w:rsid w:val="0049077A"/>
    <w:rsid w:val="004910ED"/>
    <w:rsid w:val="00491194"/>
    <w:rsid w:val="00491455"/>
    <w:rsid w:val="00491561"/>
    <w:rsid w:val="0049161F"/>
    <w:rsid w:val="00491874"/>
    <w:rsid w:val="00491C70"/>
    <w:rsid w:val="00491F1F"/>
    <w:rsid w:val="00492007"/>
    <w:rsid w:val="00492261"/>
    <w:rsid w:val="004923F1"/>
    <w:rsid w:val="004924C3"/>
    <w:rsid w:val="0049346E"/>
    <w:rsid w:val="00493A06"/>
    <w:rsid w:val="004940D0"/>
    <w:rsid w:val="00494431"/>
    <w:rsid w:val="00494993"/>
    <w:rsid w:val="00494B16"/>
    <w:rsid w:val="00494F56"/>
    <w:rsid w:val="004951BE"/>
    <w:rsid w:val="004952E2"/>
    <w:rsid w:val="00495390"/>
    <w:rsid w:val="00495415"/>
    <w:rsid w:val="00495480"/>
    <w:rsid w:val="00495654"/>
    <w:rsid w:val="004956ED"/>
    <w:rsid w:val="00495903"/>
    <w:rsid w:val="00495937"/>
    <w:rsid w:val="00495966"/>
    <w:rsid w:val="00495C06"/>
    <w:rsid w:val="00495D9A"/>
    <w:rsid w:val="00495EB5"/>
    <w:rsid w:val="00495F7B"/>
    <w:rsid w:val="00496046"/>
    <w:rsid w:val="004961C2"/>
    <w:rsid w:val="00496438"/>
    <w:rsid w:val="00496487"/>
    <w:rsid w:val="0049664D"/>
    <w:rsid w:val="0049666A"/>
    <w:rsid w:val="00496CC3"/>
    <w:rsid w:val="00496D4B"/>
    <w:rsid w:val="00496EC8"/>
    <w:rsid w:val="00497456"/>
    <w:rsid w:val="004974E1"/>
    <w:rsid w:val="00497779"/>
    <w:rsid w:val="004978F3"/>
    <w:rsid w:val="00497B01"/>
    <w:rsid w:val="00497EDB"/>
    <w:rsid w:val="004A01AB"/>
    <w:rsid w:val="004A085E"/>
    <w:rsid w:val="004A0A19"/>
    <w:rsid w:val="004A0B4A"/>
    <w:rsid w:val="004A0C3A"/>
    <w:rsid w:val="004A0C87"/>
    <w:rsid w:val="004A1097"/>
    <w:rsid w:val="004A1263"/>
    <w:rsid w:val="004A15E6"/>
    <w:rsid w:val="004A1A47"/>
    <w:rsid w:val="004A1B0A"/>
    <w:rsid w:val="004A1C2D"/>
    <w:rsid w:val="004A1CA9"/>
    <w:rsid w:val="004A206F"/>
    <w:rsid w:val="004A23BB"/>
    <w:rsid w:val="004A298A"/>
    <w:rsid w:val="004A2B4D"/>
    <w:rsid w:val="004A2D98"/>
    <w:rsid w:val="004A2E26"/>
    <w:rsid w:val="004A2F24"/>
    <w:rsid w:val="004A310F"/>
    <w:rsid w:val="004A352D"/>
    <w:rsid w:val="004A3582"/>
    <w:rsid w:val="004A36C7"/>
    <w:rsid w:val="004A3BFC"/>
    <w:rsid w:val="004A41CC"/>
    <w:rsid w:val="004A41CF"/>
    <w:rsid w:val="004A461B"/>
    <w:rsid w:val="004A467E"/>
    <w:rsid w:val="004A46D2"/>
    <w:rsid w:val="004A4CBA"/>
    <w:rsid w:val="004A55B7"/>
    <w:rsid w:val="004A5604"/>
    <w:rsid w:val="004A591B"/>
    <w:rsid w:val="004A5B5C"/>
    <w:rsid w:val="004A628F"/>
    <w:rsid w:val="004A6E19"/>
    <w:rsid w:val="004A7081"/>
    <w:rsid w:val="004A71C9"/>
    <w:rsid w:val="004A7BE4"/>
    <w:rsid w:val="004A7DB5"/>
    <w:rsid w:val="004A7E1D"/>
    <w:rsid w:val="004B00FD"/>
    <w:rsid w:val="004B0388"/>
    <w:rsid w:val="004B03EF"/>
    <w:rsid w:val="004B04AB"/>
    <w:rsid w:val="004B0927"/>
    <w:rsid w:val="004B0C09"/>
    <w:rsid w:val="004B0D4A"/>
    <w:rsid w:val="004B0DF5"/>
    <w:rsid w:val="004B10A5"/>
    <w:rsid w:val="004B131E"/>
    <w:rsid w:val="004B139E"/>
    <w:rsid w:val="004B14DB"/>
    <w:rsid w:val="004B181D"/>
    <w:rsid w:val="004B1C55"/>
    <w:rsid w:val="004B1D5F"/>
    <w:rsid w:val="004B2214"/>
    <w:rsid w:val="004B22C4"/>
    <w:rsid w:val="004B2B00"/>
    <w:rsid w:val="004B2C3F"/>
    <w:rsid w:val="004B2CAA"/>
    <w:rsid w:val="004B2D2F"/>
    <w:rsid w:val="004B3077"/>
    <w:rsid w:val="004B30B6"/>
    <w:rsid w:val="004B35B5"/>
    <w:rsid w:val="004B39BF"/>
    <w:rsid w:val="004B3B81"/>
    <w:rsid w:val="004B3CAE"/>
    <w:rsid w:val="004B3D3C"/>
    <w:rsid w:val="004B3EBB"/>
    <w:rsid w:val="004B3EE2"/>
    <w:rsid w:val="004B40EA"/>
    <w:rsid w:val="004B412F"/>
    <w:rsid w:val="004B475E"/>
    <w:rsid w:val="004B4774"/>
    <w:rsid w:val="004B49C7"/>
    <w:rsid w:val="004B52A8"/>
    <w:rsid w:val="004B55B8"/>
    <w:rsid w:val="004B5703"/>
    <w:rsid w:val="004B5854"/>
    <w:rsid w:val="004B5C24"/>
    <w:rsid w:val="004B5C6D"/>
    <w:rsid w:val="004B6B3E"/>
    <w:rsid w:val="004B6BA0"/>
    <w:rsid w:val="004B6D02"/>
    <w:rsid w:val="004B6D64"/>
    <w:rsid w:val="004B7952"/>
    <w:rsid w:val="004B79B0"/>
    <w:rsid w:val="004B7CEF"/>
    <w:rsid w:val="004C0283"/>
    <w:rsid w:val="004C0993"/>
    <w:rsid w:val="004C0B61"/>
    <w:rsid w:val="004C0FD8"/>
    <w:rsid w:val="004C1BD6"/>
    <w:rsid w:val="004C1F70"/>
    <w:rsid w:val="004C1FA3"/>
    <w:rsid w:val="004C22C2"/>
    <w:rsid w:val="004C25EE"/>
    <w:rsid w:val="004C2974"/>
    <w:rsid w:val="004C2C5B"/>
    <w:rsid w:val="004C307C"/>
    <w:rsid w:val="004C3112"/>
    <w:rsid w:val="004C34E0"/>
    <w:rsid w:val="004C3877"/>
    <w:rsid w:val="004C387D"/>
    <w:rsid w:val="004C3DF7"/>
    <w:rsid w:val="004C3E53"/>
    <w:rsid w:val="004C4476"/>
    <w:rsid w:val="004C464B"/>
    <w:rsid w:val="004C4D5C"/>
    <w:rsid w:val="004C5120"/>
    <w:rsid w:val="004C55E7"/>
    <w:rsid w:val="004C5959"/>
    <w:rsid w:val="004C5AD3"/>
    <w:rsid w:val="004C5DCE"/>
    <w:rsid w:val="004C6210"/>
    <w:rsid w:val="004C6ECC"/>
    <w:rsid w:val="004C6F57"/>
    <w:rsid w:val="004C783C"/>
    <w:rsid w:val="004C7D67"/>
    <w:rsid w:val="004C7FF4"/>
    <w:rsid w:val="004D0A7A"/>
    <w:rsid w:val="004D0C74"/>
    <w:rsid w:val="004D0EC2"/>
    <w:rsid w:val="004D1303"/>
    <w:rsid w:val="004D1423"/>
    <w:rsid w:val="004D1A58"/>
    <w:rsid w:val="004D1BF9"/>
    <w:rsid w:val="004D1DBB"/>
    <w:rsid w:val="004D1EF7"/>
    <w:rsid w:val="004D21B4"/>
    <w:rsid w:val="004D242A"/>
    <w:rsid w:val="004D244C"/>
    <w:rsid w:val="004D249C"/>
    <w:rsid w:val="004D2941"/>
    <w:rsid w:val="004D2DEA"/>
    <w:rsid w:val="004D2FD8"/>
    <w:rsid w:val="004D3165"/>
    <w:rsid w:val="004D3212"/>
    <w:rsid w:val="004D32FB"/>
    <w:rsid w:val="004D3429"/>
    <w:rsid w:val="004D34DA"/>
    <w:rsid w:val="004D3BB4"/>
    <w:rsid w:val="004D4564"/>
    <w:rsid w:val="004D519A"/>
    <w:rsid w:val="004D5609"/>
    <w:rsid w:val="004D6829"/>
    <w:rsid w:val="004D69F1"/>
    <w:rsid w:val="004D7160"/>
    <w:rsid w:val="004D7806"/>
    <w:rsid w:val="004D789E"/>
    <w:rsid w:val="004D7A7F"/>
    <w:rsid w:val="004D7C84"/>
    <w:rsid w:val="004E0BAF"/>
    <w:rsid w:val="004E0BC5"/>
    <w:rsid w:val="004E0C6E"/>
    <w:rsid w:val="004E18AE"/>
    <w:rsid w:val="004E234F"/>
    <w:rsid w:val="004E23C7"/>
    <w:rsid w:val="004E247B"/>
    <w:rsid w:val="004E275F"/>
    <w:rsid w:val="004E30E2"/>
    <w:rsid w:val="004E32F4"/>
    <w:rsid w:val="004E3979"/>
    <w:rsid w:val="004E3B64"/>
    <w:rsid w:val="004E3D38"/>
    <w:rsid w:val="004E449B"/>
    <w:rsid w:val="004E4520"/>
    <w:rsid w:val="004E4802"/>
    <w:rsid w:val="004E4824"/>
    <w:rsid w:val="004E4AB5"/>
    <w:rsid w:val="004E4FD8"/>
    <w:rsid w:val="004E5206"/>
    <w:rsid w:val="004E52DC"/>
    <w:rsid w:val="004E52F4"/>
    <w:rsid w:val="004E5A23"/>
    <w:rsid w:val="004E5CDA"/>
    <w:rsid w:val="004E6170"/>
    <w:rsid w:val="004E6335"/>
    <w:rsid w:val="004E67EC"/>
    <w:rsid w:val="004E688C"/>
    <w:rsid w:val="004E68E8"/>
    <w:rsid w:val="004E6A94"/>
    <w:rsid w:val="004E7117"/>
    <w:rsid w:val="004E7396"/>
    <w:rsid w:val="004E7CE5"/>
    <w:rsid w:val="004F00E2"/>
    <w:rsid w:val="004F048C"/>
    <w:rsid w:val="004F06FF"/>
    <w:rsid w:val="004F0768"/>
    <w:rsid w:val="004F0CD2"/>
    <w:rsid w:val="004F11A5"/>
    <w:rsid w:val="004F1524"/>
    <w:rsid w:val="004F1879"/>
    <w:rsid w:val="004F1A6F"/>
    <w:rsid w:val="004F1DAD"/>
    <w:rsid w:val="004F1F3D"/>
    <w:rsid w:val="004F271F"/>
    <w:rsid w:val="004F277C"/>
    <w:rsid w:val="004F2A70"/>
    <w:rsid w:val="004F2ACA"/>
    <w:rsid w:val="004F2CBA"/>
    <w:rsid w:val="004F2D94"/>
    <w:rsid w:val="004F2E9F"/>
    <w:rsid w:val="004F2F72"/>
    <w:rsid w:val="004F345C"/>
    <w:rsid w:val="004F396F"/>
    <w:rsid w:val="004F3DDF"/>
    <w:rsid w:val="004F3F70"/>
    <w:rsid w:val="004F3FDE"/>
    <w:rsid w:val="004F4072"/>
    <w:rsid w:val="004F4491"/>
    <w:rsid w:val="004F455A"/>
    <w:rsid w:val="004F47FF"/>
    <w:rsid w:val="004F4834"/>
    <w:rsid w:val="004F4B64"/>
    <w:rsid w:val="004F4FD6"/>
    <w:rsid w:val="004F50D0"/>
    <w:rsid w:val="004F528F"/>
    <w:rsid w:val="004F5DB3"/>
    <w:rsid w:val="004F5F98"/>
    <w:rsid w:val="004F60F7"/>
    <w:rsid w:val="004F623B"/>
    <w:rsid w:val="004F634C"/>
    <w:rsid w:val="004F65F4"/>
    <w:rsid w:val="004F68FC"/>
    <w:rsid w:val="004F6A68"/>
    <w:rsid w:val="004F6BFA"/>
    <w:rsid w:val="004F72A4"/>
    <w:rsid w:val="004F73A3"/>
    <w:rsid w:val="004F7950"/>
    <w:rsid w:val="004F7A89"/>
    <w:rsid w:val="005003C8"/>
    <w:rsid w:val="00500664"/>
    <w:rsid w:val="005010D0"/>
    <w:rsid w:val="00501880"/>
    <w:rsid w:val="005018A3"/>
    <w:rsid w:val="005018B8"/>
    <w:rsid w:val="00501D5D"/>
    <w:rsid w:val="00501DF1"/>
    <w:rsid w:val="00501F8A"/>
    <w:rsid w:val="00502278"/>
    <w:rsid w:val="0050239E"/>
    <w:rsid w:val="00502773"/>
    <w:rsid w:val="00502D59"/>
    <w:rsid w:val="00502DA2"/>
    <w:rsid w:val="00502E95"/>
    <w:rsid w:val="00502EB9"/>
    <w:rsid w:val="00502EBF"/>
    <w:rsid w:val="00503627"/>
    <w:rsid w:val="0050398F"/>
    <w:rsid w:val="00503B48"/>
    <w:rsid w:val="00503F26"/>
    <w:rsid w:val="00504404"/>
    <w:rsid w:val="00504531"/>
    <w:rsid w:val="00504685"/>
    <w:rsid w:val="0050492E"/>
    <w:rsid w:val="00504C29"/>
    <w:rsid w:val="00505116"/>
    <w:rsid w:val="005053A6"/>
    <w:rsid w:val="005056F1"/>
    <w:rsid w:val="0050596E"/>
    <w:rsid w:val="00505FBB"/>
    <w:rsid w:val="0050649A"/>
    <w:rsid w:val="0050665E"/>
    <w:rsid w:val="005066A2"/>
    <w:rsid w:val="00506DD4"/>
    <w:rsid w:val="00506F8A"/>
    <w:rsid w:val="00507075"/>
    <w:rsid w:val="00507112"/>
    <w:rsid w:val="005072DC"/>
    <w:rsid w:val="0050744B"/>
    <w:rsid w:val="0050788E"/>
    <w:rsid w:val="00507905"/>
    <w:rsid w:val="00507D4D"/>
    <w:rsid w:val="00510358"/>
    <w:rsid w:val="00510764"/>
    <w:rsid w:val="00510D6D"/>
    <w:rsid w:val="00510D9A"/>
    <w:rsid w:val="00511280"/>
    <w:rsid w:val="005118FE"/>
    <w:rsid w:val="005121E1"/>
    <w:rsid w:val="00512568"/>
    <w:rsid w:val="00512E47"/>
    <w:rsid w:val="00512E6A"/>
    <w:rsid w:val="00512EAC"/>
    <w:rsid w:val="00513335"/>
    <w:rsid w:val="00514391"/>
    <w:rsid w:val="0051474C"/>
    <w:rsid w:val="00514996"/>
    <w:rsid w:val="00514B26"/>
    <w:rsid w:val="00514B2F"/>
    <w:rsid w:val="00514FDE"/>
    <w:rsid w:val="00515004"/>
    <w:rsid w:val="0051540F"/>
    <w:rsid w:val="00515A2D"/>
    <w:rsid w:val="00515A82"/>
    <w:rsid w:val="00515D74"/>
    <w:rsid w:val="00515F1C"/>
    <w:rsid w:val="00516140"/>
    <w:rsid w:val="0051633D"/>
    <w:rsid w:val="00516486"/>
    <w:rsid w:val="00516503"/>
    <w:rsid w:val="00516C68"/>
    <w:rsid w:val="00517057"/>
    <w:rsid w:val="00517339"/>
    <w:rsid w:val="00517443"/>
    <w:rsid w:val="0051750E"/>
    <w:rsid w:val="0051774C"/>
    <w:rsid w:val="005177BD"/>
    <w:rsid w:val="00517A2A"/>
    <w:rsid w:val="00517BF3"/>
    <w:rsid w:val="00520489"/>
    <w:rsid w:val="00520566"/>
    <w:rsid w:val="0052065E"/>
    <w:rsid w:val="00520C67"/>
    <w:rsid w:val="00520DC8"/>
    <w:rsid w:val="005213B5"/>
    <w:rsid w:val="00521967"/>
    <w:rsid w:val="00521D6C"/>
    <w:rsid w:val="0052243E"/>
    <w:rsid w:val="0052247B"/>
    <w:rsid w:val="005224E8"/>
    <w:rsid w:val="00522842"/>
    <w:rsid w:val="00522DA3"/>
    <w:rsid w:val="005234CE"/>
    <w:rsid w:val="00523767"/>
    <w:rsid w:val="00523910"/>
    <w:rsid w:val="00523982"/>
    <w:rsid w:val="0052399D"/>
    <w:rsid w:val="00523B8F"/>
    <w:rsid w:val="00523DE4"/>
    <w:rsid w:val="00524719"/>
    <w:rsid w:val="00524EE7"/>
    <w:rsid w:val="00524F29"/>
    <w:rsid w:val="005250B9"/>
    <w:rsid w:val="005252DA"/>
    <w:rsid w:val="005253F8"/>
    <w:rsid w:val="00525AE9"/>
    <w:rsid w:val="00525BFE"/>
    <w:rsid w:val="00525C4E"/>
    <w:rsid w:val="00525CD7"/>
    <w:rsid w:val="00525E02"/>
    <w:rsid w:val="00526158"/>
    <w:rsid w:val="0052622F"/>
    <w:rsid w:val="005266DE"/>
    <w:rsid w:val="00526CA6"/>
    <w:rsid w:val="00526FC0"/>
    <w:rsid w:val="0052739E"/>
    <w:rsid w:val="005276A2"/>
    <w:rsid w:val="005278C1"/>
    <w:rsid w:val="00527B67"/>
    <w:rsid w:val="00530788"/>
    <w:rsid w:val="005310DD"/>
    <w:rsid w:val="00531A3B"/>
    <w:rsid w:val="00531BFE"/>
    <w:rsid w:val="0053201F"/>
    <w:rsid w:val="00532186"/>
    <w:rsid w:val="005322D8"/>
    <w:rsid w:val="00532983"/>
    <w:rsid w:val="00532A1F"/>
    <w:rsid w:val="00532B38"/>
    <w:rsid w:val="00532CA9"/>
    <w:rsid w:val="00532D3B"/>
    <w:rsid w:val="00532E92"/>
    <w:rsid w:val="00533418"/>
    <w:rsid w:val="00533602"/>
    <w:rsid w:val="005336D6"/>
    <w:rsid w:val="00533820"/>
    <w:rsid w:val="005338AB"/>
    <w:rsid w:val="00533A7B"/>
    <w:rsid w:val="00533E18"/>
    <w:rsid w:val="00533E97"/>
    <w:rsid w:val="0053401E"/>
    <w:rsid w:val="005341BF"/>
    <w:rsid w:val="00534403"/>
    <w:rsid w:val="005346E4"/>
    <w:rsid w:val="00534BED"/>
    <w:rsid w:val="00534E0E"/>
    <w:rsid w:val="005350A7"/>
    <w:rsid w:val="00535140"/>
    <w:rsid w:val="0053525F"/>
    <w:rsid w:val="005353FC"/>
    <w:rsid w:val="0053547E"/>
    <w:rsid w:val="00535798"/>
    <w:rsid w:val="00535808"/>
    <w:rsid w:val="00535875"/>
    <w:rsid w:val="00535B8E"/>
    <w:rsid w:val="00535D44"/>
    <w:rsid w:val="00535FB5"/>
    <w:rsid w:val="00536002"/>
    <w:rsid w:val="00536028"/>
    <w:rsid w:val="00536217"/>
    <w:rsid w:val="00536314"/>
    <w:rsid w:val="00536483"/>
    <w:rsid w:val="00536E27"/>
    <w:rsid w:val="0053728F"/>
    <w:rsid w:val="00537977"/>
    <w:rsid w:val="0054008B"/>
    <w:rsid w:val="0054020D"/>
    <w:rsid w:val="0054033E"/>
    <w:rsid w:val="005403CA"/>
    <w:rsid w:val="00540524"/>
    <w:rsid w:val="0054052F"/>
    <w:rsid w:val="00540A0D"/>
    <w:rsid w:val="00541301"/>
    <w:rsid w:val="0054135C"/>
    <w:rsid w:val="00541621"/>
    <w:rsid w:val="005416F6"/>
    <w:rsid w:val="0054187D"/>
    <w:rsid w:val="00541A5C"/>
    <w:rsid w:val="00541C55"/>
    <w:rsid w:val="00541CD4"/>
    <w:rsid w:val="00541F9F"/>
    <w:rsid w:val="00542B18"/>
    <w:rsid w:val="0054321F"/>
    <w:rsid w:val="0054324B"/>
    <w:rsid w:val="00543AF2"/>
    <w:rsid w:val="00543E8F"/>
    <w:rsid w:val="005440DB"/>
    <w:rsid w:val="005443F5"/>
    <w:rsid w:val="0054458E"/>
    <w:rsid w:val="005446C2"/>
    <w:rsid w:val="005449C6"/>
    <w:rsid w:val="00544D30"/>
    <w:rsid w:val="00544D77"/>
    <w:rsid w:val="005451AE"/>
    <w:rsid w:val="0054529E"/>
    <w:rsid w:val="0054558A"/>
    <w:rsid w:val="00545978"/>
    <w:rsid w:val="00545A32"/>
    <w:rsid w:val="00546569"/>
    <w:rsid w:val="005466CB"/>
    <w:rsid w:val="005467DF"/>
    <w:rsid w:val="00546A76"/>
    <w:rsid w:val="00546BF9"/>
    <w:rsid w:val="00547071"/>
    <w:rsid w:val="005470DB"/>
    <w:rsid w:val="0054756C"/>
    <w:rsid w:val="00547741"/>
    <w:rsid w:val="005477C8"/>
    <w:rsid w:val="00547B41"/>
    <w:rsid w:val="00547EBA"/>
    <w:rsid w:val="00550275"/>
    <w:rsid w:val="005504CB"/>
    <w:rsid w:val="00550780"/>
    <w:rsid w:val="005508E8"/>
    <w:rsid w:val="00550A8B"/>
    <w:rsid w:val="00550ACF"/>
    <w:rsid w:val="00550E23"/>
    <w:rsid w:val="00551354"/>
    <w:rsid w:val="005513ED"/>
    <w:rsid w:val="005514F7"/>
    <w:rsid w:val="00551C9F"/>
    <w:rsid w:val="005526D7"/>
    <w:rsid w:val="005527D5"/>
    <w:rsid w:val="00552AE4"/>
    <w:rsid w:val="00552D28"/>
    <w:rsid w:val="0055332D"/>
    <w:rsid w:val="00553535"/>
    <w:rsid w:val="0055354E"/>
    <w:rsid w:val="00553749"/>
    <w:rsid w:val="005539ED"/>
    <w:rsid w:val="00553B97"/>
    <w:rsid w:val="00553C3E"/>
    <w:rsid w:val="00553FAC"/>
    <w:rsid w:val="0055419C"/>
    <w:rsid w:val="00554650"/>
    <w:rsid w:val="00554E55"/>
    <w:rsid w:val="00554EA8"/>
    <w:rsid w:val="00555142"/>
    <w:rsid w:val="00555177"/>
    <w:rsid w:val="00555391"/>
    <w:rsid w:val="005553E4"/>
    <w:rsid w:val="00555969"/>
    <w:rsid w:val="00555F5D"/>
    <w:rsid w:val="0055603A"/>
    <w:rsid w:val="00556394"/>
    <w:rsid w:val="005563C1"/>
    <w:rsid w:val="00556722"/>
    <w:rsid w:val="00556820"/>
    <w:rsid w:val="00556828"/>
    <w:rsid w:val="0055685C"/>
    <w:rsid w:val="005568DD"/>
    <w:rsid w:val="005568F1"/>
    <w:rsid w:val="00556909"/>
    <w:rsid w:val="00556D1F"/>
    <w:rsid w:val="00556DC6"/>
    <w:rsid w:val="00557004"/>
    <w:rsid w:val="00557425"/>
    <w:rsid w:val="00557442"/>
    <w:rsid w:val="005574B9"/>
    <w:rsid w:val="0055756D"/>
    <w:rsid w:val="00557A23"/>
    <w:rsid w:val="00557FC5"/>
    <w:rsid w:val="00560056"/>
    <w:rsid w:val="00560275"/>
    <w:rsid w:val="00560337"/>
    <w:rsid w:val="00560618"/>
    <w:rsid w:val="005608BF"/>
    <w:rsid w:val="00560D88"/>
    <w:rsid w:val="00560F5F"/>
    <w:rsid w:val="005610E6"/>
    <w:rsid w:val="00561486"/>
    <w:rsid w:val="00561666"/>
    <w:rsid w:val="005618C1"/>
    <w:rsid w:val="00561927"/>
    <w:rsid w:val="00561ACB"/>
    <w:rsid w:val="00561AEB"/>
    <w:rsid w:val="00561B61"/>
    <w:rsid w:val="00562980"/>
    <w:rsid w:val="005629A8"/>
    <w:rsid w:val="00562AE6"/>
    <w:rsid w:val="00562CAE"/>
    <w:rsid w:val="0056321E"/>
    <w:rsid w:val="00563351"/>
    <w:rsid w:val="00563360"/>
    <w:rsid w:val="005649A8"/>
    <w:rsid w:val="00564A5D"/>
    <w:rsid w:val="00564C07"/>
    <w:rsid w:val="00564C81"/>
    <w:rsid w:val="00564D94"/>
    <w:rsid w:val="00564E79"/>
    <w:rsid w:val="005652E2"/>
    <w:rsid w:val="00565852"/>
    <w:rsid w:val="005659FB"/>
    <w:rsid w:val="00565A35"/>
    <w:rsid w:val="00565CBD"/>
    <w:rsid w:val="00565EE3"/>
    <w:rsid w:val="005663BC"/>
    <w:rsid w:val="00566582"/>
    <w:rsid w:val="00566B5A"/>
    <w:rsid w:val="005671E0"/>
    <w:rsid w:val="00567214"/>
    <w:rsid w:val="00567581"/>
    <w:rsid w:val="0057009F"/>
    <w:rsid w:val="005700FB"/>
    <w:rsid w:val="00570BC3"/>
    <w:rsid w:val="00570C6E"/>
    <w:rsid w:val="00571063"/>
    <w:rsid w:val="00571697"/>
    <w:rsid w:val="00571F56"/>
    <w:rsid w:val="00571FB3"/>
    <w:rsid w:val="00572102"/>
    <w:rsid w:val="0057243C"/>
    <w:rsid w:val="00572907"/>
    <w:rsid w:val="00572A98"/>
    <w:rsid w:val="0057398B"/>
    <w:rsid w:val="00573CAB"/>
    <w:rsid w:val="00573E70"/>
    <w:rsid w:val="005742E8"/>
    <w:rsid w:val="005746F1"/>
    <w:rsid w:val="00574E66"/>
    <w:rsid w:val="00575196"/>
    <w:rsid w:val="00575775"/>
    <w:rsid w:val="0057636C"/>
    <w:rsid w:val="00576763"/>
    <w:rsid w:val="0057678B"/>
    <w:rsid w:val="005768F0"/>
    <w:rsid w:val="00576AAA"/>
    <w:rsid w:val="00576C7C"/>
    <w:rsid w:val="00576F4B"/>
    <w:rsid w:val="005771CB"/>
    <w:rsid w:val="00577368"/>
    <w:rsid w:val="005779B4"/>
    <w:rsid w:val="005800F5"/>
    <w:rsid w:val="005802BC"/>
    <w:rsid w:val="00580445"/>
    <w:rsid w:val="00580540"/>
    <w:rsid w:val="005805BF"/>
    <w:rsid w:val="0058060B"/>
    <w:rsid w:val="0058069D"/>
    <w:rsid w:val="00580B9C"/>
    <w:rsid w:val="00580CF9"/>
    <w:rsid w:val="0058111E"/>
    <w:rsid w:val="00581129"/>
    <w:rsid w:val="005817A0"/>
    <w:rsid w:val="00581C34"/>
    <w:rsid w:val="00581CCD"/>
    <w:rsid w:val="00581DC4"/>
    <w:rsid w:val="0058204C"/>
    <w:rsid w:val="00582B58"/>
    <w:rsid w:val="00583790"/>
    <w:rsid w:val="005840C7"/>
    <w:rsid w:val="0058451D"/>
    <w:rsid w:val="00584791"/>
    <w:rsid w:val="00584CB9"/>
    <w:rsid w:val="00584CE8"/>
    <w:rsid w:val="00584D5A"/>
    <w:rsid w:val="00584DB5"/>
    <w:rsid w:val="0058525B"/>
    <w:rsid w:val="00585386"/>
    <w:rsid w:val="005854A3"/>
    <w:rsid w:val="00585699"/>
    <w:rsid w:val="00585774"/>
    <w:rsid w:val="00586134"/>
    <w:rsid w:val="005867B4"/>
    <w:rsid w:val="005867D4"/>
    <w:rsid w:val="00586E11"/>
    <w:rsid w:val="00586ED5"/>
    <w:rsid w:val="00586EFB"/>
    <w:rsid w:val="005872A5"/>
    <w:rsid w:val="00587D69"/>
    <w:rsid w:val="005902FD"/>
    <w:rsid w:val="005905CA"/>
    <w:rsid w:val="005907F6"/>
    <w:rsid w:val="005909D6"/>
    <w:rsid w:val="00590DBC"/>
    <w:rsid w:val="005910AC"/>
    <w:rsid w:val="00591503"/>
    <w:rsid w:val="00591560"/>
    <w:rsid w:val="005917CF"/>
    <w:rsid w:val="00591A9F"/>
    <w:rsid w:val="00591F19"/>
    <w:rsid w:val="00591FB5"/>
    <w:rsid w:val="0059236B"/>
    <w:rsid w:val="0059245F"/>
    <w:rsid w:val="0059248D"/>
    <w:rsid w:val="0059299C"/>
    <w:rsid w:val="00592A2F"/>
    <w:rsid w:val="0059308E"/>
    <w:rsid w:val="00593673"/>
    <w:rsid w:val="005937EC"/>
    <w:rsid w:val="00593807"/>
    <w:rsid w:val="0059382B"/>
    <w:rsid w:val="00593D74"/>
    <w:rsid w:val="005941BD"/>
    <w:rsid w:val="0059421E"/>
    <w:rsid w:val="005948CF"/>
    <w:rsid w:val="00594960"/>
    <w:rsid w:val="005949D2"/>
    <w:rsid w:val="00594CCE"/>
    <w:rsid w:val="00594E5E"/>
    <w:rsid w:val="00594F01"/>
    <w:rsid w:val="00595249"/>
    <w:rsid w:val="00595480"/>
    <w:rsid w:val="0059576A"/>
    <w:rsid w:val="005957D5"/>
    <w:rsid w:val="005959E8"/>
    <w:rsid w:val="00595D9A"/>
    <w:rsid w:val="00596211"/>
    <w:rsid w:val="005969D8"/>
    <w:rsid w:val="00596AF7"/>
    <w:rsid w:val="00596B99"/>
    <w:rsid w:val="00596C48"/>
    <w:rsid w:val="005976A3"/>
    <w:rsid w:val="005A0061"/>
    <w:rsid w:val="005A067A"/>
    <w:rsid w:val="005A0804"/>
    <w:rsid w:val="005A0B99"/>
    <w:rsid w:val="005A0D38"/>
    <w:rsid w:val="005A1038"/>
    <w:rsid w:val="005A1254"/>
    <w:rsid w:val="005A1745"/>
    <w:rsid w:val="005A185A"/>
    <w:rsid w:val="005A1B4A"/>
    <w:rsid w:val="005A1BC6"/>
    <w:rsid w:val="005A1E79"/>
    <w:rsid w:val="005A1FD3"/>
    <w:rsid w:val="005A21A1"/>
    <w:rsid w:val="005A2575"/>
    <w:rsid w:val="005A25FE"/>
    <w:rsid w:val="005A2697"/>
    <w:rsid w:val="005A2789"/>
    <w:rsid w:val="005A279E"/>
    <w:rsid w:val="005A2832"/>
    <w:rsid w:val="005A298C"/>
    <w:rsid w:val="005A2DF3"/>
    <w:rsid w:val="005A2E39"/>
    <w:rsid w:val="005A2EA3"/>
    <w:rsid w:val="005A333B"/>
    <w:rsid w:val="005A364A"/>
    <w:rsid w:val="005A3FB9"/>
    <w:rsid w:val="005A4249"/>
    <w:rsid w:val="005A4259"/>
    <w:rsid w:val="005A44BB"/>
    <w:rsid w:val="005A4B82"/>
    <w:rsid w:val="005A4CC5"/>
    <w:rsid w:val="005A4E19"/>
    <w:rsid w:val="005A500C"/>
    <w:rsid w:val="005A5C91"/>
    <w:rsid w:val="005A5D45"/>
    <w:rsid w:val="005A639E"/>
    <w:rsid w:val="005A69A7"/>
    <w:rsid w:val="005A69D4"/>
    <w:rsid w:val="005A70D6"/>
    <w:rsid w:val="005A7283"/>
    <w:rsid w:val="005A7353"/>
    <w:rsid w:val="005A75B8"/>
    <w:rsid w:val="005A7729"/>
    <w:rsid w:val="005A7879"/>
    <w:rsid w:val="005A78FD"/>
    <w:rsid w:val="005A7ADE"/>
    <w:rsid w:val="005B046F"/>
    <w:rsid w:val="005B0BAE"/>
    <w:rsid w:val="005B0C66"/>
    <w:rsid w:val="005B0E1F"/>
    <w:rsid w:val="005B1530"/>
    <w:rsid w:val="005B2065"/>
    <w:rsid w:val="005B215B"/>
    <w:rsid w:val="005B2671"/>
    <w:rsid w:val="005B2A96"/>
    <w:rsid w:val="005B2B5D"/>
    <w:rsid w:val="005B336E"/>
    <w:rsid w:val="005B34B0"/>
    <w:rsid w:val="005B3A25"/>
    <w:rsid w:val="005B3F7F"/>
    <w:rsid w:val="005B4298"/>
    <w:rsid w:val="005B4567"/>
    <w:rsid w:val="005B4817"/>
    <w:rsid w:val="005B4DD8"/>
    <w:rsid w:val="005B5205"/>
    <w:rsid w:val="005B5391"/>
    <w:rsid w:val="005B604F"/>
    <w:rsid w:val="005B6694"/>
    <w:rsid w:val="005B69B2"/>
    <w:rsid w:val="005B6B1B"/>
    <w:rsid w:val="005B724B"/>
    <w:rsid w:val="005B729C"/>
    <w:rsid w:val="005B7626"/>
    <w:rsid w:val="005B76F7"/>
    <w:rsid w:val="005B772D"/>
    <w:rsid w:val="005B7731"/>
    <w:rsid w:val="005B79E4"/>
    <w:rsid w:val="005B7CFD"/>
    <w:rsid w:val="005B7EC5"/>
    <w:rsid w:val="005C0083"/>
    <w:rsid w:val="005C0350"/>
    <w:rsid w:val="005C03F2"/>
    <w:rsid w:val="005C0678"/>
    <w:rsid w:val="005C06DE"/>
    <w:rsid w:val="005C0786"/>
    <w:rsid w:val="005C09D1"/>
    <w:rsid w:val="005C130E"/>
    <w:rsid w:val="005C1932"/>
    <w:rsid w:val="005C1BCE"/>
    <w:rsid w:val="005C20E4"/>
    <w:rsid w:val="005C22BA"/>
    <w:rsid w:val="005C241A"/>
    <w:rsid w:val="005C28C1"/>
    <w:rsid w:val="005C2ECB"/>
    <w:rsid w:val="005C3568"/>
    <w:rsid w:val="005C39DC"/>
    <w:rsid w:val="005C4254"/>
    <w:rsid w:val="005C4567"/>
    <w:rsid w:val="005C47FB"/>
    <w:rsid w:val="005C4973"/>
    <w:rsid w:val="005C4EC8"/>
    <w:rsid w:val="005C4F51"/>
    <w:rsid w:val="005C4F9B"/>
    <w:rsid w:val="005C5BFF"/>
    <w:rsid w:val="005C62FB"/>
    <w:rsid w:val="005C6351"/>
    <w:rsid w:val="005C6433"/>
    <w:rsid w:val="005C67CB"/>
    <w:rsid w:val="005C694A"/>
    <w:rsid w:val="005C6EE7"/>
    <w:rsid w:val="005C715D"/>
    <w:rsid w:val="005C723B"/>
    <w:rsid w:val="005C7332"/>
    <w:rsid w:val="005C7863"/>
    <w:rsid w:val="005C7986"/>
    <w:rsid w:val="005C7A75"/>
    <w:rsid w:val="005C7D85"/>
    <w:rsid w:val="005D0290"/>
    <w:rsid w:val="005D0C5B"/>
    <w:rsid w:val="005D0D23"/>
    <w:rsid w:val="005D10F0"/>
    <w:rsid w:val="005D1429"/>
    <w:rsid w:val="005D170E"/>
    <w:rsid w:val="005D1AC3"/>
    <w:rsid w:val="005D1E48"/>
    <w:rsid w:val="005D20B6"/>
    <w:rsid w:val="005D2427"/>
    <w:rsid w:val="005D247B"/>
    <w:rsid w:val="005D2511"/>
    <w:rsid w:val="005D27A8"/>
    <w:rsid w:val="005D2CA5"/>
    <w:rsid w:val="005D31E6"/>
    <w:rsid w:val="005D348A"/>
    <w:rsid w:val="005D3A52"/>
    <w:rsid w:val="005D3A5E"/>
    <w:rsid w:val="005D3E44"/>
    <w:rsid w:val="005D4863"/>
    <w:rsid w:val="005D4CDB"/>
    <w:rsid w:val="005D4DAD"/>
    <w:rsid w:val="005D50C2"/>
    <w:rsid w:val="005D55EB"/>
    <w:rsid w:val="005D56D7"/>
    <w:rsid w:val="005D57A5"/>
    <w:rsid w:val="005D5C77"/>
    <w:rsid w:val="005D5CBC"/>
    <w:rsid w:val="005D5E0A"/>
    <w:rsid w:val="005D5E13"/>
    <w:rsid w:val="005D5E58"/>
    <w:rsid w:val="005D5EFA"/>
    <w:rsid w:val="005D65B4"/>
    <w:rsid w:val="005D69E2"/>
    <w:rsid w:val="005D6B5A"/>
    <w:rsid w:val="005D6B5F"/>
    <w:rsid w:val="005D6C05"/>
    <w:rsid w:val="005D6CFD"/>
    <w:rsid w:val="005D733A"/>
    <w:rsid w:val="005D77CC"/>
    <w:rsid w:val="005D7856"/>
    <w:rsid w:val="005D78F4"/>
    <w:rsid w:val="005D7962"/>
    <w:rsid w:val="005D7ABF"/>
    <w:rsid w:val="005E071C"/>
    <w:rsid w:val="005E0780"/>
    <w:rsid w:val="005E0C24"/>
    <w:rsid w:val="005E1202"/>
    <w:rsid w:val="005E1E4F"/>
    <w:rsid w:val="005E1E80"/>
    <w:rsid w:val="005E223A"/>
    <w:rsid w:val="005E2469"/>
    <w:rsid w:val="005E254D"/>
    <w:rsid w:val="005E2683"/>
    <w:rsid w:val="005E26FD"/>
    <w:rsid w:val="005E27AD"/>
    <w:rsid w:val="005E27D9"/>
    <w:rsid w:val="005E2AC3"/>
    <w:rsid w:val="005E2C9B"/>
    <w:rsid w:val="005E2E97"/>
    <w:rsid w:val="005E2F0E"/>
    <w:rsid w:val="005E33EB"/>
    <w:rsid w:val="005E3580"/>
    <w:rsid w:val="005E35C8"/>
    <w:rsid w:val="005E3AAC"/>
    <w:rsid w:val="005E3C61"/>
    <w:rsid w:val="005E4AED"/>
    <w:rsid w:val="005E5013"/>
    <w:rsid w:val="005E57AE"/>
    <w:rsid w:val="005E5A89"/>
    <w:rsid w:val="005E5B93"/>
    <w:rsid w:val="005E61AF"/>
    <w:rsid w:val="005E66DD"/>
    <w:rsid w:val="005E68FE"/>
    <w:rsid w:val="005E6EE6"/>
    <w:rsid w:val="005E7082"/>
    <w:rsid w:val="005E7A17"/>
    <w:rsid w:val="005E7B1D"/>
    <w:rsid w:val="005E7D58"/>
    <w:rsid w:val="005E7E02"/>
    <w:rsid w:val="005E7EC7"/>
    <w:rsid w:val="005F02A4"/>
    <w:rsid w:val="005F0417"/>
    <w:rsid w:val="005F04E8"/>
    <w:rsid w:val="005F07A8"/>
    <w:rsid w:val="005F0AB0"/>
    <w:rsid w:val="005F0B5B"/>
    <w:rsid w:val="005F0B66"/>
    <w:rsid w:val="005F0D8A"/>
    <w:rsid w:val="005F13B3"/>
    <w:rsid w:val="005F13E8"/>
    <w:rsid w:val="005F1456"/>
    <w:rsid w:val="005F157E"/>
    <w:rsid w:val="005F15B1"/>
    <w:rsid w:val="005F1647"/>
    <w:rsid w:val="005F178C"/>
    <w:rsid w:val="005F1942"/>
    <w:rsid w:val="005F1A44"/>
    <w:rsid w:val="005F1A60"/>
    <w:rsid w:val="005F1FB8"/>
    <w:rsid w:val="005F1FD3"/>
    <w:rsid w:val="005F2A11"/>
    <w:rsid w:val="005F2A8B"/>
    <w:rsid w:val="005F2AF4"/>
    <w:rsid w:val="005F2E2C"/>
    <w:rsid w:val="005F2FE6"/>
    <w:rsid w:val="005F34F6"/>
    <w:rsid w:val="005F35B5"/>
    <w:rsid w:val="005F424E"/>
    <w:rsid w:val="005F43A4"/>
    <w:rsid w:val="005F45E9"/>
    <w:rsid w:val="005F475C"/>
    <w:rsid w:val="005F4DEA"/>
    <w:rsid w:val="005F4FD5"/>
    <w:rsid w:val="005F4FE0"/>
    <w:rsid w:val="005F5134"/>
    <w:rsid w:val="005F5499"/>
    <w:rsid w:val="005F54D9"/>
    <w:rsid w:val="005F5509"/>
    <w:rsid w:val="005F574E"/>
    <w:rsid w:val="005F59C4"/>
    <w:rsid w:val="005F620E"/>
    <w:rsid w:val="005F6531"/>
    <w:rsid w:val="005F7266"/>
    <w:rsid w:val="005F7670"/>
    <w:rsid w:val="005F7ABE"/>
    <w:rsid w:val="005F7D12"/>
    <w:rsid w:val="005F7E8F"/>
    <w:rsid w:val="0060088A"/>
    <w:rsid w:val="006009C5"/>
    <w:rsid w:val="00600B09"/>
    <w:rsid w:val="00601011"/>
    <w:rsid w:val="0060111A"/>
    <w:rsid w:val="006014CE"/>
    <w:rsid w:val="00601914"/>
    <w:rsid w:val="00601B31"/>
    <w:rsid w:val="00601D2A"/>
    <w:rsid w:val="00601F98"/>
    <w:rsid w:val="0060205F"/>
    <w:rsid w:val="00602510"/>
    <w:rsid w:val="006027E3"/>
    <w:rsid w:val="00602B22"/>
    <w:rsid w:val="00602F92"/>
    <w:rsid w:val="006030B1"/>
    <w:rsid w:val="006038A5"/>
    <w:rsid w:val="006038F6"/>
    <w:rsid w:val="00603ADF"/>
    <w:rsid w:val="00603C44"/>
    <w:rsid w:val="00603C54"/>
    <w:rsid w:val="00604302"/>
    <w:rsid w:val="006043AB"/>
    <w:rsid w:val="006046E4"/>
    <w:rsid w:val="00604783"/>
    <w:rsid w:val="00604830"/>
    <w:rsid w:val="0060485F"/>
    <w:rsid w:val="00604BBF"/>
    <w:rsid w:val="00604C85"/>
    <w:rsid w:val="00604D02"/>
    <w:rsid w:val="00604DF6"/>
    <w:rsid w:val="00604F86"/>
    <w:rsid w:val="0060523F"/>
    <w:rsid w:val="00605AAC"/>
    <w:rsid w:val="00605BA9"/>
    <w:rsid w:val="00605C08"/>
    <w:rsid w:val="00605D43"/>
    <w:rsid w:val="00605DD3"/>
    <w:rsid w:val="00606125"/>
    <w:rsid w:val="0060621C"/>
    <w:rsid w:val="006063C6"/>
    <w:rsid w:val="0060693B"/>
    <w:rsid w:val="00606F89"/>
    <w:rsid w:val="00607325"/>
    <w:rsid w:val="00607715"/>
    <w:rsid w:val="00607890"/>
    <w:rsid w:val="00607AB9"/>
    <w:rsid w:val="00607C3A"/>
    <w:rsid w:val="00607F83"/>
    <w:rsid w:val="0061009C"/>
    <w:rsid w:val="006102F3"/>
    <w:rsid w:val="0061041B"/>
    <w:rsid w:val="006108AF"/>
    <w:rsid w:val="006109A2"/>
    <w:rsid w:val="00611118"/>
    <w:rsid w:val="0061125A"/>
    <w:rsid w:val="00611643"/>
    <w:rsid w:val="00611694"/>
    <w:rsid w:val="00611704"/>
    <w:rsid w:val="00611822"/>
    <w:rsid w:val="006119DB"/>
    <w:rsid w:val="00612044"/>
    <w:rsid w:val="00612280"/>
    <w:rsid w:val="006122DF"/>
    <w:rsid w:val="00612512"/>
    <w:rsid w:val="00612595"/>
    <w:rsid w:val="00612785"/>
    <w:rsid w:val="00612ECF"/>
    <w:rsid w:val="00612EED"/>
    <w:rsid w:val="006130F0"/>
    <w:rsid w:val="00613295"/>
    <w:rsid w:val="0061366F"/>
    <w:rsid w:val="00613AE9"/>
    <w:rsid w:val="00613BBA"/>
    <w:rsid w:val="00613C9A"/>
    <w:rsid w:val="00613E38"/>
    <w:rsid w:val="0061486A"/>
    <w:rsid w:val="00614A48"/>
    <w:rsid w:val="00614D01"/>
    <w:rsid w:val="00615004"/>
    <w:rsid w:val="0061517A"/>
    <w:rsid w:val="0061571C"/>
    <w:rsid w:val="00615B3D"/>
    <w:rsid w:val="00615CC9"/>
    <w:rsid w:val="00616143"/>
    <w:rsid w:val="00616189"/>
    <w:rsid w:val="0061633A"/>
    <w:rsid w:val="0061645E"/>
    <w:rsid w:val="00616799"/>
    <w:rsid w:val="00616B3D"/>
    <w:rsid w:val="00616FDA"/>
    <w:rsid w:val="006171AC"/>
    <w:rsid w:val="00617619"/>
    <w:rsid w:val="006176A5"/>
    <w:rsid w:val="00617733"/>
    <w:rsid w:val="00617B4A"/>
    <w:rsid w:val="006207B3"/>
    <w:rsid w:val="00620AEC"/>
    <w:rsid w:val="00620C41"/>
    <w:rsid w:val="00620E30"/>
    <w:rsid w:val="00620EBC"/>
    <w:rsid w:val="00620F3F"/>
    <w:rsid w:val="00621065"/>
    <w:rsid w:val="006213E6"/>
    <w:rsid w:val="00622A6D"/>
    <w:rsid w:val="00622B07"/>
    <w:rsid w:val="00622C2A"/>
    <w:rsid w:val="00622D80"/>
    <w:rsid w:val="006230A1"/>
    <w:rsid w:val="0062368F"/>
    <w:rsid w:val="00623741"/>
    <w:rsid w:val="00623C17"/>
    <w:rsid w:val="00623FCA"/>
    <w:rsid w:val="00624184"/>
    <w:rsid w:val="00624B12"/>
    <w:rsid w:val="00624CCC"/>
    <w:rsid w:val="00624DC8"/>
    <w:rsid w:val="006258B5"/>
    <w:rsid w:val="00625A77"/>
    <w:rsid w:val="00625BC4"/>
    <w:rsid w:val="00625C1F"/>
    <w:rsid w:val="00625D87"/>
    <w:rsid w:val="006262F7"/>
    <w:rsid w:val="006264A4"/>
    <w:rsid w:val="006265D5"/>
    <w:rsid w:val="00626613"/>
    <w:rsid w:val="00626D0B"/>
    <w:rsid w:val="00626D30"/>
    <w:rsid w:val="0062723D"/>
    <w:rsid w:val="0062738A"/>
    <w:rsid w:val="0063032D"/>
    <w:rsid w:val="00630925"/>
    <w:rsid w:val="00630EF1"/>
    <w:rsid w:val="00631895"/>
    <w:rsid w:val="00631B51"/>
    <w:rsid w:val="006322D7"/>
    <w:rsid w:val="00632399"/>
    <w:rsid w:val="0063282F"/>
    <w:rsid w:val="00632DDA"/>
    <w:rsid w:val="00632F17"/>
    <w:rsid w:val="006331AD"/>
    <w:rsid w:val="0063357F"/>
    <w:rsid w:val="00633746"/>
    <w:rsid w:val="00633853"/>
    <w:rsid w:val="00634239"/>
    <w:rsid w:val="00634611"/>
    <w:rsid w:val="0063492A"/>
    <w:rsid w:val="00635838"/>
    <w:rsid w:val="00635877"/>
    <w:rsid w:val="00635A08"/>
    <w:rsid w:val="00635B45"/>
    <w:rsid w:val="00635FFE"/>
    <w:rsid w:val="00637970"/>
    <w:rsid w:val="006379F2"/>
    <w:rsid w:val="00637B65"/>
    <w:rsid w:val="00637B86"/>
    <w:rsid w:val="006406BC"/>
    <w:rsid w:val="00640807"/>
    <w:rsid w:val="00640D86"/>
    <w:rsid w:val="0064126C"/>
    <w:rsid w:val="006414D0"/>
    <w:rsid w:val="00641997"/>
    <w:rsid w:val="00641A50"/>
    <w:rsid w:val="00641EE5"/>
    <w:rsid w:val="006427CF"/>
    <w:rsid w:val="00642BB1"/>
    <w:rsid w:val="00642DEF"/>
    <w:rsid w:val="00643004"/>
    <w:rsid w:val="006430CC"/>
    <w:rsid w:val="00643105"/>
    <w:rsid w:val="00643269"/>
    <w:rsid w:val="006433E7"/>
    <w:rsid w:val="006434A8"/>
    <w:rsid w:val="006434ED"/>
    <w:rsid w:val="00643570"/>
    <w:rsid w:val="00643A0A"/>
    <w:rsid w:val="00643A73"/>
    <w:rsid w:val="00643B8E"/>
    <w:rsid w:val="00643DC3"/>
    <w:rsid w:val="00643E01"/>
    <w:rsid w:val="00644DC8"/>
    <w:rsid w:val="00645212"/>
    <w:rsid w:val="00645245"/>
    <w:rsid w:val="006454A4"/>
    <w:rsid w:val="00645851"/>
    <w:rsid w:val="00645A83"/>
    <w:rsid w:val="00645CAF"/>
    <w:rsid w:val="00645E48"/>
    <w:rsid w:val="00646183"/>
    <w:rsid w:val="0064620D"/>
    <w:rsid w:val="00646391"/>
    <w:rsid w:val="0064655B"/>
    <w:rsid w:val="00646695"/>
    <w:rsid w:val="00646779"/>
    <w:rsid w:val="00646D8F"/>
    <w:rsid w:val="00647572"/>
    <w:rsid w:val="006476B5"/>
    <w:rsid w:val="00647808"/>
    <w:rsid w:val="00647E5F"/>
    <w:rsid w:val="006501B1"/>
    <w:rsid w:val="00650352"/>
    <w:rsid w:val="00650618"/>
    <w:rsid w:val="00650861"/>
    <w:rsid w:val="006508E2"/>
    <w:rsid w:val="00650D48"/>
    <w:rsid w:val="00650F5F"/>
    <w:rsid w:val="006512F1"/>
    <w:rsid w:val="00651693"/>
    <w:rsid w:val="006518CE"/>
    <w:rsid w:val="00651D55"/>
    <w:rsid w:val="006520F9"/>
    <w:rsid w:val="00652341"/>
    <w:rsid w:val="006523DC"/>
    <w:rsid w:val="006527E4"/>
    <w:rsid w:val="0065284A"/>
    <w:rsid w:val="006528BA"/>
    <w:rsid w:val="00652DDA"/>
    <w:rsid w:val="00652F1C"/>
    <w:rsid w:val="00653030"/>
    <w:rsid w:val="006532DA"/>
    <w:rsid w:val="00653744"/>
    <w:rsid w:val="006538BA"/>
    <w:rsid w:val="006538D9"/>
    <w:rsid w:val="006538E1"/>
    <w:rsid w:val="006540EE"/>
    <w:rsid w:val="0065492A"/>
    <w:rsid w:val="00654F86"/>
    <w:rsid w:val="00655132"/>
    <w:rsid w:val="00655327"/>
    <w:rsid w:val="0065559F"/>
    <w:rsid w:val="00655E92"/>
    <w:rsid w:val="0065619B"/>
    <w:rsid w:val="006561E3"/>
    <w:rsid w:val="00656489"/>
    <w:rsid w:val="00656565"/>
    <w:rsid w:val="00656DCB"/>
    <w:rsid w:val="00657145"/>
    <w:rsid w:val="0065751E"/>
    <w:rsid w:val="00657A08"/>
    <w:rsid w:val="00657E09"/>
    <w:rsid w:val="00660597"/>
    <w:rsid w:val="00660996"/>
    <w:rsid w:val="00660ADD"/>
    <w:rsid w:val="00660B7A"/>
    <w:rsid w:val="00660DEB"/>
    <w:rsid w:val="006611DB"/>
    <w:rsid w:val="00661494"/>
    <w:rsid w:val="006616C1"/>
    <w:rsid w:val="00661C65"/>
    <w:rsid w:val="006622BB"/>
    <w:rsid w:val="0066238C"/>
    <w:rsid w:val="006623A3"/>
    <w:rsid w:val="00662751"/>
    <w:rsid w:val="00663112"/>
    <w:rsid w:val="006633C3"/>
    <w:rsid w:val="00663645"/>
    <w:rsid w:val="0066378B"/>
    <w:rsid w:val="00663C87"/>
    <w:rsid w:val="00663D63"/>
    <w:rsid w:val="00663DEF"/>
    <w:rsid w:val="00663FA7"/>
    <w:rsid w:val="00664022"/>
    <w:rsid w:val="0066415D"/>
    <w:rsid w:val="0066434B"/>
    <w:rsid w:val="0066450F"/>
    <w:rsid w:val="00664870"/>
    <w:rsid w:val="00664C46"/>
    <w:rsid w:val="00665A55"/>
    <w:rsid w:val="00665E9D"/>
    <w:rsid w:val="00665EA1"/>
    <w:rsid w:val="00666025"/>
    <w:rsid w:val="006660C7"/>
    <w:rsid w:val="006662A7"/>
    <w:rsid w:val="006665A9"/>
    <w:rsid w:val="00666D64"/>
    <w:rsid w:val="00666E56"/>
    <w:rsid w:val="00667408"/>
    <w:rsid w:val="00667411"/>
    <w:rsid w:val="00667590"/>
    <w:rsid w:val="00667617"/>
    <w:rsid w:val="006676F8"/>
    <w:rsid w:val="00667ACC"/>
    <w:rsid w:val="00667C64"/>
    <w:rsid w:val="00667E0F"/>
    <w:rsid w:val="00667E29"/>
    <w:rsid w:val="006705A9"/>
    <w:rsid w:val="00670CAB"/>
    <w:rsid w:val="00670EAE"/>
    <w:rsid w:val="00671017"/>
    <w:rsid w:val="00671037"/>
    <w:rsid w:val="006717B8"/>
    <w:rsid w:val="006719AC"/>
    <w:rsid w:val="006719BC"/>
    <w:rsid w:val="00671B47"/>
    <w:rsid w:val="00671B75"/>
    <w:rsid w:val="00672223"/>
    <w:rsid w:val="00672336"/>
    <w:rsid w:val="0067279D"/>
    <w:rsid w:val="006727E3"/>
    <w:rsid w:val="00672A02"/>
    <w:rsid w:val="00672FB1"/>
    <w:rsid w:val="0067327C"/>
    <w:rsid w:val="006735F8"/>
    <w:rsid w:val="0067365C"/>
    <w:rsid w:val="006739C0"/>
    <w:rsid w:val="00673A01"/>
    <w:rsid w:val="00673A13"/>
    <w:rsid w:val="00673BC9"/>
    <w:rsid w:val="0067412B"/>
    <w:rsid w:val="0067445F"/>
    <w:rsid w:val="00674653"/>
    <w:rsid w:val="00674993"/>
    <w:rsid w:val="00674A3A"/>
    <w:rsid w:val="00674AEB"/>
    <w:rsid w:val="00674F48"/>
    <w:rsid w:val="006755E2"/>
    <w:rsid w:val="00675B35"/>
    <w:rsid w:val="00675B84"/>
    <w:rsid w:val="00675BD9"/>
    <w:rsid w:val="00676BEA"/>
    <w:rsid w:val="00676C22"/>
    <w:rsid w:val="00676C7A"/>
    <w:rsid w:val="00676DC0"/>
    <w:rsid w:val="006770AE"/>
    <w:rsid w:val="006770D6"/>
    <w:rsid w:val="006771B7"/>
    <w:rsid w:val="0067735C"/>
    <w:rsid w:val="0067753E"/>
    <w:rsid w:val="006776BB"/>
    <w:rsid w:val="00677DB1"/>
    <w:rsid w:val="00680505"/>
    <w:rsid w:val="00680611"/>
    <w:rsid w:val="006806C1"/>
    <w:rsid w:val="00680D33"/>
    <w:rsid w:val="00681324"/>
    <w:rsid w:val="00681347"/>
    <w:rsid w:val="00681AC8"/>
    <w:rsid w:val="00681D27"/>
    <w:rsid w:val="00681DEE"/>
    <w:rsid w:val="006820F8"/>
    <w:rsid w:val="00682663"/>
    <w:rsid w:val="00682775"/>
    <w:rsid w:val="006828D8"/>
    <w:rsid w:val="00682DAB"/>
    <w:rsid w:val="00682DBB"/>
    <w:rsid w:val="00683240"/>
    <w:rsid w:val="006833A4"/>
    <w:rsid w:val="006834E3"/>
    <w:rsid w:val="00683822"/>
    <w:rsid w:val="00683F30"/>
    <w:rsid w:val="006840D8"/>
    <w:rsid w:val="00684342"/>
    <w:rsid w:val="00684427"/>
    <w:rsid w:val="00684610"/>
    <w:rsid w:val="00684BB7"/>
    <w:rsid w:val="00684D4F"/>
    <w:rsid w:val="00685334"/>
    <w:rsid w:val="0068549E"/>
    <w:rsid w:val="00685571"/>
    <w:rsid w:val="0068624B"/>
    <w:rsid w:val="0068661A"/>
    <w:rsid w:val="006866CB"/>
    <w:rsid w:val="006867A8"/>
    <w:rsid w:val="00686E48"/>
    <w:rsid w:val="006874CF"/>
    <w:rsid w:val="0068752A"/>
    <w:rsid w:val="00687726"/>
    <w:rsid w:val="00687A28"/>
    <w:rsid w:val="00687C4F"/>
    <w:rsid w:val="006900D0"/>
    <w:rsid w:val="006901BF"/>
    <w:rsid w:val="00690331"/>
    <w:rsid w:val="00690861"/>
    <w:rsid w:val="00690933"/>
    <w:rsid w:val="00690986"/>
    <w:rsid w:val="00690A71"/>
    <w:rsid w:val="00690EDD"/>
    <w:rsid w:val="00691180"/>
    <w:rsid w:val="006912F9"/>
    <w:rsid w:val="0069149C"/>
    <w:rsid w:val="006918C4"/>
    <w:rsid w:val="006918D7"/>
    <w:rsid w:val="00691F79"/>
    <w:rsid w:val="006920EA"/>
    <w:rsid w:val="00692729"/>
    <w:rsid w:val="00692C66"/>
    <w:rsid w:val="00692C79"/>
    <w:rsid w:val="00693033"/>
    <w:rsid w:val="00693804"/>
    <w:rsid w:val="00693B21"/>
    <w:rsid w:val="006947D8"/>
    <w:rsid w:val="0069486E"/>
    <w:rsid w:val="00694B75"/>
    <w:rsid w:val="00694F21"/>
    <w:rsid w:val="0069561D"/>
    <w:rsid w:val="006958A2"/>
    <w:rsid w:val="00695A83"/>
    <w:rsid w:val="0069631C"/>
    <w:rsid w:val="006963D3"/>
    <w:rsid w:val="00696651"/>
    <w:rsid w:val="00696789"/>
    <w:rsid w:val="00696928"/>
    <w:rsid w:val="00696937"/>
    <w:rsid w:val="00696AB9"/>
    <w:rsid w:val="00696E31"/>
    <w:rsid w:val="00696F49"/>
    <w:rsid w:val="00696F80"/>
    <w:rsid w:val="0069711A"/>
    <w:rsid w:val="006972E0"/>
    <w:rsid w:val="00697DB5"/>
    <w:rsid w:val="006A0624"/>
    <w:rsid w:val="006A07E8"/>
    <w:rsid w:val="006A0D9B"/>
    <w:rsid w:val="006A100D"/>
    <w:rsid w:val="006A1231"/>
    <w:rsid w:val="006A1258"/>
    <w:rsid w:val="006A163B"/>
    <w:rsid w:val="006A1A4C"/>
    <w:rsid w:val="006A1AFF"/>
    <w:rsid w:val="006A1F4D"/>
    <w:rsid w:val="006A1FDB"/>
    <w:rsid w:val="006A23F9"/>
    <w:rsid w:val="006A25BC"/>
    <w:rsid w:val="006A29CC"/>
    <w:rsid w:val="006A3527"/>
    <w:rsid w:val="006A35FE"/>
    <w:rsid w:val="006A396F"/>
    <w:rsid w:val="006A4081"/>
    <w:rsid w:val="006A4206"/>
    <w:rsid w:val="006A420B"/>
    <w:rsid w:val="006A46EE"/>
    <w:rsid w:val="006A47CD"/>
    <w:rsid w:val="006A49C0"/>
    <w:rsid w:val="006A4AA1"/>
    <w:rsid w:val="006A50A8"/>
    <w:rsid w:val="006A50FC"/>
    <w:rsid w:val="006A5134"/>
    <w:rsid w:val="006A5365"/>
    <w:rsid w:val="006A5390"/>
    <w:rsid w:val="006A5573"/>
    <w:rsid w:val="006A59C5"/>
    <w:rsid w:val="006A5B44"/>
    <w:rsid w:val="006A5BA2"/>
    <w:rsid w:val="006A5DAF"/>
    <w:rsid w:val="006A5E06"/>
    <w:rsid w:val="006A5FCD"/>
    <w:rsid w:val="006A617A"/>
    <w:rsid w:val="006A62CD"/>
    <w:rsid w:val="006A6311"/>
    <w:rsid w:val="006A689C"/>
    <w:rsid w:val="006A68EC"/>
    <w:rsid w:val="006A6BC5"/>
    <w:rsid w:val="006A6D06"/>
    <w:rsid w:val="006A6EB2"/>
    <w:rsid w:val="006A770F"/>
    <w:rsid w:val="006A79B2"/>
    <w:rsid w:val="006A7B15"/>
    <w:rsid w:val="006A7C5E"/>
    <w:rsid w:val="006A7CDF"/>
    <w:rsid w:val="006A7F03"/>
    <w:rsid w:val="006A7FC5"/>
    <w:rsid w:val="006B0431"/>
    <w:rsid w:val="006B05EE"/>
    <w:rsid w:val="006B09AD"/>
    <w:rsid w:val="006B0A7A"/>
    <w:rsid w:val="006B0D8A"/>
    <w:rsid w:val="006B1244"/>
    <w:rsid w:val="006B1280"/>
    <w:rsid w:val="006B1C79"/>
    <w:rsid w:val="006B2313"/>
    <w:rsid w:val="006B23F8"/>
    <w:rsid w:val="006B265B"/>
    <w:rsid w:val="006B2680"/>
    <w:rsid w:val="006B2837"/>
    <w:rsid w:val="006B2929"/>
    <w:rsid w:val="006B2984"/>
    <w:rsid w:val="006B2B1D"/>
    <w:rsid w:val="006B3820"/>
    <w:rsid w:val="006B38AB"/>
    <w:rsid w:val="006B3A56"/>
    <w:rsid w:val="006B3A65"/>
    <w:rsid w:val="006B40E9"/>
    <w:rsid w:val="006B4185"/>
    <w:rsid w:val="006B42EE"/>
    <w:rsid w:val="006B46D0"/>
    <w:rsid w:val="006B47AD"/>
    <w:rsid w:val="006B4AE3"/>
    <w:rsid w:val="006B4E7D"/>
    <w:rsid w:val="006B57F7"/>
    <w:rsid w:val="006B58F4"/>
    <w:rsid w:val="006B5952"/>
    <w:rsid w:val="006B5961"/>
    <w:rsid w:val="006B5AA9"/>
    <w:rsid w:val="006B5C07"/>
    <w:rsid w:val="006B60A9"/>
    <w:rsid w:val="006B6479"/>
    <w:rsid w:val="006B65DE"/>
    <w:rsid w:val="006B66A1"/>
    <w:rsid w:val="006B68D7"/>
    <w:rsid w:val="006B6A7F"/>
    <w:rsid w:val="006B6AB7"/>
    <w:rsid w:val="006B6D1D"/>
    <w:rsid w:val="006B72B7"/>
    <w:rsid w:val="006B7342"/>
    <w:rsid w:val="006C00BA"/>
    <w:rsid w:val="006C0109"/>
    <w:rsid w:val="006C0454"/>
    <w:rsid w:val="006C05B0"/>
    <w:rsid w:val="006C0A5E"/>
    <w:rsid w:val="006C0B1F"/>
    <w:rsid w:val="006C0FD4"/>
    <w:rsid w:val="006C1349"/>
    <w:rsid w:val="006C1A10"/>
    <w:rsid w:val="006C1D05"/>
    <w:rsid w:val="006C1E0B"/>
    <w:rsid w:val="006C2781"/>
    <w:rsid w:val="006C2A91"/>
    <w:rsid w:val="006C30E0"/>
    <w:rsid w:val="006C33A6"/>
    <w:rsid w:val="006C3B90"/>
    <w:rsid w:val="006C41F5"/>
    <w:rsid w:val="006C4863"/>
    <w:rsid w:val="006C49F0"/>
    <w:rsid w:val="006C57D9"/>
    <w:rsid w:val="006C5A97"/>
    <w:rsid w:val="006C5DC9"/>
    <w:rsid w:val="006C6332"/>
    <w:rsid w:val="006C69C3"/>
    <w:rsid w:val="006C6A00"/>
    <w:rsid w:val="006C6A17"/>
    <w:rsid w:val="006C6A22"/>
    <w:rsid w:val="006C6BCC"/>
    <w:rsid w:val="006C7214"/>
    <w:rsid w:val="006C723A"/>
    <w:rsid w:val="006C759C"/>
    <w:rsid w:val="006C7808"/>
    <w:rsid w:val="006C7C15"/>
    <w:rsid w:val="006D0218"/>
    <w:rsid w:val="006D048E"/>
    <w:rsid w:val="006D06E9"/>
    <w:rsid w:val="006D09C2"/>
    <w:rsid w:val="006D1120"/>
    <w:rsid w:val="006D12B6"/>
    <w:rsid w:val="006D19D7"/>
    <w:rsid w:val="006D1BB9"/>
    <w:rsid w:val="006D1DA1"/>
    <w:rsid w:val="006D1F65"/>
    <w:rsid w:val="006D20BF"/>
    <w:rsid w:val="006D2561"/>
    <w:rsid w:val="006D29A5"/>
    <w:rsid w:val="006D2A99"/>
    <w:rsid w:val="006D2DDA"/>
    <w:rsid w:val="006D33BB"/>
    <w:rsid w:val="006D3626"/>
    <w:rsid w:val="006D39FF"/>
    <w:rsid w:val="006D3A71"/>
    <w:rsid w:val="006D3C72"/>
    <w:rsid w:val="006D42B8"/>
    <w:rsid w:val="006D4383"/>
    <w:rsid w:val="006D44DA"/>
    <w:rsid w:val="006D4650"/>
    <w:rsid w:val="006D472B"/>
    <w:rsid w:val="006D47EB"/>
    <w:rsid w:val="006D4D60"/>
    <w:rsid w:val="006D4FB6"/>
    <w:rsid w:val="006D4FC9"/>
    <w:rsid w:val="006D51AD"/>
    <w:rsid w:val="006D5259"/>
    <w:rsid w:val="006D552B"/>
    <w:rsid w:val="006D5CC3"/>
    <w:rsid w:val="006D6484"/>
    <w:rsid w:val="006D6783"/>
    <w:rsid w:val="006D69BE"/>
    <w:rsid w:val="006D6A9E"/>
    <w:rsid w:val="006D6E24"/>
    <w:rsid w:val="006D6E33"/>
    <w:rsid w:val="006D6FB3"/>
    <w:rsid w:val="006D736F"/>
    <w:rsid w:val="006D7723"/>
    <w:rsid w:val="006D7BE3"/>
    <w:rsid w:val="006D7D51"/>
    <w:rsid w:val="006E0003"/>
    <w:rsid w:val="006E09BF"/>
    <w:rsid w:val="006E0B57"/>
    <w:rsid w:val="006E13B8"/>
    <w:rsid w:val="006E1736"/>
    <w:rsid w:val="006E194D"/>
    <w:rsid w:val="006E1A1A"/>
    <w:rsid w:val="006E1AFA"/>
    <w:rsid w:val="006E1C04"/>
    <w:rsid w:val="006E1C07"/>
    <w:rsid w:val="006E1C96"/>
    <w:rsid w:val="006E1E5B"/>
    <w:rsid w:val="006E1E9C"/>
    <w:rsid w:val="006E1F24"/>
    <w:rsid w:val="006E1F35"/>
    <w:rsid w:val="006E2631"/>
    <w:rsid w:val="006E2856"/>
    <w:rsid w:val="006E2A2D"/>
    <w:rsid w:val="006E2DF6"/>
    <w:rsid w:val="006E2FEB"/>
    <w:rsid w:val="006E3060"/>
    <w:rsid w:val="006E324F"/>
    <w:rsid w:val="006E3454"/>
    <w:rsid w:val="006E3678"/>
    <w:rsid w:val="006E39DD"/>
    <w:rsid w:val="006E4663"/>
    <w:rsid w:val="006E4C36"/>
    <w:rsid w:val="006E4DB0"/>
    <w:rsid w:val="006E5A3E"/>
    <w:rsid w:val="006E5B74"/>
    <w:rsid w:val="006E65C8"/>
    <w:rsid w:val="006E67A0"/>
    <w:rsid w:val="006E688A"/>
    <w:rsid w:val="006E6897"/>
    <w:rsid w:val="006E693E"/>
    <w:rsid w:val="006E6FAF"/>
    <w:rsid w:val="006E74DF"/>
    <w:rsid w:val="006E77AC"/>
    <w:rsid w:val="006E7859"/>
    <w:rsid w:val="006E792B"/>
    <w:rsid w:val="006E7B5F"/>
    <w:rsid w:val="006E7D55"/>
    <w:rsid w:val="006E7F74"/>
    <w:rsid w:val="006F0045"/>
    <w:rsid w:val="006F0561"/>
    <w:rsid w:val="006F05B6"/>
    <w:rsid w:val="006F06FA"/>
    <w:rsid w:val="006F0F72"/>
    <w:rsid w:val="006F1128"/>
    <w:rsid w:val="006F11EE"/>
    <w:rsid w:val="006F1356"/>
    <w:rsid w:val="006F15A0"/>
    <w:rsid w:val="006F1C64"/>
    <w:rsid w:val="006F1E89"/>
    <w:rsid w:val="006F2B70"/>
    <w:rsid w:val="006F2DD2"/>
    <w:rsid w:val="006F306F"/>
    <w:rsid w:val="006F3246"/>
    <w:rsid w:val="006F376A"/>
    <w:rsid w:val="006F38CE"/>
    <w:rsid w:val="006F3B0D"/>
    <w:rsid w:val="006F3E9D"/>
    <w:rsid w:val="006F4213"/>
    <w:rsid w:val="006F43AD"/>
    <w:rsid w:val="006F4488"/>
    <w:rsid w:val="006F4489"/>
    <w:rsid w:val="006F48F1"/>
    <w:rsid w:val="006F49F8"/>
    <w:rsid w:val="006F4A69"/>
    <w:rsid w:val="006F4BD6"/>
    <w:rsid w:val="006F595B"/>
    <w:rsid w:val="006F5977"/>
    <w:rsid w:val="006F59AA"/>
    <w:rsid w:val="006F59E7"/>
    <w:rsid w:val="006F5D1C"/>
    <w:rsid w:val="006F6035"/>
    <w:rsid w:val="006F6205"/>
    <w:rsid w:val="006F640B"/>
    <w:rsid w:val="006F65E0"/>
    <w:rsid w:val="006F69E3"/>
    <w:rsid w:val="006F6DB1"/>
    <w:rsid w:val="006F6F66"/>
    <w:rsid w:val="006F722F"/>
    <w:rsid w:val="006F75E3"/>
    <w:rsid w:val="006F7942"/>
    <w:rsid w:val="006F798D"/>
    <w:rsid w:val="006F7A63"/>
    <w:rsid w:val="006F7AFE"/>
    <w:rsid w:val="006F7C68"/>
    <w:rsid w:val="007003F0"/>
    <w:rsid w:val="00700480"/>
    <w:rsid w:val="00700707"/>
    <w:rsid w:val="007007CC"/>
    <w:rsid w:val="00700F55"/>
    <w:rsid w:val="0070154E"/>
    <w:rsid w:val="00701717"/>
    <w:rsid w:val="00701A5F"/>
    <w:rsid w:val="00701CED"/>
    <w:rsid w:val="00701FC7"/>
    <w:rsid w:val="00702075"/>
    <w:rsid w:val="0070271D"/>
    <w:rsid w:val="00702845"/>
    <w:rsid w:val="0070289B"/>
    <w:rsid w:val="00702A21"/>
    <w:rsid w:val="00702BC9"/>
    <w:rsid w:val="00702CD4"/>
    <w:rsid w:val="00703101"/>
    <w:rsid w:val="0070312B"/>
    <w:rsid w:val="0070316B"/>
    <w:rsid w:val="007031FF"/>
    <w:rsid w:val="0070336C"/>
    <w:rsid w:val="007033A4"/>
    <w:rsid w:val="00703635"/>
    <w:rsid w:val="0070382E"/>
    <w:rsid w:val="00703961"/>
    <w:rsid w:val="00703BEB"/>
    <w:rsid w:val="00703C6F"/>
    <w:rsid w:val="00703ECB"/>
    <w:rsid w:val="007043B0"/>
    <w:rsid w:val="0070447F"/>
    <w:rsid w:val="00704567"/>
    <w:rsid w:val="0070496B"/>
    <w:rsid w:val="0070545D"/>
    <w:rsid w:val="007057C4"/>
    <w:rsid w:val="00705874"/>
    <w:rsid w:val="00705892"/>
    <w:rsid w:val="007059D4"/>
    <w:rsid w:val="00705CC9"/>
    <w:rsid w:val="00705D2B"/>
    <w:rsid w:val="00705FB7"/>
    <w:rsid w:val="0070614D"/>
    <w:rsid w:val="00706824"/>
    <w:rsid w:val="007068A2"/>
    <w:rsid w:val="00706997"/>
    <w:rsid w:val="00706AEB"/>
    <w:rsid w:val="00707334"/>
    <w:rsid w:val="007076A1"/>
    <w:rsid w:val="007078F7"/>
    <w:rsid w:val="00707A86"/>
    <w:rsid w:val="00707B24"/>
    <w:rsid w:val="00707C22"/>
    <w:rsid w:val="00707DFF"/>
    <w:rsid w:val="00710418"/>
    <w:rsid w:val="007104D2"/>
    <w:rsid w:val="00710BAD"/>
    <w:rsid w:val="00710C61"/>
    <w:rsid w:val="007110AA"/>
    <w:rsid w:val="007111F9"/>
    <w:rsid w:val="007114A8"/>
    <w:rsid w:val="00711778"/>
    <w:rsid w:val="00711800"/>
    <w:rsid w:val="007118F7"/>
    <w:rsid w:val="00712477"/>
    <w:rsid w:val="00712638"/>
    <w:rsid w:val="00712C23"/>
    <w:rsid w:val="00712D33"/>
    <w:rsid w:val="00712EAA"/>
    <w:rsid w:val="007131C3"/>
    <w:rsid w:val="007131D2"/>
    <w:rsid w:val="0071335F"/>
    <w:rsid w:val="0071345F"/>
    <w:rsid w:val="00713482"/>
    <w:rsid w:val="00713661"/>
    <w:rsid w:val="00713B49"/>
    <w:rsid w:val="00713C3E"/>
    <w:rsid w:val="00713D25"/>
    <w:rsid w:val="007140D3"/>
    <w:rsid w:val="00714116"/>
    <w:rsid w:val="007148AB"/>
    <w:rsid w:val="007155BE"/>
    <w:rsid w:val="00715803"/>
    <w:rsid w:val="00715896"/>
    <w:rsid w:val="007158AB"/>
    <w:rsid w:val="00715BF0"/>
    <w:rsid w:val="00715C29"/>
    <w:rsid w:val="00715E16"/>
    <w:rsid w:val="00715EAF"/>
    <w:rsid w:val="0071612D"/>
    <w:rsid w:val="007161AF"/>
    <w:rsid w:val="00716234"/>
    <w:rsid w:val="00716A35"/>
    <w:rsid w:val="00716A49"/>
    <w:rsid w:val="00716DFE"/>
    <w:rsid w:val="0071737A"/>
    <w:rsid w:val="007175FF"/>
    <w:rsid w:val="00717D92"/>
    <w:rsid w:val="00720145"/>
    <w:rsid w:val="00720239"/>
    <w:rsid w:val="00720436"/>
    <w:rsid w:val="007208B7"/>
    <w:rsid w:val="00720937"/>
    <w:rsid w:val="00720ADE"/>
    <w:rsid w:val="00720DC9"/>
    <w:rsid w:val="007210D0"/>
    <w:rsid w:val="00721531"/>
    <w:rsid w:val="00721C7C"/>
    <w:rsid w:val="007227B1"/>
    <w:rsid w:val="00722911"/>
    <w:rsid w:val="007229DF"/>
    <w:rsid w:val="00722F66"/>
    <w:rsid w:val="00723610"/>
    <w:rsid w:val="00723863"/>
    <w:rsid w:val="00723927"/>
    <w:rsid w:val="007239AE"/>
    <w:rsid w:val="00723B1A"/>
    <w:rsid w:val="00723BA1"/>
    <w:rsid w:val="00723CC2"/>
    <w:rsid w:val="00724063"/>
    <w:rsid w:val="00724807"/>
    <w:rsid w:val="00724994"/>
    <w:rsid w:val="00724A22"/>
    <w:rsid w:val="00724A59"/>
    <w:rsid w:val="00724C47"/>
    <w:rsid w:val="00724CC5"/>
    <w:rsid w:val="00724F09"/>
    <w:rsid w:val="00725589"/>
    <w:rsid w:val="00725640"/>
    <w:rsid w:val="0072564B"/>
    <w:rsid w:val="007257F9"/>
    <w:rsid w:val="00725ADD"/>
    <w:rsid w:val="00725C45"/>
    <w:rsid w:val="007262A7"/>
    <w:rsid w:val="00726326"/>
    <w:rsid w:val="007268AB"/>
    <w:rsid w:val="007269BB"/>
    <w:rsid w:val="007271E0"/>
    <w:rsid w:val="00727830"/>
    <w:rsid w:val="00727DC9"/>
    <w:rsid w:val="00727F7A"/>
    <w:rsid w:val="00730599"/>
    <w:rsid w:val="007306A5"/>
    <w:rsid w:val="00730EE9"/>
    <w:rsid w:val="007312DC"/>
    <w:rsid w:val="00732994"/>
    <w:rsid w:val="00732B5E"/>
    <w:rsid w:val="00732C19"/>
    <w:rsid w:val="007336D9"/>
    <w:rsid w:val="00733932"/>
    <w:rsid w:val="00733AC1"/>
    <w:rsid w:val="00733FDA"/>
    <w:rsid w:val="00734928"/>
    <w:rsid w:val="00734F38"/>
    <w:rsid w:val="00735114"/>
    <w:rsid w:val="0073527B"/>
    <w:rsid w:val="007355A5"/>
    <w:rsid w:val="00735725"/>
    <w:rsid w:val="007358BF"/>
    <w:rsid w:val="00735CD1"/>
    <w:rsid w:val="007366F3"/>
    <w:rsid w:val="00736E7F"/>
    <w:rsid w:val="00736E94"/>
    <w:rsid w:val="0073728D"/>
    <w:rsid w:val="007374A1"/>
    <w:rsid w:val="007375E2"/>
    <w:rsid w:val="0073795E"/>
    <w:rsid w:val="00737CC3"/>
    <w:rsid w:val="00737D0B"/>
    <w:rsid w:val="00737D65"/>
    <w:rsid w:val="00740355"/>
    <w:rsid w:val="00740EA3"/>
    <w:rsid w:val="00741071"/>
    <w:rsid w:val="00741139"/>
    <w:rsid w:val="0074119E"/>
    <w:rsid w:val="0074146A"/>
    <w:rsid w:val="007415E8"/>
    <w:rsid w:val="00741850"/>
    <w:rsid w:val="00741EA2"/>
    <w:rsid w:val="007422D9"/>
    <w:rsid w:val="007426A4"/>
    <w:rsid w:val="00742AB7"/>
    <w:rsid w:val="00743DD5"/>
    <w:rsid w:val="00743E1A"/>
    <w:rsid w:val="00743E32"/>
    <w:rsid w:val="00743E49"/>
    <w:rsid w:val="00744119"/>
    <w:rsid w:val="00744631"/>
    <w:rsid w:val="0074487E"/>
    <w:rsid w:val="00744987"/>
    <w:rsid w:val="007449B5"/>
    <w:rsid w:val="00744C72"/>
    <w:rsid w:val="00744CD0"/>
    <w:rsid w:val="00744DAF"/>
    <w:rsid w:val="00744E7F"/>
    <w:rsid w:val="007458B7"/>
    <w:rsid w:val="00745BA8"/>
    <w:rsid w:val="00745E6F"/>
    <w:rsid w:val="007461CA"/>
    <w:rsid w:val="00746401"/>
    <w:rsid w:val="00746850"/>
    <w:rsid w:val="00746B70"/>
    <w:rsid w:val="00746F06"/>
    <w:rsid w:val="00746FAC"/>
    <w:rsid w:val="00746FFB"/>
    <w:rsid w:val="007474F7"/>
    <w:rsid w:val="00747816"/>
    <w:rsid w:val="00747833"/>
    <w:rsid w:val="0075047C"/>
    <w:rsid w:val="00750522"/>
    <w:rsid w:val="00750534"/>
    <w:rsid w:val="00750E12"/>
    <w:rsid w:val="00750FAB"/>
    <w:rsid w:val="00751903"/>
    <w:rsid w:val="00751E6F"/>
    <w:rsid w:val="007522B9"/>
    <w:rsid w:val="007523EC"/>
    <w:rsid w:val="00753163"/>
    <w:rsid w:val="0075330C"/>
    <w:rsid w:val="0075345D"/>
    <w:rsid w:val="0075365C"/>
    <w:rsid w:val="007538BD"/>
    <w:rsid w:val="00753D7E"/>
    <w:rsid w:val="00753F8A"/>
    <w:rsid w:val="00754502"/>
    <w:rsid w:val="00754978"/>
    <w:rsid w:val="00754E4A"/>
    <w:rsid w:val="00755086"/>
    <w:rsid w:val="0075517B"/>
    <w:rsid w:val="007558F7"/>
    <w:rsid w:val="00755961"/>
    <w:rsid w:val="0075657E"/>
    <w:rsid w:val="00756895"/>
    <w:rsid w:val="00756D1F"/>
    <w:rsid w:val="00756DE3"/>
    <w:rsid w:val="00756DE6"/>
    <w:rsid w:val="007570F4"/>
    <w:rsid w:val="00757D18"/>
    <w:rsid w:val="0076035E"/>
    <w:rsid w:val="00760594"/>
    <w:rsid w:val="007608ED"/>
    <w:rsid w:val="00760961"/>
    <w:rsid w:val="00760CDB"/>
    <w:rsid w:val="00760E87"/>
    <w:rsid w:val="007611E2"/>
    <w:rsid w:val="007612FD"/>
    <w:rsid w:val="007616CF"/>
    <w:rsid w:val="007619DF"/>
    <w:rsid w:val="00761CF9"/>
    <w:rsid w:val="00761D8F"/>
    <w:rsid w:val="007622D4"/>
    <w:rsid w:val="0076244B"/>
    <w:rsid w:val="00762671"/>
    <w:rsid w:val="00762CF7"/>
    <w:rsid w:val="0076309B"/>
    <w:rsid w:val="007632D8"/>
    <w:rsid w:val="007632EA"/>
    <w:rsid w:val="00763329"/>
    <w:rsid w:val="007643B9"/>
    <w:rsid w:val="007644B9"/>
    <w:rsid w:val="0076490D"/>
    <w:rsid w:val="00764A41"/>
    <w:rsid w:val="007651F2"/>
    <w:rsid w:val="00765365"/>
    <w:rsid w:val="0076544C"/>
    <w:rsid w:val="007654DD"/>
    <w:rsid w:val="007654DE"/>
    <w:rsid w:val="0076585B"/>
    <w:rsid w:val="00765CBF"/>
    <w:rsid w:val="007662EE"/>
    <w:rsid w:val="00766BB4"/>
    <w:rsid w:val="00766D11"/>
    <w:rsid w:val="00766F18"/>
    <w:rsid w:val="00767513"/>
    <w:rsid w:val="00770014"/>
    <w:rsid w:val="007701B8"/>
    <w:rsid w:val="007701F5"/>
    <w:rsid w:val="0077022C"/>
    <w:rsid w:val="00770471"/>
    <w:rsid w:val="00770534"/>
    <w:rsid w:val="00770973"/>
    <w:rsid w:val="007709FB"/>
    <w:rsid w:val="00770D4D"/>
    <w:rsid w:val="00770D72"/>
    <w:rsid w:val="00770E7A"/>
    <w:rsid w:val="00771C7C"/>
    <w:rsid w:val="00771DB5"/>
    <w:rsid w:val="00772144"/>
    <w:rsid w:val="0077276E"/>
    <w:rsid w:val="007727B5"/>
    <w:rsid w:val="00772A3D"/>
    <w:rsid w:val="00772AB8"/>
    <w:rsid w:val="00772F56"/>
    <w:rsid w:val="0077346E"/>
    <w:rsid w:val="00773A6A"/>
    <w:rsid w:val="00773D0C"/>
    <w:rsid w:val="007740D6"/>
    <w:rsid w:val="007744C1"/>
    <w:rsid w:val="00774691"/>
    <w:rsid w:val="00774765"/>
    <w:rsid w:val="00774C01"/>
    <w:rsid w:val="00774C5A"/>
    <w:rsid w:val="00774CBA"/>
    <w:rsid w:val="00774D55"/>
    <w:rsid w:val="00774D65"/>
    <w:rsid w:val="007750C6"/>
    <w:rsid w:val="0077528A"/>
    <w:rsid w:val="00775971"/>
    <w:rsid w:val="00775A4F"/>
    <w:rsid w:val="00775E46"/>
    <w:rsid w:val="007760CB"/>
    <w:rsid w:val="0077615A"/>
    <w:rsid w:val="0077689F"/>
    <w:rsid w:val="007771F0"/>
    <w:rsid w:val="0077730B"/>
    <w:rsid w:val="0077789B"/>
    <w:rsid w:val="00780868"/>
    <w:rsid w:val="00780C46"/>
    <w:rsid w:val="00780DC5"/>
    <w:rsid w:val="00780EFC"/>
    <w:rsid w:val="00780F8D"/>
    <w:rsid w:val="0078177F"/>
    <w:rsid w:val="0078195D"/>
    <w:rsid w:val="00781A2E"/>
    <w:rsid w:val="007820F2"/>
    <w:rsid w:val="00782258"/>
    <w:rsid w:val="00782651"/>
    <w:rsid w:val="0078279B"/>
    <w:rsid w:val="0078280E"/>
    <w:rsid w:val="00782A56"/>
    <w:rsid w:val="00782E91"/>
    <w:rsid w:val="0078318F"/>
    <w:rsid w:val="0078340E"/>
    <w:rsid w:val="0078364C"/>
    <w:rsid w:val="0078397C"/>
    <w:rsid w:val="007839F6"/>
    <w:rsid w:val="00783A4C"/>
    <w:rsid w:val="0078487F"/>
    <w:rsid w:val="007848EF"/>
    <w:rsid w:val="00784C4C"/>
    <w:rsid w:val="0078510A"/>
    <w:rsid w:val="0078525D"/>
    <w:rsid w:val="0078530B"/>
    <w:rsid w:val="00785670"/>
    <w:rsid w:val="00785A0E"/>
    <w:rsid w:val="00785D80"/>
    <w:rsid w:val="00785E0F"/>
    <w:rsid w:val="00785F89"/>
    <w:rsid w:val="00786025"/>
    <w:rsid w:val="007866CB"/>
    <w:rsid w:val="00786A97"/>
    <w:rsid w:val="00786FB7"/>
    <w:rsid w:val="00786FEE"/>
    <w:rsid w:val="00787400"/>
    <w:rsid w:val="00787430"/>
    <w:rsid w:val="00787A63"/>
    <w:rsid w:val="00787D0F"/>
    <w:rsid w:val="00790378"/>
    <w:rsid w:val="007905F6"/>
    <w:rsid w:val="0079097B"/>
    <w:rsid w:val="00790BE7"/>
    <w:rsid w:val="00791715"/>
    <w:rsid w:val="00791E62"/>
    <w:rsid w:val="00791F7F"/>
    <w:rsid w:val="0079221E"/>
    <w:rsid w:val="0079267A"/>
    <w:rsid w:val="007929CF"/>
    <w:rsid w:val="00792C53"/>
    <w:rsid w:val="00792D08"/>
    <w:rsid w:val="00792E87"/>
    <w:rsid w:val="007931FF"/>
    <w:rsid w:val="00793282"/>
    <w:rsid w:val="007932C9"/>
    <w:rsid w:val="007933BE"/>
    <w:rsid w:val="00793605"/>
    <w:rsid w:val="00793769"/>
    <w:rsid w:val="00793820"/>
    <w:rsid w:val="00793CAC"/>
    <w:rsid w:val="0079424C"/>
    <w:rsid w:val="00794420"/>
    <w:rsid w:val="00794844"/>
    <w:rsid w:val="00794AB2"/>
    <w:rsid w:val="00794BE6"/>
    <w:rsid w:val="00794CE8"/>
    <w:rsid w:val="00794FD4"/>
    <w:rsid w:val="0079536E"/>
    <w:rsid w:val="007955AB"/>
    <w:rsid w:val="0079582A"/>
    <w:rsid w:val="0079596D"/>
    <w:rsid w:val="00795B19"/>
    <w:rsid w:val="00795E98"/>
    <w:rsid w:val="0079644F"/>
    <w:rsid w:val="00796BD5"/>
    <w:rsid w:val="007972A4"/>
    <w:rsid w:val="00797988"/>
    <w:rsid w:val="00797C90"/>
    <w:rsid w:val="00797ED1"/>
    <w:rsid w:val="007A0695"/>
    <w:rsid w:val="007A079D"/>
    <w:rsid w:val="007A129D"/>
    <w:rsid w:val="007A12FE"/>
    <w:rsid w:val="007A17CE"/>
    <w:rsid w:val="007A19B9"/>
    <w:rsid w:val="007A1DD8"/>
    <w:rsid w:val="007A2143"/>
    <w:rsid w:val="007A2438"/>
    <w:rsid w:val="007A2564"/>
    <w:rsid w:val="007A281A"/>
    <w:rsid w:val="007A2B6D"/>
    <w:rsid w:val="007A31F5"/>
    <w:rsid w:val="007A32D4"/>
    <w:rsid w:val="007A3DB7"/>
    <w:rsid w:val="007A3E2D"/>
    <w:rsid w:val="007A3EED"/>
    <w:rsid w:val="007A3F43"/>
    <w:rsid w:val="007A4259"/>
    <w:rsid w:val="007A42EE"/>
    <w:rsid w:val="007A44A2"/>
    <w:rsid w:val="007A44EB"/>
    <w:rsid w:val="007A4618"/>
    <w:rsid w:val="007A4894"/>
    <w:rsid w:val="007A4AA3"/>
    <w:rsid w:val="007A4D55"/>
    <w:rsid w:val="007A5360"/>
    <w:rsid w:val="007A562A"/>
    <w:rsid w:val="007A5A28"/>
    <w:rsid w:val="007A5BFA"/>
    <w:rsid w:val="007A5F0F"/>
    <w:rsid w:val="007A636B"/>
    <w:rsid w:val="007A66E7"/>
    <w:rsid w:val="007A6ADF"/>
    <w:rsid w:val="007A6E20"/>
    <w:rsid w:val="007A6E4C"/>
    <w:rsid w:val="007A735C"/>
    <w:rsid w:val="007A74C1"/>
    <w:rsid w:val="007A7801"/>
    <w:rsid w:val="007A7851"/>
    <w:rsid w:val="007A7BE8"/>
    <w:rsid w:val="007A7C74"/>
    <w:rsid w:val="007A7DE7"/>
    <w:rsid w:val="007B015A"/>
    <w:rsid w:val="007B0206"/>
    <w:rsid w:val="007B022B"/>
    <w:rsid w:val="007B0B2A"/>
    <w:rsid w:val="007B0D1D"/>
    <w:rsid w:val="007B0FF6"/>
    <w:rsid w:val="007B10E0"/>
    <w:rsid w:val="007B1687"/>
    <w:rsid w:val="007B1BDA"/>
    <w:rsid w:val="007B2222"/>
    <w:rsid w:val="007B2548"/>
    <w:rsid w:val="007B2C2B"/>
    <w:rsid w:val="007B2D9B"/>
    <w:rsid w:val="007B2EB8"/>
    <w:rsid w:val="007B31B9"/>
    <w:rsid w:val="007B3D25"/>
    <w:rsid w:val="007B435E"/>
    <w:rsid w:val="007B4572"/>
    <w:rsid w:val="007B498B"/>
    <w:rsid w:val="007B4B0A"/>
    <w:rsid w:val="007B4D4E"/>
    <w:rsid w:val="007B5588"/>
    <w:rsid w:val="007B62C6"/>
    <w:rsid w:val="007B6512"/>
    <w:rsid w:val="007B70B4"/>
    <w:rsid w:val="007B7125"/>
    <w:rsid w:val="007B73E9"/>
    <w:rsid w:val="007B7F11"/>
    <w:rsid w:val="007B7FDF"/>
    <w:rsid w:val="007C01E2"/>
    <w:rsid w:val="007C031E"/>
    <w:rsid w:val="007C0428"/>
    <w:rsid w:val="007C0718"/>
    <w:rsid w:val="007C0808"/>
    <w:rsid w:val="007C0CA4"/>
    <w:rsid w:val="007C0F2B"/>
    <w:rsid w:val="007C12A7"/>
    <w:rsid w:val="007C13F7"/>
    <w:rsid w:val="007C2004"/>
    <w:rsid w:val="007C3034"/>
    <w:rsid w:val="007C3412"/>
    <w:rsid w:val="007C3F8F"/>
    <w:rsid w:val="007C41BB"/>
    <w:rsid w:val="007C42F6"/>
    <w:rsid w:val="007C47FB"/>
    <w:rsid w:val="007C4A6B"/>
    <w:rsid w:val="007C4C46"/>
    <w:rsid w:val="007C4D1D"/>
    <w:rsid w:val="007C4F49"/>
    <w:rsid w:val="007C50C3"/>
    <w:rsid w:val="007C5183"/>
    <w:rsid w:val="007C5A87"/>
    <w:rsid w:val="007C5B46"/>
    <w:rsid w:val="007C5B8E"/>
    <w:rsid w:val="007C5D1E"/>
    <w:rsid w:val="007C5D83"/>
    <w:rsid w:val="007C5E11"/>
    <w:rsid w:val="007C6391"/>
    <w:rsid w:val="007C68A8"/>
    <w:rsid w:val="007C68BB"/>
    <w:rsid w:val="007C6972"/>
    <w:rsid w:val="007C6EB2"/>
    <w:rsid w:val="007C6FB2"/>
    <w:rsid w:val="007C7077"/>
    <w:rsid w:val="007C738B"/>
    <w:rsid w:val="007C738F"/>
    <w:rsid w:val="007C76AD"/>
    <w:rsid w:val="007C7910"/>
    <w:rsid w:val="007C7F01"/>
    <w:rsid w:val="007D0242"/>
    <w:rsid w:val="007D0AD2"/>
    <w:rsid w:val="007D0AEF"/>
    <w:rsid w:val="007D0F8A"/>
    <w:rsid w:val="007D1440"/>
    <w:rsid w:val="007D194D"/>
    <w:rsid w:val="007D1D18"/>
    <w:rsid w:val="007D25B7"/>
    <w:rsid w:val="007D2733"/>
    <w:rsid w:val="007D2993"/>
    <w:rsid w:val="007D2FF5"/>
    <w:rsid w:val="007D307C"/>
    <w:rsid w:val="007D3317"/>
    <w:rsid w:val="007D3399"/>
    <w:rsid w:val="007D3431"/>
    <w:rsid w:val="007D34E8"/>
    <w:rsid w:val="007D3ACB"/>
    <w:rsid w:val="007D3D51"/>
    <w:rsid w:val="007D3E0B"/>
    <w:rsid w:val="007D3E85"/>
    <w:rsid w:val="007D44D0"/>
    <w:rsid w:val="007D49BD"/>
    <w:rsid w:val="007D4CD8"/>
    <w:rsid w:val="007D4FEE"/>
    <w:rsid w:val="007D511C"/>
    <w:rsid w:val="007D578F"/>
    <w:rsid w:val="007D5A85"/>
    <w:rsid w:val="007D5C57"/>
    <w:rsid w:val="007D601A"/>
    <w:rsid w:val="007D605F"/>
    <w:rsid w:val="007D627A"/>
    <w:rsid w:val="007D67CA"/>
    <w:rsid w:val="007D69A1"/>
    <w:rsid w:val="007D6AD4"/>
    <w:rsid w:val="007D6D7F"/>
    <w:rsid w:val="007D7699"/>
    <w:rsid w:val="007D7842"/>
    <w:rsid w:val="007D78D3"/>
    <w:rsid w:val="007D7D09"/>
    <w:rsid w:val="007D7E4E"/>
    <w:rsid w:val="007E005E"/>
    <w:rsid w:val="007E0300"/>
    <w:rsid w:val="007E0906"/>
    <w:rsid w:val="007E1192"/>
    <w:rsid w:val="007E18EE"/>
    <w:rsid w:val="007E2349"/>
    <w:rsid w:val="007E2A69"/>
    <w:rsid w:val="007E30CA"/>
    <w:rsid w:val="007E326C"/>
    <w:rsid w:val="007E32BE"/>
    <w:rsid w:val="007E3329"/>
    <w:rsid w:val="007E34E7"/>
    <w:rsid w:val="007E353A"/>
    <w:rsid w:val="007E3713"/>
    <w:rsid w:val="007E39E2"/>
    <w:rsid w:val="007E3A81"/>
    <w:rsid w:val="007E3BCA"/>
    <w:rsid w:val="007E3DDA"/>
    <w:rsid w:val="007E3FB3"/>
    <w:rsid w:val="007E4064"/>
    <w:rsid w:val="007E4691"/>
    <w:rsid w:val="007E486D"/>
    <w:rsid w:val="007E4BB8"/>
    <w:rsid w:val="007E4E69"/>
    <w:rsid w:val="007E4F8E"/>
    <w:rsid w:val="007E5016"/>
    <w:rsid w:val="007E593E"/>
    <w:rsid w:val="007E5E5F"/>
    <w:rsid w:val="007E5E76"/>
    <w:rsid w:val="007E5FC2"/>
    <w:rsid w:val="007E6009"/>
    <w:rsid w:val="007E630C"/>
    <w:rsid w:val="007E63D4"/>
    <w:rsid w:val="007E64F8"/>
    <w:rsid w:val="007E66D9"/>
    <w:rsid w:val="007E6846"/>
    <w:rsid w:val="007E6ED9"/>
    <w:rsid w:val="007E74D8"/>
    <w:rsid w:val="007E752D"/>
    <w:rsid w:val="007E75DE"/>
    <w:rsid w:val="007E79B6"/>
    <w:rsid w:val="007E7A57"/>
    <w:rsid w:val="007E7BA4"/>
    <w:rsid w:val="007E7F7D"/>
    <w:rsid w:val="007F0311"/>
    <w:rsid w:val="007F054B"/>
    <w:rsid w:val="007F0663"/>
    <w:rsid w:val="007F0ABA"/>
    <w:rsid w:val="007F0FE0"/>
    <w:rsid w:val="007F10CA"/>
    <w:rsid w:val="007F1280"/>
    <w:rsid w:val="007F13AE"/>
    <w:rsid w:val="007F1468"/>
    <w:rsid w:val="007F14AD"/>
    <w:rsid w:val="007F14B8"/>
    <w:rsid w:val="007F1BEE"/>
    <w:rsid w:val="007F250B"/>
    <w:rsid w:val="007F26FE"/>
    <w:rsid w:val="007F275A"/>
    <w:rsid w:val="007F298A"/>
    <w:rsid w:val="007F2D2D"/>
    <w:rsid w:val="007F2DDD"/>
    <w:rsid w:val="007F2E6E"/>
    <w:rsid w:val="007F2F0D"/>
    <w:rsid w:val="007F30A8"/>
    <w:rsid w:val="007F35CA"/>
    <w:rsid w:val="007F361F"/>
    <w:rsid w:val="007F371A"/>
    <w:rsid w:val="007F3761"/>
    <w:rsid w:val="007F380C"/>
    <w:rsid w:val="007F3B55"/>
    <w:rsid w:val="007F3FD6"/>
    <w:rsid w:val="007F43C3"/>
    <w:rsid w:val="007F4479"/>
    <w:rsid w:val="007F45E7"/>
    <w:rsid w:val="007F47F9"/>
    <w:rsid w:val="007F4979"/>
    <w:rsid w:val="007F49D9"/>
    <w:rsid w:val="007F4E1D"/>
    <w:rsid w:val="007F547A"/>
    <w:rsid w:val="007F56B4"/>
    <w:rsid w:val="007F5EDC"/>
    <w:rsid w:val="007F617A"/>
    <w:rsid w:val="007F62D4"/>
    <w:rsid w:val="007F6587"/>
    <w:rsid w:val="007F6757"/>
    <w:rsid w:val="007F6C23"/>
    <w:rsid w:val="007F6E9C"/>
    <w:rsid w:val="007F716A"/>
    <w:rsid w:val="007F723B"/>
    <w:rsid w:val="007F751C"/>
    <w:rsid w:val="007F7801"/>
    <w:rsid w:val="007F7AE9"/>
    <w:rsid w:val="00800251"/>
    <w:rsid w:val="008007D2"/>
    <w:rsid w:val="008008C7"/>
    <w:rsid w:val="00800BB7"/>
    <w:rsid w:val="00800D23"/>
    <w:rsid w:val="00800F45"/>
    <w:rsid w:val="0080125E"/>
    <w:rsid w:val="008012E5"/>
    <w:rsid w:val="00801904"/>
    <w:rsid w:val="00801949"/>
    <w:rsid w:val="00801AF3"/>
    <w:rsid w:val="00801B67"/>
    <w:rsid w:val="00801D70"/>
    <w:rsid w:val="00801E10"/>
    <w:rsid w:val="008021E4"/>
    <w:rsid w:val="00802309"/>
    <w:rsid w:val="0080231D"/>
    <w:rsid w:val="008026B8"/>
    <w:rsid w:val="008028C7"/>
    <w:rsid w:val="00802FD7"/>
    <w:rsid w:val="008035FC"/>
    <w:rsid w:val="00803BC4"/>
    <w:rsid w:val="00803EDE"/>
    <w:rsid w:val="00803F69"/>
    <w:rsid w:val="008046DA"/>
    <w:rsid w:val="00804CC0"/>
    <w:rsid w:val="008053DF"/>
    <w:rsid w:val="00805429"/>
    <w:rsid w:val="008054EA"/>
    <w:rsid w:val="00805867"/>
    <w:rsid w:val="00806597"/>
    <w:rsid w:val="008067DA"/>
    <w:rsid w:val="00806A51"/>
    <w:rsid w:val="00806C9F"/>
    <w:rsid w:val="00806CD7"/>
    <w:rsid w:val="00806FC5"/>
    <w:rsid w:val="0080702B"/>
    <w:rsid w:val="00807320"/>
    <w:rsid w:val="008078A1"/>
    <w:rsid w:val="00807B4C"/>
    <w:rsid w:val="00807F35"/>
    <w:rsid w:val="00810085"/>
    <w:rsid w:val="008103E6"/>
    <w:rsid w:val="00810663"/>
    <w:rsid w:val="00811361"/>
    <w:rsid w:val="00811839"/>
    <w:rsid w:val="00811C01"/>
    <w:rsid w:val="008123D8"/>
    <w:rsid w:val="00812587"/>
    <w:rsid w:val="00812A72"/>
    <w:rsid w:val="00812C2C"/>
    <w:rsid w:val="00812C6A"/>
    <w:rsid w:val="00812D99"/>
    <w:rsid w:val="00813180"/>
    <w:rsid w:val="00813257"/>
    <w:rsid w:val="008134C7"/>
    <w:rsid w:val="008138AF"/>
    <w:rsid w:val="00813CF1"/>
    <w:rsid w:val="00813DC5"/>
    <w:rsid w:val="00813FE0"/>
    <w:rsid w:val="0081436D"/>
    <w:rsid w:val="00814557"/>
    <w:rsid w:val="00814750"/>
    <w:rsid w:val="008150FC"/>
    <w:rsid w:val="00815238"/>
    <w:rsid w:val="00815318"/>
    <w:rsid w:val="00815372"/>
    <w:rsid w:val="008154DF"/>
    <w:rsid w:val="008159E0"/>
    <w:rsid w:val="00815D67"/>
    <w:rsid w:val="00815E99"/>
    <w:rsid w:val="00815EA5"/>
    <w:rsid w:val="0081675F"/>
    <w:rsid w:val="00816873"/>
    <w:rsid w:val="008169D6"/>
    <w:rsid w:val="00816A51"/>
    <w:rsid w:val="00816C02"/>
    <w:rsid w:val="00816D35"/>
    <w:rsid w:val="00816D84"/>
    <w:rsid w:val="00816F3B"/>
    <w:rsid w:val="008170B9"/>
    <w:rsid w:val="008171DD"/>
    <w:rsid w:val="00817AD4"/>
    <w:rsid w:val="00817EBD"/>
    <w:rsid w:val="00817F73"/>
    <w:rsid w:val="008205D1"/>
    <w:rsid w:val="008207EC"/>
    <w:rsid w:val="0082094D"/>
    <w:rsid w:val="00820B17"/>
    <w:rsid w:val="00821185"/>
    <w:rsid w:val="0082126E"/>
    <w:rsid w:val="0082152B"/>
    <w:rsid w:val="00821A84"/>
    <w:rsid w:val="00822061"/>
    <w:rsid w:val="008221A1"/>
    <w:rsid w:val="008223B4"/>
    <w:rsid w:val="008223BC"/>
    <w:rsid w:val="008224BE"/>
    <w:rsid w:val="00822E24"/>
    <w:rsid w:val="0082352D"/>
    <w:rsid w:val="00823701"/>
    <w:rsid w:val="00823754"/>
    <w:rsid w:val="00823867"/>
    <w:rsid w:val="00823A2F"/>
    <w:rsid w:val="00823EE8"/>
    <w:rsid w:val="00823F60"/>
    <w:rsid w:val="00824FE4"/>
    <w:rsid w:val="008250F1"/>
    <w:rsid w:val="008250F4"/>
    <w:rsid w:val="008252FB"/>
    <w:rsid w:val="00825578"/>
    <w:rsid w:val="00825A7A"/>
    <w:rsid w:val="00825F4A"/>
    <w:rsid w:val="00826077"/>
    <w:rsid w:val="0082608D"/>
    <w:rsid w:val="00826270"/>
    <w:rsid w:val="008262C4"/>
    <w:rsid w:val="00826538"/>
    <w:rsid w:val="008268EC"/>
    <w:rsid w:val="00826D9C"/>
    <w:rsid w:val="00826E82"/>
    <w:rsid w:val="00826F29"/>
    <w:rsid w:val="00827068"/>
    <w:rsid w:val="00827F11"/>
    <w:rsid w:val="00827FAB"/>
    <w:rsid w:val="00830259"/>
    <w:rsid w:val="00830C1A"/>
    <w:rsid w:val="00830D95"/>
    <w:rsid w:val="008319F8"/>
    <w:rsid w:val="00832990"/>
    <w:rsid w:val="00832DDC"/>
    <w:rsid w:val="00832FD0"/>
    <w:rsid w:val="00833564"/>
    <w:rsid w:val="008337AC"/>
    <w:rsid w:val="00833AFC"/>
    <w:rsid w:val="00833DAC"/>
    <w:rsid w:val="00834194"/>
    <w:rsid w:val="00834342"/>
    <w:rsid w:val="00834695"/>
    <w:rsid w:val="00834A73"/>
    <w:rsid w:val="00834F6F"/>
    <w:rsid w:val="00835144"/>
    <w:rsid w:val="00835803"/>
    <w:rsid w:val="00835986"/>
    <w:rsid w:val="00835C92"/>
    <w:rsid w:val="00835CF7"/>
    <w:rsid w:val="00835F1E"/>
    <w:rsid w:val="00835FE0"/>
    <w:rsid w:val="008360B9"/>
    <w:rsid w:val="0083613F"/>
    <w:rsid w:val="008363D8"/>
    <w:rsid w:val="008364BB"/>
    <w:rsid w:val="00836845"/>
    <w:rsid w:val="00836985"/>
    <w:rsid w:val="008369B8"/>
    <w:rsid w:val="00836A6D"/>
    <w:rsid w:val="00836E7E"/>
    <w:rsid w:val="00836F27"/>
    <w:rsid w:val="0083700F"/>
    <w:rsid w:val="00837A56"/>
    <w:rsid w:val="00837BAB"/>
    <w:rsid w:val="00837C94"/>
    <w:rsid w:val="00837EA1"/>
    <w:rsid w:val="0084002E"/>
    <w:rsid w:val="0084046B"/>
    <w:rsid w:val="008406BD"/>
    <w:rsid w:val="00840C10"/>
    <w:rsid w:val="00840EF1"/>
    <w:rsid w:val="008415B2"/>
    <w:rsid w:val="008416E6"/>
    <w:rsid w:val="00841DCF"/>
    <w:rsid w:val="00842044"/>
    <w:rsid w:val="00842294"/>
    <w:rsid w:val="0084233B"/>
    <w:rsid w:val="0084252C"/>
    <w:rsid w:val="008426A9"/>
    <w:rsid w:val="00842AA1"/>
    <w:rsid w:val="00842E49"/>
    <w:rsid w:val="00843020"/>
    <w:rsid w:val="0084344B"/>
    <w:rsid w:val="008435E5"/>
    <w:rsid w:val="008439A3"/>
    <w:rsid w:val="00843B51"/>
    <w:rsid w:val="00843B6F"/>
    <w:rsid w:val="00843ED0"/>
    <w:rsid w:val="0084405B"/>
    <w:rsid w:val="00844175"/>
    <w:rsid w:val="008442B9"/>
    <w:rsid w:val="008449F7"/>
    <w:rsid w:val="00844B9A"/>
    <w:rsid w:val="00844C55"/>
    <w:rsid w:val="00845641"/>
    <w:rsid w:val="00845673"/>
    <w:rsid w:val="00845862"/>
    <w:rsid w:val="00845C29"/>
    <w:rsid w:val="00846330"/>
    <w:rsid w:val="00846455"/>
    <w:rsid w:val="008467C5"/>
    <w:rsid w:val="008467F8"/>
    <w:rsid w:val="00846AC7"/>
    <w:rsid w:val="00846D34"/>
    <w:rsid w:val="00846DB6"/>
    <w:rsid w:val="00846DFA"/>
    <w:rsid w:val="00846F67"/>
    <w:rsid w:val="00847092"/>
    <w:rsid w:val="00847A9D"/>
    <w:rsid w:val="008504A7"/>
    <w:rsid w:val="008507FC"/>
    <w:rsid w:val="00850853"/>
    <w:rsid w:val="00850DFE"/>
    <w:rsid w:val="00850ED3"/>
    <w:rsid w:val="00850FF9"/>
    <w:rsid w:val="0085105A"/>
    <w:rsid w:val="00851217"/>
    <w:rsid w:val="008519F3"/>
    <w:rsid w:val="00851B4C"/>
    <w:rsid w:val="00852414"/>
    <w:rsid w:val="008527DB"/>
    <w:rsid w:val="00852A00"/>
    <w:rsid w:val="00852F4D"/>
    <w:rsid w:val="00853156"/>
    <w:rsid w:val="008534BF"/>
    <w:rsid w:val="0085364A"/>
    <w:rsid w:val="008538F5"/>
    <w:rsid w:val="00853A19"/>
    <w:rsid w:val="00853B90"/>
    <w:rsid w:val="00853CC0"/>
    <w:rsid w:val="008540E2"/>
    <w:rsid w:val="008544B8"/>
    <w:rsid w:val="0085459C"/>
    <w:rsid w:val="008546EE"/>
    <w:rsid w:val="0085516E"/>
    <w:rsid w:val="00855209"/>
    <w:rsid w:val="00855211"/>
    <w:rsid w:val="008553B3"/>
    <w:rsid w:val="00855E6F"/>
    <w:rsid w:val="0085600A"/>
    <w:rsid w:val="00856091"/>
    <w:rsid w:val="008560F7"/>
    <w:rsid w:val="008561BC"/>
    <w:rsid w:val="008561E2"/>
    <w:rsid w:val="00856488"/>
    <w:rsid w:val="008566FA"/>
    <w:rsid w:val="00856782"/>
    <w:rsid w:val="008567C3"/>
    <w:rsid w:val="00856E11"/>
    <w:rsid w:val="008572A0"/>
    <w:rsid w:val="0085734A"/>
    <w:rsid w:val="008573CC"/>
    <w:rsid w:val="00857D65"/>
    <w:rsid w:val="00860629"/>
    <w:rsid w:val="00860A59"/>
    <w:rsid w:val="00860DDC"/>
    <w:rsid w:val="00860EC2"/>
    <w:rsid w:val="0086129B"/>
    <w:rsid w:val="00861563"/>
    <w:rsid w:val="00861876"/>
    <w:rsid w:val="00861A9E"/>
    <w:rsid w:val="00861B28"/>
    <w:rsid w:val="00861C2B"/>
    <w:rsid w:val="00861D14"/>
    <w:rsid w:val="00861EAE"/>
    <w:rsid w:val="008621EB"/>
    <w:rsid w:val="008622C3"/>
    <w:rsid w:val="008625CE"/>
    <w:rsid w:val="0086273F"/>
    <w:rsid w:val="008628F7"/>
    <w:rsid w:val="00862A75"/>
    <w:rsid w:val="00862B7C"/>
    <w:rsid w:val="00862DBC"/>
    <w:rsid w:val="00862FB8"/>
    <w:rsid w:val="00862FC9"/>
    <w:rsid w:val="00863219"/>
    <w:rsid w:val="008633ED"/>
    <w:rsid w:val="00863544"/>
    <w:rsid w:val="0086366D"/>
    <w:rsid w:val="00863942"/>
    <w:rsid w:val="00863B27"/>
    <w:rsid w:val="00863CCA"/>
    <w:rsid w:val="00863FB8"/>
    <w:rsid w:val="0086444D"/>
    <w:rsid w:val="00864884"/>
    <w:rsid w:val="008648AD"/>
    <w:rsid w:val="00864B46"/>
    <w:rsid w:val="008657F5"/>
    <w:rsid w:val="00865824"/>
    <w:rsid w:val="00865CD9"/>
    <w:rsid w:val="00866284"/>
    <w:rsid w:val="00866605"/>
    <w:rsid w:val="00866689"/>
    <w:rsid w:val="008668CC"/>
    <w:rsid w:val="0086697F"/>
    <w:rsid w:val="008669FA"/>
    <w:rsid w:val="00866AB4"/>
    <w:rsid w:val="00866E96"/>
    <w:rsid w:val="0086753A"/>
    <w:rsid w:val="0086774B"/>
    <w:rsid w:val="00867DA7"/>
    <w:rsid w:val="00867E63"/>
    <w:rsid w:val="00870293"/>
    <w:rsid w:val="00870340"/>
    <w:rsid w:val="00870352"/>
    <w:rsid w:val="00870428"/>
    <w:rsid w:val="00870528"/>
    <w:rsid w:val="0087063B"/>
    <w:rsid w:val="008707B2"/>
    <w:rsid w:val="008707E2"/>
    <w:rsid w:val="00870AE4"/>
    <w:rsid w:val="00870F03"/>
    <w:rsid w:val="008711D3"/>
    <w:rsid w:val="00871428"/>
    <w:rsid w:val="008717B8"/>
    <w:rsid w:val="008718E8"/>
    <w:rsid w:val="00871B85"/>
    <w:rsid w:val="00871ECA"/>
    <w:rsid w:val="008721A8"/>
    <w:rsid w:val="00872522"/>
    <w:rsid w:val="00872A33"/>
    <w:rsid w:val="00872A9A"/>
    <w:rsid w:val="00872CBF"/>
    <w:rsid w:val="00872FC9"/>
    <w:rsid w:val="0087301D"/>
    <w:rsid w:val="008732D4"/>
    <w:rsid w:val="00873303"/>
    <w:rsid w:val="0087382B"/>
    <w:rsid w:val="008738EA"/>
    <w:rsid w:val="00873AAA"/>
    <w:rsid w:val="0087433E"/>
    <w:rsid w:val="0087437A"/>
    <w:rsid w:val="00874380"/>
    <w:rsid w:val="008744B4"/>
    <w:rsid w:val="008747C4"/>
    <w:rsid w:val="00874933"/>
    <w:rsid w:val="00874A9B"/>
    <w:rsid w:val="00875404"/>
    <w:rsid w:val="0087589F"/>
    <w:rsid w:val="00876010"/>
    <w:rsid w:val="00876015"/>
    <w:rsid w:val="008762E6"/>
    <w:rsid w:val="00876670"/>
    <w:rsid w:val="00876899"/>
    <w:rsid w:val="00876A4B"/>
    <w:rsid w:val="0087730A"/>
    <w:rsid w:val="0087788B"/>
    <w:rsid w:val="00877BF8"/>
    <w:rsid w:val="00877CA9"/>
    <w:rsid w:val="008800C2"/>
    <w:rsid w:val="0088015B"/>
    <w:rsid w:val="0088015C"/>
    <w:rsid w:val="008809A6"/>
    <w:rsid w:val="00880AD3"/>
    <w:rsid w:val="00880B93"/>
    <w:rsid w:val="00880DA7"/>
    <w:rsid w:val="00881018"/>
    <w:rsid w:val="00881037"/>
    <w:rsid w:val="008818BA"/>
    <w:rsid w:val="00881AE9"/>
    <w:rsid w:val="00881B79"/>
    <w:rsid w:val="00881C34"/>
    <w:rsid w:val="00881C62"/>
    <w:rsid w:val="008820FB"/>
    <w:rsid w:val="008821DB"/>
    <w:rsid w:val="0088232B"/>
    <w:rsid w:val="00882337"/>
    <w:rsid w:val="0088287E"/>
    <w:rsid w:val="00882929"/>
    <w:rsid w:val="00882EB0"/>
    <w:rsid w:val="00882FCF"/>
    <w:rsid w:val="008834E6"/>
    <w:rsid w:val="0088375A"/>
    <w:rsid w:val="00883A56"/>
    <w:rsid w:val="00883D05"/>
    <w:rsid w:val="008840E5"/>
    <w:rsid w:val="00884519"/>
    <w:rsid w:val="00884CEA"/>
    <w:rsid w:val="00884EE6"/>
    <w:rsid w:val="0088506E"/>
    <w:rsid w:val="0088508B"/>
    <w:rsid w:val="00885113"/>
    <w:rsid w:val="00885132"/>
    <w:rsid w:val="00885410"/>
    <w:rsid w:val="008854EA"/>
    <w:rsid w:val="00885CDC"/>
    <w:rsid w:val="00885D17"/>
    <w:rsid w:val="00885E0C"/>
    <w:rsid w:val="00885EE2"/>
    <w:rsid w:val="008863B6"/>
    <w:rsid w:val="00886437"/>
    <w:rsid w:val="00886676"/>
    <w:rsid w:val="008869B1"/>
    <w:rsid w:val="00887635"/>
    <w:rsid w:val="00887957"/>
    <w:rsid w:val="00887A65"/>
    <w:rsid w:val="00887E1B"/>
    <w:rsid w:val="008904C4"/>
    <w:rsid w:val="0089062A"/>
    <w:rsid w:val="008908E6"/>
    <w:rsid w:val="00890E84"/>
    <w:rsid w:val="00891C41"/>
    <w:rsid w:val="00891D51"/>
    <w:rsid w:val="00891E19"/>
    <w:rsid w:val="00892057"/>
    <w:rsid w:val="008922BB"/>
    <w:rsid w:val="00892439"/>
    <w:rsid w:val="0089274D"/>
    <w:rsid w:val="0089294F"/>
    <w:rsid w:val="00892A7A"/>
    <w:rsid w:val="00892C30"/>
    <w:rsid w:val="00892C71"/>
    <w:rsid w:val="0089331F"/>
    <w:rsid w:val="00893980"/>
    <w:rsid w:val="00893AF8"/>
    <w:rsid w:val="00893B09"/>
    <w:rsid w:val="00894232"/>
    <w:rsid w:val="008942B2"/>
    <w:rsid w:val="00894433"/>
    <w:rsid w:val="00894A14"/>
    <w:rsid w:val="00894C1D"/>
    <w:rsid w:val="00894CD7"/>
    <w:rsid w:val="00894EB4"/>
    <w:rsid w:val="008950F4"/>
    <w:rsid w:val="00895192"/>
    <w:rsid w:val="008965C1"/>
    <w:rsid w:val="0089687B"/>
    <w:rsid w:val="0089698E"/>
    <w:rsid w:val="008970DA"/>
    <w:rsid w:val="008974A9"/>
    <w:rsid w:val="008974D8"/>
    <w:rsid w:val="008979CD"/>
    <w:rsid w:val="00897A0A"/>
    <w:rsid w:val="00897C06"/>
    <w:rsid w:val="00897C9C"/>
    <w:rsid w:val="008A00A3"/>
    <w:rsid w:val="008A00F4"/>
    <w:rsid w:val="008A01CE"/>
    <w:rsid w:val="008A0324"/>
    <w:rsid w:val="008A0A7A"/>
    <w:rsid w:val="008A0CF2"/>
    <w:rsid w:val="008A14BC"/>
    <w:rsid w:val="008A1715"/>
    <w:rsid w:val="008A17AA"/>
    <w:rsid w:val="008A1A38"/>
    <w:rsid w:val="008A2150"/>
    <w:rsid w:val="008A21F5"/>
    <w:rsid w:val="008A223A"/>
    <w:rsid w:val="008A241A"/>
    <w:rsid w:val="008A25C7"/>
    <w:rsid w:val="008A29B0"/>
    <w:rsid w:val="008A3260"/>
    <w:rsid w:val="008A33DB"/>
    <w:rsid w:val="008A34F8"/>
    <w:rsid w:val="008A368B"/>
    <w:rsid w:val="008A36C5"/>
    <w:rsid w:val="008A3B8D"/>
    <w:rsid w:val="008A400E"/>
    <w:rsid w:val="008A4422"/>
    <w:rsid w:val="008A4442"/>
    <w:rsid w:val="008A4921"/>
    <w:rsid w:val="008A5945"/>
    <w:rsid w:val="008A5B71"/>
    <w:rsid w:val="008A5D75"/>
    <w:rsid w:val="008A6045"/>
    <w:rsid w:val="008A64A0"/>
    <w:rsid w:val="008A655C"/>
    <w:rsid w:val="008A66A3"/>
    <w:rsid w:val="008A68D8"/>
    <w:rsid w:val="008A6AC3"/>
    <w:rsid w:val="008A6E62"/>
    <w:rsid w:val="008A6FF1"/>
    <w:rsid w:val="008A745F"/>
    <w:rsid w:val="008A7A71"/>
    <w:rsid w:val="008A7C4F"/>
    <w:rsid w:val="008A7CF5"/>
    <w:rsid w:val="008A7D87"/>
    <w:rsid w:val="008B0257"/>
    <w:rsid w:val="008B07F9"/>
    <w:rsid w:val="008B09AE"/>
    <w:rsid w:val="008B0D3B"/>
    <w:rsid w:val="008B15DC"/>
    <w:rsid w:val="008B16C0"/>
    <w:rsid w:val="008B1B01"/>
    <w:rsid w:val="008B1CE9"/>
    <w:rsid w:val="008B1E1B"/>
    <w:rsid w:val="008B1F62"/>
    <w:rsid w:val="008B1FAC"/>
    <w:rsid w:val="008B2926"/>
    <w:rsid w:val="008B2A4B"/>
    <w:rsid w:val="008B2A70"/>
    <w:rsid w:val="008B2A9B"/>
    <w:rsid w:val="008B302A"/>
    <w:rsid w:val="008B33EB"/>
    <w:rsid w:val="008B3667"/>
    <w:rsid w:val="008B3A8E"/>
    <w:rsid w:val="008B3E75"/>
    <w:rsid w:val="008B3F34"/>
    <w:rsid w:val="008B4295"/>
    <w:rsid w:val="008B446F"/>
    <w:rsid w:val="008B448F"/>
    <w:rsid w:val="008B4A1D"/>
    <w:rsid w:val="008B4C5A"/>
    <w:rsid w:val="008B5734"/>
    <w:rsid w:val="008B5805"/>
    <w:rsid w:val="008B5EEF"/>
    <w:rsid w:val="008B5EF6"/>
    <w:rsid w:val="008B6079"/>
    <w:rsid w:val="008B6271"/>
    <w:rsid w:val="008B6448"/>
    <w:rsid w:val="008B6494"/>
    <w:rsid w:val="008B6526"/>
    <w:rsid w:val="008B687C"/>
    <w:rsid w:val="008B6CD2"/>
    <w:rsid w:val="008B6CE8"/>
    <w:rsid w:val="008B6DB0"/>
    <w:rsid w:val="008B7046"/>
    <w:rsid w:val="008B77C2"/>
    <w:rsid w:val="008B79D5"/>
    <w:rsid w:val="008B7ADA"/>
    <w:rsid w:val="008B7CC8"/>
    <w:rsid w:val="008B7FD0"/>
    <w:rsid w:val="008C00F1"/>
    <w:rsid w:val="008C03CC"/>
    <w:rsid w:val="008C03DF"/>
    <w:rsid w:val="008C09E2"/>
    <w:rsid w:val="008C0ABE"/>
    <w:rsid w:val="008C0D64"/>
    <w:rsid w:val="008C0DCA"/>
    <w:rsid w:val="008C13CF"/>
    <w:rsid w:val="008C209E"/>
    <w:rsid w:val="008C23BB"/>
    <w:rsid w:val="008C2523"/>
    <w:rsid w:val="008C2564"/>
    <w:rsid w:val="008C2777"/>
    <w:rsid w:val="008C27A3"/>
    <w:rsid w:val="008C27FB"/>
    <w:rsid w:val="008C2D7B"/>
    <w:rsid w:val="008C2F0C"/>
    <w:rsid w:val="008C34C7"/>
    <w:rsid w:val="008C36E4"/>
    <w:rsid w:val="008C3856"/>
    <w:rsid w:val="008C3C01"/>
    <w:rsid w:val="008C3C28"/>
    <w:rsid w:val="008C4074"/>
    <w:rsid w:val="008C415E"/>
    <w:rsid w:val="008C41D9"/>
    <w:rsid w:val="008C4733"/>
    <w:rsid w:val="008C4DD2"/>
    <w:rsid w:val="008C5102"/>
    <w:rsid w:val="008C537C"/>
    <w:rsid w:val="008C58EC"/>
    <w:rsid w:val="008C5B5F"/>
    <w:rsid w:val="008C5D96"/>
    <w:rsid w:val="008C5F89"/>
    <w:rsid w:val="008C5FFE"/>
    <w:rsid w:val="008C6500"/>
    <w:rsid w:val="008C6688"/>
    <w:rsid w:val="008C6738"/>
    <w:rsid w:val="008C68EC"/>
    <w:rsid w:val="008C6B69"/>
    <w:rsid w:val="008C6DC3"/>
    <w:rsid w:val="008C6EFE"/>
    <w:rsid w:val="008C7724"/>
    <w:rsid w:val="008C791E"/>
    <w:rsid w:val="008C7C9F"/>
    <w:rsid w:val="008D0682"/>
    <w:rsid w:val="008D0E4B"/>
    <w:rsid w:val="008D0F3F"/>
    <w:rsid w:val="008D1003"/>
    <w:rsid w:val="008D1363"/>
    <w:rsid w:val="008D1392"/>
    <w:rsid w:val="008D1777"/>
    <w:rsid w:val="008D1C0E"/>
    <w:rsid w:val="008D2048"/>
    <w:rsid w:val="008D2257"/>
    <w:rsid w:val="008D259D"/>
    <w:rsid w:val="008D2AF0"/>
    <w:rsid w:val="008D3629"/>
    <w:rsid w:val="008D3D65"/>
    <w:rsid w:val="008D3DAC"/>
    <w:rsid w:val="008D3E02"/>
    <w:rsid w:val="008D4629"/>
    <w:rsid w:val="008D466E"/>
    <w:rsid w:val="008D4692"/>
    <w:rsid w:val="008D4B50"/>
    <w:rsid w:val="008D4C22"/>
    <w:rsid w:val="008D4C96"/>
    <w:rsid w:val="008D5148"/>
    <w:rsid w:val="008D5908"/>
    <w:rsid w:val="008D5E30"/>
    <w:rsid w:val="008D61CE"/>
    <w:rsid w:val="008D6761"/>
    <w:rsid w:val="008D6AFD"/>
    <w:rsid w:val="008D736F"/>
    <w:rsid w:val="008D758F"/>
    <w:rsid w:val="008D77C9"/>
    <w:rsid w:val="008D78FB"/>
    <w:rsid w:val="008D79C0"/>
    <w:rsid w:val="008D7B04"/>
    <w:rsid w:val="008D7DF5"/>
    <w:rsid w:val="008E0626"/>
    <w:rsid w:val="008E094F"/>
    <w:rsid w:val="008E1157"/>
    <w:rsid w:val="008E12BC"/>
    <w:rsid w:val="008E1CAC"/>
    <w:rsid w:val="008E21C3"/>
    <w:rsid w:val="008E2A1E"/>
    <w:rsid w:val="008E30D0"/>
    <w:rsid w:val="008E3610"/>
    <w:rsid w:val="008E3A53"/>
    <w:rsid w:val="008E3E6A"/>
    <w:rsid w:val="008E4392"/>
    <w:rsid w:val="008E4401"/>
    <w:rsid w:val="008E48B2"/>
    <w:rsid w:val="008E49E2"/>
    <w:rsid w:val="008E4E8B"/>
    <w:rsid w:val="008E539D"/>
    <w:rsid w:val="008E54A0"/>
    <w:rsid w:val="008E5729"/>
    <w:rsid w:val="008E598E"/>
    <w:rsid w:val="008E5F8D"/>
    <w:rsid w:val="008E631A"/>
    <w:rsid w:val="008E6653"/>
    <w:rsid w:val="008E6797"/>
    <w:rsid w:val="008E6EC2"/>
    <w:rsid w:val="008E6FAD"/>
    <w:rsid w:val="008E72F7"/>
    <w:rsid w:val="008E785E"/>
    <w:rsid w:val="008E7870"/>
    <w:rsid w:val="008E7A6C"/>
    <w:rsid w:val="008E7C56"/>
    <w:rsid w:val="008E7E12"/>
    <w:rsid w:val="008E7E24"/>
    <w:rsid w:val="008E7F84"/>
    <w:rsid w:val="008F010D"/>
    <w:rsid w:val="008F12E5"/>
    <w:rsid w:val="008F1409"/>
    <w:rsid w:val="008F189F"/>
    <w:rsid w:val="008F1A98"/>
    <w:rsid w:val="008F25FB"/>
    <w:rsid w:val="008F2B14"/>
    <w:rsid w:val="008F2C65"/>
    <w:rsid w:val="008F2CD7"/>
    <w:rsid w:val="008F2F42"/>
    <w:rsid w:val="008F31C3"/>
    <w:rsid w:val="008F333D"/>
    <w:rsid w:val="008F348D"/>
    <w:rsid w:val="008F34D7"/>
    <w:rsid w:val="008F37E6"/>
    <w:rsid w:val="008F3D44"/>
    <w:rsid w:val="008F3E1D"/>
    <w:rsid w:val="008F40ED"/>
    <w:rsid w:val="008F421A"/>
    <w:rsid w:val="008F4578"/>
    <w:rsid w:val="008F4677"/>
    <w:rsid w:val="008F4A35"/>
    <w:rsid w:val="008F5B79"/>
    <w:rsid w:val="008F5C10"/>
    <w:rsid w:val="008F5E91"/>
    <w:rsid w:val="008F5FA5"/>
    <w:rsid w:val="008F5FE0"/>
    <w:rsid w:val="008F6222"/>
    <w:rsid w:val="008F66F1"/>
    <w:rsid w:val="008F6995"/>
    <w:rsid w:val="008F6B01"/>
    <w:rsid w:val="008F6BB1"/>
    <w:rsid w:val="008F6C18"/>
    <w:rsid w:val="008F754B"/>
    <w:rsid w:val="008F7639"/>
    <w:rsid w:val="008F7785"/>
    <w:rsid w:val="008F7896"/>
    <w:rsid w:val="008F7A4B"/>
    <w:rsid w:val="008F7BA5"/>
    <w:rsid w:val="008F7C11"/>
    <w:rsid w:val="00900520"/>
    <w:rsid w:val="0090063A"/>
    <w:rsid w:val="00900BCB"/>
    <w:rsid w:val="00900BDA"/>
    <w:rsid w:val="00900BF0"/>
    <w:rsid w:val="00900BFF"/>
    <w:rsid w:val="00900CBA"/>
    <w:rsid w:val="00900E47"/>
    <w:rsid w:val="00900F5B"/>
    <w:rsid w:val="009017EB"/>
    <w:rsid w:val="00901840"/>
    <w:rsid w:val="00901B83"/>
    <w:rsid w:val="0090243A"/>
    <w:rsid w:val="00902647"/>
    <w:rsid w:val="0090281A"/>
    <w:rsid w:val="009030DB"/>
    <w:rsid w:val="00903140"/>
    <w:rsid w:val="009031A2"/>
    <w:rsid w:val="00903367"/>
    <w:rsid w:val="00903481"/>
    <w:rsid w:val="009036F8"/>
    <w:rsid w:val="009038B2"/>
    <w:rsid w:val="009038F7"/>
    <w:rsid w:val="00903B5D"/>
    <w:rsid w:val="00903E52"/>
    <w:rsid w:val="00903F60"/>
    <w:rsid w:val="009043F8"/>
    <w:rsid w:val="00904433"/>
    <w:rsid w:val="009048DA"/>
    <w:rsid w:val="0090519D"/>
    <w:rsid w:val="0090580E"/>
    <w:rsid w:val="00905B5C"/>
    <w:rsid w:val="00905ECF"/>
    <w:rsid w:val="00906543"/>
    <w:rsid w:val="0090670E"/>
    <w:rsid w:val="00906BD3"/>
    <w:rsid w:val="00906C21"/>
    <w:rsid w:val="009070C0"/>
    <w:rsid w:val="009076F8"/>
    <w:rsid w:val="009077C0"/>
    <w:rsid w:val="00910482"/>
    <w:rsid w:val="00910893"/>
    <w:rsid w:val="00910939"/>
    <w:rsid w:val="00910A3C"/>
    <w:rsid w:val="00910A91"/>
    <w:rsid w:val="009113AA"/>
    <w:rsid w:val="0091188A"/>
    <w:rsid w:val="00911D85"/>
    <w:rsid w:val="00911ED5"/>
    <w:rsid w:val="00912046"/>
    <w:rsid w:val="00912601"/>
    <w:rsid w:val="00912753"/>
    <w:rsid w:val="00912CA5"/>
    <w:rsid w:val="00912D6F"/>
    <w:rsid w:val="00912DE4"/>
    <w:rsid w:val="009134CD"/>
    <w:rsid w:val="00913898"/>
    <w:rsid w:val="00913D1A"/>
    <w:rsid w:val="00913E6B"/>
    <w:rsid w:val="00913EA3"/>
    <w:rsid w:val="00914101"/>
    <w:rsid w:val="009142D5"/>
    <w:rsid w:val="0091473A"/>
    <w:rsid w:val="0091490D"/>
    <w:rsid w:val="009152BD"/>
    <w:rsid w:val="0091530F"/>
    <w:rsid w:val="00915A1A"/>
    <w:rsid w:val="00915B74"/>
    <w:rsid w:val="00915DFE"/>
    <w:rsid w:val="00916121"/>
    <w:rsid w:val="009162BC"/>
    <w:rsid w:val="00916389"/>
    <w:rsid w:val="00916586"/>
    <w:rsid w:val="00916740"/>
    <w:rsid w:val="00917567"/>
    <w:rsid w:val="009178FD"/>
    <w:rsid w:val="0091790A"/>
    <w:rsid w:val="00917BBA"/>
    <w:rsid w:val="00920487"/>
    <w:rsid w:val="0092054C"/>
    <w:rsid w:val="009205E2"/>
    <w:rsid w:val="009206D5"/>
    <w:rsid w:val="009207A7"/>
    <w:rsid w:val="00920CAB"/>
    <w:rsid w:val="00921297"/>
    <w:rsid w:val="009215E1"/>
    <w:rsid w:val="0092180E"/>
    <w:rsid w:val="00921C09"/>
    <w:rsid w:val="00921CEE"/>
    <w:rsid w:val="00921D01"/>
    <w:rsid w:val="00921DDF"/>
    <w:rsid w:val="0092209C"/>
    <w:rsid w:val="00922DA7"/>
    <w:rsid w:val="00922E39"/>
    <w:rsid w:val="0092345B"/>
    <w:rsid w:val="00923F91"/>
    <w:rsid w:val="009244C7"/>
    <w:rsid w:val="00924B22"/>
    <w:rsid w:val="00924C28"/>
    <w:rsid w:val="00924C58"/>
    <w:rsid w:val="00924D1B"/>
    <w:rsid w:val="00924D60"/>
    <w:rsid w:val="00924F33"/>
    <w:rsid w:val="0092502D"/>
    <w:rsid w:val="00925477"/>
    <w:rsid w:val="0092552E"/>
    <w:rsid w:val="00925632"/>
    <w:rsid w:val="0092564B"/>
    <w:rsid w:val="009256B5"/>
    <w:rsid w:val="00925949"/>
    <w:rsid w:val="00925954"/>
    <w:rsid w:val="0092598F"/>
    <w:rsid w:val="00925C8B"/>
    <w:rsid w:val="009260AB"/>
    <w:rsid w:val="009262A1"/>
    <w:rsid w:val="00926877"/>
    <w:rsid w:val="0092689B"/>
    <w:rsid w:val="00926A03"/>
    <w:rsid w:val="00926EC3"/>
    <w:rsid w:val="00926F39"/>
    <w:rsid w:val="00926F49"/>
    <w:rsid w:val="009271D7"/>
    <w:rsid w:val="009271D8"/>
    <w:rsid w:val="00927278"/>
    <w:rsid w:val="00927502"/>
    <w:rsid w:val="00927883"/>
    <w:rsid w:val="00927FC3"/>
    <w:rsid w:val="0093031A"/>
    <w:rsid w:val="009303D1"/>
    <w:rsid w:val="009308F7"/>
    <w:rsid w:val="00930A7D"/>
    <w:rsid w:val="00930A98"/>
    <w:rsid w:val="00930ACA"/>
    <w:rsid w:val="009310DF"/>
    <w:rsid w:val="009313C2"/>
    <w:rsid w:val="00931407"/>
    <w:rsid w:val="009317C6"/>
    <w:rsid w:val="0093183C"/>
    <w:rsid w:val="0093188B"/>
    <w:rsid w:val="00931A07"/>
    <w:rsid w:val="00931C97"/>
    <w:rsid w:val="00931E2F"/>
    <w:rsid w:val="00931EC4"/>
    <w:rsid w:val="00931F0A"/>
    <w:rsid w:val="00932639"/>
    <w:rsid w:val="009326EA"/>
    <w:rsid w:val="00932A93"/>
    <w:rsid w:val="00932DFE"/>
    <w:rsid w:val="009331B7"/>
    <w:rsid w:val="009331E2"/>
    <w:rsid w:val="00933585"/>
    <w:rsid w:val="00933766"/>
    <w:rsid w:val="0093383E"/>
    <w:rsid w:val="009339B9"/>
    <w:rsid w:val="00933AEE"/>
    <w:rsid w:val="00933BA2"/>
    <w:rsid w:val="00933FA0"/>
    <w:rsid w:val="0093405D"/>
    <w:rsid w:val="00934932"/>
    <w:rsid w:val="00934FFB"/>
    <w:rsid w:val="0093552A"/>
    <w:rsid w:val="0093569E"/>
    <w:rsid w:val="00935A72"/>
    <w:rsid w:val="00935BD1"/>
    <w:rsid w:val="00935DDE"/>
    <w:rsid w:val="00936C0F"/>
    <w:rsid w:val="00936D1E"/>
    <w:rsid w:val="0093708A"/>
    <w:rsid w:val="00937157"/>
    <w:rsid w:val="00937390"/>
    <w:rsid w:val="0093751E"/>
    <w:rsid w:val="009375B9"/>
    <w:rsid w:val="00937602"/>
    <w:rsid w:val="0093794A"/>
    <w:rsid w:val="00937BAA"/>
    <w:rsid w:val="00937C73"/>
    <w:rsid w:val="00937D35"/>
    <w:rsid w:val="00937F1F"/>
    <w:rsid w:val="00940120"/>
    <w:rsid w:val="00940567"/>
    <w:rsid w:val="0094056A"/>
    <w:rsid w:val="00940C6B"/>
    <w:rsid w:val="00940DED"/>
    <w:rsid w:val="009410B9"/>
    <w:rsid w:val="00941103"/>
    <w:rsid w:val="0094114C"/>
    <w:rsid w:val="00941AB8"/>
    <w:rsid w:val="00942158"/>
    <w:rsid w:val="0094218B"/>
    <w:rsid w:val="009421CB"/>
    <w:rsid w:val="00942383"/>
    <w:rsid w:val="009423DC"/>
    <w:rsid w:val="0094273D"/>
    <w:rsid w:val="0094278E"/>
    <w:rsid w:val="00942CDE"/>
    <w:rsid w:val="00942D62"/>
    <w:rsid w:val="00942ED1"/>
    <w:rsid w:val="00942EEA"/>
    <w:rsid w:val="00942F87"/>
    <w:rsid w:val="00943371"/>
    <w:rsid w:val="00943494"/>
    <w:rsid w:val="0094389E"/>
    <w:rsid w:val="0094396B"/>
    <w:rsid w:val="009441E4"/>
    <w:rsid w:val="009443F0"/>
    <w:rsid w:val="00944401"/>
    <w:rsid w:val="009449C7"/>
    <w:rsid w:val="00944A85"/>
    <w:rsid w:val="00944AB6"/>
    <w:rsid w:val="00944AFA"/>
    <w:rsid w:val="00944E1C"/>
    <w:rsid w:val="009450CB"/>
    <w:rsid w:val="00945971"/>
    <w:rsid w:val="00945D3B"/>
    <w:rsid w:val="00945ED0"/>
    <w:rsid w:val="00946207"/>
    <w:rsid w:val="00946222"/>
    <w:rsid w:val="00946228"/>
    <w:rsid w:val="00946303"/>
    <w:rsid w:val="009466A0"/>
    <w:rsid w:val="009466D7"/>
    <w:rsid w:val="00946745"/>
    <w:rsid w:val="00946E2C"/>
    <w:rsid w:val="00947118"/>
    <w:rsid w:val="009472D1"/>
    <w:rsid w:val="0094785D"/>
    <w:rsid w:val="00947C99"/>
    <w:rsid w:val="00947CAD"/>
    <w:rsid w:val="00950081"/>
    <w:rsid w:val="00950456"/>
    <w:rsid w:val="00950491"/>
    <w:rsid w:val="00950570"/>
    <w:rsid w:val="00950883"/>
    <w:rsid w:val="00950BD2"/>
    <w:rsid w:val="009511A5"/>
    <w:rsid w:val="0095125E"/>
    <w:rsid w:val="009513B5"/>
    <w:rsid w:val="0095170C"/>
    <w:rsid w:val="0095222A"/>
    <w:rsid w:val="00952272"/>
    <w:rsid w:val="009526C4"/>
    <w:rsid w:val="009528D4"/>
    <w:rsid w:val="00952977"/>
    <w:rsid w:val="00952F05"/>
    <w:rsid w:val="00953CC3"/>
    <w:rsid w:val="00953CFC"/>
    <w:rsid w:val="00953F1E"/>
    <w:rsid w:val="009540C4"/>
    <w:rsid w:val="00954122"/>
    <w:rsid w:val="00954308"/>
    <w:rsid w:val="009549DD"/>
    <w:rsid w:val="00954D24"/>
    <w:rsid w:val="00955339"/>
    <w:rsid w:val="00955AD6"/>
    <w:rsid w:val="00955F49"/>
    <w:rsid w:val="00956187"/>
    <w:rsid w:val="0095635A"/>
    <w:rsid w:val="009567A7"/>
    <w:rsid w:val="0095699A"/>
    <w:rsid w:val="0095699D"/>
    <w:rsid w:val="00956EE0"/>
    <w:rsid w:val="0095703D"/>
    <w:rsid w:val="009574C7"/>
    <w:rsid w:val="00957500"/>
    <w:rsid w:val="00957900"/>
    <w:rsid w:val="00960117"/>
    <w:rsid w:val="009601A7"/>
    <w:rsid w:val="0096022A"/>
    <w:rsid w:val="00960257"/>
    <w:rsid w:val="0096066A"/>
    <w:rsid w:val="009609EE"/>
    <w:rsid w:val="00960B01"/>
    <w:rsid w:val="00960D2B"/>
    <w:rsid w:val="00960D5F"/>
    <w:rsid w:val="00960F0F"/>
    <w:rsid w:val="00960FA9"/>
    <w:rsid w:val="009611BC"/>
    <w:rsid w:val="0096120E"/>
    <w:rsid w:val="0096138C"/>
    <w:rsid w:val="009615B2"/>
    <w:rsid w:val="00961721"/>
    <w:rsid w:val="00961A11"/>
    <w:rsid w:val="00961A3E"/>
    <w:rsid w:val="00962290"/>
    <w:rsid w:val="00962967"/>
    <w:rsid w:val="00962A91"/>
    <w:rsid w:val="00962E83"/>
    <w:rsid w:val="0096325B"/>
    <w:rsid w:val="009632B7"/>
    <w:rsid w:val="00963429"/>
    <w:rsid w:val="0096353A"/>
    <w:rsid w:val="00963A3B"/>
    <w:rsid w:val="00963E4C"/>
    <w:rsid w:val="00963EF1"/>
    <w:rsid w:val="00964257"/>
    <w:rsid w:val="0096441F"/>
    <w:rsid w:val="00964A66"/>
    <w:rsid w:val="00964D39"/>
    <w:rsid w:val="009654D1"/>
    <w:rsid w:val="0096580F"/>
    <w:rsid w:val="00965EAE"/>
    <w:rsid w:val="00966821"/>
    <w:rsid w:val="00966941"/>
    <w:rsid w:val="00966A11"/>
    <w:rsid w:val="00966C38"/>
    <w:rsid w:val="009671DA"/>
    <w:rsid w:val="009671FC"/>
    <w:rsid w:val="0096769F"/>
    <w:rsid w:val="00967BA6"/>
    <w:rsid w:val="00970028"/>
    <w:rsid w:val="00970658"/>
    <w:rsid w:val="00970671"/>
    <w:rsid w:val="009709E0"/>
    <w:rsid w:val="00970A87"/>
    <w:rsid w:val="00970D0E"/>
    <w:rsid w:val="00970F36"/>
    <w:rsid w:val="00971356"/>
    <w:rsid w:val="009716AC"/>
    <w:rsid w:val="00971739"/>
    <w:rsid w:val="0097179F"/>
    <w:rsid w:val="009717EA"/>
    <w:rsid w:val="0097185A"/>
    <w:rsid w:val="00971A95"/>
    <w:rsid w:val="00971DF3"/>
    <w:rsid w:val="0097222E"/>
    <w:rsid w:val="00972337"/>
    <w:rsid w:val="00972586"/>
    <w:rsid w:val="009727CF"/>
    <w:rsid w:val="009727FC"/>
    <w:rsid w:val="009729F5"/>
    <w:rsid w:val="00972A5C"/>
    <w:rsid w:val="00972B83"/>
    <w:rsid w:val="00973041"/>
    <w:rsid w:val="009733DD"/>
    <w:rsid w:val="009734C1"/>
    <w:rsid w:val="009736CF"/>
    <w:rsid w:val="00973750"/>
    <w:rsid w:val="00973984"/>
    <w:rsid w:val="009739A3"/>
    <w:rsid w:val="00973CD6"/>
    <w:rsid w:val="00973CDE"/>
    <w:rsid w:val="00973D77"/>
    <w:rsid w:val="00973F62"/>
    <w:rsid w:val="00974591"/>
    <w:rsid w:val="009748AA"/>
    <w:rsid w:val="00974DD5"/>
    <w:rsid w:val="009756AF"/>
    <w:rsid w:val="0097593D"/>
    <w:rsid w:val="00975ABE"/>
    <w:rsid w:val="00976242"/>
    <w:rsid w:val="00976464"/>
    <w:rsid w:val="00976538"/>
    <w:rsid w:val="00976570"/>
    <w:rsid w:val="00976B21"/>
    <w:rsid w:val="00976B8F"/>
    <w:rsid w:val="00976D6B"/>
    <w:rsid w:val="00976FFF"/>
    <w:rsid w:val="009771CA"/>
    <w:rsid w:val="009775CA"/>
    <w:rsid w:val="00977880"/>
    <w:rsid w:val="00980180"/>
    <w:rsid w:val="00980678"/>
    <w:rsid w:val="009809B1"/>
    <w:rsid w:val="00980A8B"/>
    <w:rsid w:val="00980B4D"/>
    <w:rsid w:val="00980EBA"/>
    <w:rsid w:val="00980F52"/>
    <w:rsid w:val="0098101B"/>
    <w:rsid w:val="00981100"/>
    <w:rsid w:val="009816B6"/>
    <w:rsid w:val="0098180E"/>
    <w:rsid w:val="00981902"/>
    <w:rsid w:val="00981A3B"/>
    <w:rsid w:val="009821D2"/>
    <w:rsid w:val="009822D0"/>
    <w:rsid w:val="009825B2"/>
    <w:rsid w:val="00982A07"/>
    <w:rsid w:val="00982CD1"/>
    <w:rsid w:val="0098346D"/>
    <w:rsid w:val="00983D0C"/>
    <w:rsid w:val="00983E38"/>
    <w:rsid w:val="00983E83"/>
    <w:rsid w:val="009844D1"/>
    <w:rsid w:val="00984791"/>
    <w:rsid w:val="00984BCB"/>
    <w:rsid w:val="00984C02"/>
    <w:rsid w:val="00984D79"/>
    <w:rsid w:val="009850D2"/>
    <w:rsid w:val="009850FF"/>
    <w:rsid w:val="009855C4"/>
    <w:rsid w:val="0098571F"/>
    <w:rsid w:val="00985B80"/>
    <w:rsid w:val="00985E0B"/>
    <w:rsid w:val="009860D2"/>
    <w:rsid w:val="00986247"/>
    <w:rsid w:val="00986371"/>
    <w:rsid w:val="009865F2"/>
    <w:rsid w:val="00986BD4"/>
    <w:rsid w:val="009875AE"/>
    <w:rsid w:val="009875F0"/>
    <w:rsid w:val="00987B21"/>
    <w:rsid w:val="00987CE0"/>
    <w:rsid w:val="00987D94"/>
    <w:rsid w:val="00987E93"/>
    <w:rsid w:val="009902D9"/>
    <w:rsid w:val="00990342"/>
    <w:rsid w:val="00990571"/>
    <w:rsid w:val="009907E0"/>
    <w:rsid w:val="00990C9B"/>
    <w:rsid w:val="00990E50"/>
    <w:rsid w:val="00990EEE"/>
    <w:rsid w:val="00990F81"/>
    <w:rsid w:val="009910E9"/>
    <w:rsid w:val="009911FF"/>
    <w:rsid w:val="00991540"/>
    <w:rsid w:val="009916B7"/>
    <w:rsid w:val="00991DB7"/>
    <w:rsid w:val="009920FC"/>
    <w:rsid w:val="0099227E"/>
    <w:rsid w:val="00992748"/>
    <w:rsid w:val="00992995"/>
    <w:rsid w:val="00992A81"/>
    <w:rsid w:val="00992A85"/>
    <w:rsid w:val="00992BE9"/>
    <w:rsid w:val="00992CA4"/>
    <w:rsid w:val="00992CEA"/>
    <w:rsid w:val="00992E21"/>
    <w:rsid w:val="00992E54"/>
    <w:rsid w:val="009932CE"/>
    <w:rsid w:val="00993422"/>
    <w:rsid w:val="00993563"/>
    <w:rsid w:val="009937BD"/>
    <w:rsid w:val="00993828"/>
    <w:rsid w:val="00993B1A"/>
    <w:rsid w:val="00993BE2"/>
    <w:rsid w:val="00993D5D"/>
    <w:rsid w:val="00994538"/>
    <w:rsid w:val="009946F9"/>
    <w:rsid w:val="009947BB"/>
    <w:rsid w:val="009948A3"/>
    <w:rsid w:val="009948B1"/>
    <w:rsid w:val="00994BA3"/>
    <w:rsid w:val="00994F58"/>
    <w:rsid w:val="00994FA3"/>
    <w:rsid w:val="009950D5"/>
    <w:rsid w:val="009953D4"/>
    <w:rsid w:val="0099553A"/>
    <w:rsid w:val="009955D3"/>
    <w:rsid w:val="009957E4"/>
    <w:rsid w:val="0099583D"/>
    <w:rsid w:val="0099585B"/>
    <w:rsid w:val="00995C82"/>
    <w:rsid w:val="00995C8A"/>
    <w:rsid w:val="00996316"/>
    <w:rsid w:val="0099666B"/>
    <w:rsid w:val="0099671D"/>
    <w:rsid w:val="009974E0"/>
    <w:rsid w:val="009A01CF"/>
    <w:rsid w:val="009A02B1"/>
    <w:rsid w:val="009A087E"/>
    <w:rsid w:val="009A0BB2"/>
    <w:rsid w:val="009A12C2"/>
    <w:rsid w:val="009A15A5"/>
    <w:rsid w:val="009A2015"/>
    <w:rsid w:val="009A20BE"/>
    <w:rsid w:val="009A2228"/>
    <w:rsid w:val="009A227C"/>
    <w:rsid w:val="009A24A8"/>
    <w:rsid w:val="009A25A1"/>
    <w:rsid w:val="009A260F"/>
    <w:rsid w:val="009A27AD"/>
    <w:rsid w:val="009A3026"/>
    <w:rsid w:val="009A3076"/>
    <w:rsid w:val="009A3138"/>
    <w:rsid w:val="009A3157"/>
    <w:rsid w:val="009A3702"/>
    <w:rsid w:val="009A372A"/>
    <w:rsid w:val="009A376A"/>
    <w:rsid w:val="009A39F3"/>
    <w:rsid w:val="009A3CCC"/>
    <w:rsid w:val="009A4031"/>
    <w:rsid w:val="009A4128"/>
    <w:rsid w:val="009A4203"/>
    <w:rsid w:val="009A47E7"/>
    <w:rsid w:val="009A4891"/>
    <w:rsid w:val="009A48F2"/>
    <w:rsid w:val="009A4A07"/>
    <w:rsid w:val="009A4A9E"/>
    <w:rsid w:val="009A4AD1"/>
    <w:rsid w:val="009A4E27"/>
    <w:rsid w:val="009A504C"/>
    <w:rsid w:val="009A50E0"/>
    <w:rsid w:val="009A55C9"/>
    <w:rsid w:val="009A598B"/>
    <w:rsid w:val="009A59A6"/>
    <w:rsid w:val="009A5CD6"/>
    <w:rsid w:val="009A5EDF"/>
    <w:rsid w:val="009A62D5"/>
    <w:rsid w:val="009A675D"/>
    <w:rsid w:val="009A6A8D"/>
    <w:rsid w:val="009A6CD4"/>
    <w:rsid w:val="009A6EB2"/>
    <w:rsid w:val="009A6F6F"/>
    <w:rsid w:val="009A7587"/>
    <w:rsid w:val="009A78EE"/>
    <w:rsid w:val="009A7AD6"/>
    <w:rsid w:val="009A7BD9"/>
    <w:rsid w:val="009A7E72"/>
    <w:rsid w:val="009B009D"/>
    <w:rsid w:val="009B00EB"/>
    <w:rsid w:val="009B025D"/>
    <w:rsid w:val="009B02F7"/>
    <w:rsid w:val="009B0402"/>
    <w:rsid w:val="009B059D"/>
    <w:rsid w:val="009B0B77"/>
    <w:rsid w:val="009B1340"/>
    <w:rsid w:val="009B13C3"/>
    <w:rsid w:val="009B14B6"/>
    <w:rsid w:val="009B17E4"/>
    <w:rsid w:val="009B1A7E"/>
    <w:rsid w:val="009B1D13"/>
    <w:rsid w:val="009B1E86"/>
    <w:rsid w:val="009B1FD2"/>
    <w:rsid w:val="009B217E"/>
    <w:rsid w:val="009B23DC"/>
    <w:rsid w:val="009B275E"/>
    <w:rsid w:val="009B28B1"/>
    <w:rsid w:val="009B2B55"/>
    <w:rsid w:val="009B2D91"/>
    <w:rsid w:val="009B303E"/>
    <w:rsid w:val="009B3933"/>
    <w:rsid w:val="009B3966"/>
    <w:rsid w:val="009B3D14"/>
    <w:rsid w:val="009B4561"/>
    <w:rsid w:val="009B45C3"/>
    <w:rsid w:val="009B4FA4"/>
    <w:rsid w:val="009B4FA6"/>
    <w:rsid w:val="009B51D7"/>
    <w:rsid w:val="009B554A"/>
    <w:rsid w:val="009B5B61"/>
    <w:rsid w:val="009B5CA7"/>
    <w:rsid w:val="009B608C"/>
    <w:rsid w:val="009B60A9"/>
    <w:rsid w:val="009B6695"/>
    <w:rsid w:val="009B6E44"/>
    <w:rsid w:val="009B6F87"/>
    <w:rsid w:val="009B7074"/>
    <w:rsid w:val="009B7540"/>
    <w:rsid w:val="009B75C3"/>
    <w:rsid w:val="009B76B3"/>
    <w:rsid w:val="009B7981"/>
    <w:rsid w:val="009B7BF8"/>
    <w:rsid w:val="009C0071"/>
    <w:rsid w:val="009C02AB"/>
    <w:rsid w:val="009C062C"/>
    <w:rsid w:val="009C0914"/>
    <w:rsid w:val="009C09C9"/>
    <w:rsid w:val="009C117D"/>
    <w:rsid w:val="009C12EE"/>
    <w:rsid w:val="009C19CE"/>
    <w:rsid w:val="009C2886"/>
    <w:rsid w:val="009C2ACF"/>
    <w:rsid w:val="009C3104"/>
    <w:rsid w:val="009C3374"/>
    <w:rsid w:val="009C40AC"/>
    <w:rsid w:val="009C4160"/>
    <w:rsid w:val="009C43E3"/>
    <w:rsid w:val="009C47C9"/>
    <w:rsid w:val="009C4D2B"/>
    <w:rsid w:val="009C506E"/>
    <w:rsid w:val="009C55AB"/>
    <w:rsid w:val="009C61C3"/>
    <w:rsid w:val="009C630E"/>
    <w:rsid w:val="009C64F0"/>
    <w:rsid w:val="009C68A8"/>
    <w:rsid w:val="009C6A5A"/>
    <w:rsid w:val="009C6D80"/>
    <w:rsid w:val="009C6EAC"/>
    <w:rsid w:val="009C6EB9"/>
    <w:rsid w:val="009C714B"/>
    <w:rsid w:val="009C74D1"/>
    <w:rsid w:val="009C76EE"/>
    <w:rsid w:val="009C7D39"/>
    <w:rsid w:val="009D0094"/>
    <w:rsid w:val="009D0198"/>
    <w:rsid w:val="009D029A"/>
    <w:rsid w:val="009D052A"/>
    <w:rsid w:val="009D06BE"/>
    <w:rsid w:val="009D0870"/>
    <w:rsid w:val="009D128A"/>
    <w:rsid w:val="009D155E"/>
    <w:rsid w:val="009D1651"/>
    <w:rsid w:val="009D1864"/>
    <w:rsid w:val="009D1B65"/>
    <w:rsid w:val="009D1F11"/>
    <w:rsid w:val="009D2024"/>
    <w:rsid w:val="009D20CD"/>
    <w:rsid w:val="009D215A"/>
    <w:rsid w:val="009D2521"/>
    <w:rsid w:val="009D289B"/>
    <w:rsid w:val="009D2976"/>
    <w:rsid w:val="009D2B39"/>
    <w:rsid w:val="009D2B95"/>
    <w:rsid w:val="009D2E5F"/>
    <w:rsid w:val="009D2ECE"/>
    <w:rsid w:val="009D306B"/>
    <w:rsid w:val="009D33D0"/>
    <w:rsid w:val="009D3598"/>
    <w:rsid w:val="009D394A"/>
    <w:rsid w:val="009D3F78"/>
    <w:rsid w:val="009D3FD8"/>
    <w:rsid w:val="009D4501"/>
    <w:rsid w:val="009D4780"/>
    <w:rsid w:val="009D4F2B"/>
    <w:rsid w:val="009D4F86"/>
    <w:rsid w:val="009D5190"/>
    <w:rsid w:val="009D538A"/>
    <w:rsid w:val="009D5AD7"/>
    <w:rsid w:val="009D5AE9"/>
    <w:rsid w:val="009D5AF0"/>
    <w:rsid w:val="009D5D50"/>
    <w:rsid w:val="009D5FD2"/>
    <w:rsid w:val="009D6078"/>
    <w:rsid w:val="009D60AA"/>
    <w:rsid w:val="009D6158"/>
    <w:rsid w:val="009D61CC"/>
    <w:rsid w:val="009D63EA"/>
    <w:rsid w:val="009D6DCD"/>
    <w:rsid w:val="009D7160"/>
    <w:rsid w:val="009D783D"/>
    <w:rsid w:val="009D790F"/>
    <w:rsid w:val="009D7C30"/>
    <w:rsid w:val="009D7C45"/>
    <w:rsid w:val="009D7D8F"/>
    <w:rsid w:val="009D7EB0"/>
    <w:rsid w:val="009D7F12"/>
    <w:rsid w:val="009E067F"/>
    <w:rsid w:val="009E06E7"/>
    <w:rsid w:val="009E0829"/>
    <w:rsid w:val="009E0D13"/>
    <w:rsid w:val="009E1046"/>
    <w:rsid w:val="009E15FB"/>
    <w:rsid w:val="009E1648"/>
    <w:rsid w:val="009E1758"/>
    <w:rsid w:val="009E17ED"/>
    <w:rsid w:val="009E1C6A"/>
    <w:rsid w:val="009E2C23"/>
    <w:rsid w:val="009E3177"/>
    <w:rsid w:val="009E35FE"/>
    <w:rsid w:val="009E3BEC"/>
    <w:rsid w:val="009E3C92"/>
    <w:rsid w:val="009E3D5D"/>
    <w:rsid w:val="009E42D9"/>
    <w:rsid w:val="009E4AB0"/>
    <w:rsid w:val="009E4E8F"/>
    <w:rsid w:val="009E4EB3"/>
    <w:rsid w:val="009E5367"/>
    <w:rsid w:val="009E54E9"/>
    <w:rsid w:val="009E57B7"/>
    <w:rsid w:val="009E57C4"/>
    <w:rsid w:val="009E5844"/>
    <w:rsid w:val="009E591C"/>
    <w:rsid w:val="009E5A3F"/>
    <w:rsid w:val="009E5A8E"/>
    <w:rsid w:val="009E5B84"/>
    <w:rsid w:val="009E5DCB"/>
    <w:rsid w:val="009E5EF3"/>
    <w:rsid w:val="009E60D2"/>
    <w:rsid w:val="009E6181"/>
    <w:rsid w:val="009E645B"/>
    <w:rsid w:val="009E689B"/>
    <w:rsid w:val="009E6AD7"/>
    <w:rsid w:val="009E6BDD"/>
    <w:rsid w:val="009E6C5D"/>
    <w:rsid w:val="009E6D12"/>
    <w:rsid w:val="009E6D16"/>
    <w:rsid w:val="009E6F34"/>
    <w:rsid w:val="009E6FDA"/>
    <w:rsid w:val="009E72A9"/>
    <w:rsid w:val="009E7900"/>
    <w:rsid w:val="009E7909"/>
    <w:rsid w:val="009E79C2"/>
    <w:rsid w:val="009E7B4E"/>
    <w:rsid w:val="009E7D96"/>
    <w:rsid w:val="009E7DC7"/>
    <w:rsid w:val="009F043B"/>
    <w:rsid w:val="009F0BB8"/>
    <w:rsid w:val="009F12F5"/>
    <w:rsid w:val="009F1363"/>
    <w:rsid w:val="009F13EA"/>
    <w:rsid w:val="009F1530"/>
    <w:rsid w:val="009F16D3"/>
    <w:rsid w:val="009F1CA3"/>
    <w:rsid w:val="009F1E25"/>
    <w:rsid w:val="009F1F06"/>
    <w:rsid w:val="009F1F58"/>
    <w:rsid w:val="009F20C6"/>
    <w:rsid w:val="009F21F5"/>
    <w:rsid w:val="009F252A"/>
    <w:rsid w:val="009F252C"/>
    <w:rsid w:val="009F2795"/>
    <w:rsid w:val="009F2A4B"/>
    <w:rsid w:val="009F2C85"/>
    <w:rsid w:val="009F2CB6"/>
    <w:rsid w:val="009F357C"/>
    <w:rsid w:val="009F365A"/>
    <w:rsid w:val="009F37FC"/>
    <w:rsid w:val="009F38F2"/>
    <w:rsid w:val="009F391D"/>
    <w:rsid w:val="009F39D0"/>
    <w:rsid w:val="009F3C14"/>
    <w:rsid w:val="009F3C88"/>
    <w:rsid w:val="009F4226"/>
    <w:rsid w:val="009F4256"/>
    <w:rsid w:val="009F450C"/>
    <w:rsid w:val="009F517A"/>
    <w:rsid w:val="009F519E"/>
    <w:rsid w:val="009F5772"/>
    <w:rsid w:val="009F5C91"/>
    <w:rsid w:val="009F5DEE"/>
    <w:rsid w:val="009F5E17"/>
    <w:rsid w:val="009F5E8E"/>
    <w:rsid w:val="009F5F57"/>
    <w:rsid w:val="009F60A0"/>
    <w:rsid w:val="009F6146"/>
    <w:rsid w:val="009F64A3"/>
    <w:rsid w:val="009F655E"/>
    <w:rsid w:val="009F675F"/>
    <w:rsid w:val="009F6915"/>
    <w:rsid w:val="009F6CFE"/>
    <w:rsid w:val="009F75E5"/>
    <w:rsid w:val="009F76D3"/>
    <w:rsid w:val="009F7A3F"/>
    <w:rsid w:val="009F7B07"/>
    <w:rsid w:val="009F7BC4"/>
    <w:rsid w:val="009F7F53"/>
    <w:rsid w:val="009F7FF6"/>
    <w:rsid w:val="00A002C2"/>
    <w:rsid w:val="00A00552"/>
    <w:rsid w:val="00A0084F"/>
    <w:rsid w:val="00A0099C"/>
    <w:rsid w:val="00A00AE3"/>
    <w:rsid w:val="00A00C1A"/>
    <w:rsid w:val="00A00C67"/>
    <w:rsid w:val="00A00C68"/>
    <w:rsid w:val="00A00F8A"/>
    <w:rsid w:val="00A01088"/>
    <w:rsid w:val="00A01214"/>
    <w:rsid w:val="00A012A6"/>
    <w:rsid w:val="00A014EE"/>
    <w:rsid w:val="00A0164B"/>
    <w:rsid w:val="00A016AE"/>
    <w:rsid w:val="00A01BAB"/>
    <w:rsid w:val="00A022D5"/>
    <w:rsid w:val="00A02304"/>
    <w:rsid w:val="00A0251E"/>
    <w:rsid w:val="00A02732"/>
    <w:rsid w:val="00A0283C"/>
    <w:rsid w:val="00A02AB9"/>
    <w:rsid w:val="00A0334A"/>
    <w:rsid w:val="00A03546"/>
    <w:rsid w:val="00A03926"/>
    <w:rsid w:val="00A03DA5"/>
    <w:rsid w:val="00A03DB6"/>
    <w:rsid w:val="00A03FA1"/>
    <w:rsid w:val="00A04322"/>
    <w:rsid w:val="00A04675"/>
    <w:rsid w:val="00A047A6"/>
    <w:rsid w:val="00A04A82"/>
    <w:rsid w:val="00A04E31"/>
    <w:rsid w:val="00A04FC1"/>
    <w:rsid w:val="00A052BD"/>
    <w:rsid w:val="00A0568B"/>
    <w:rsid w:val="00A056C6"/>
    <w:rsid w:val="00A056EA"/>
    <w:rsid w:val="00A0588B"/>
    <w:rsid w:val="00A058F6"/>
    <w:rsid w:val="00A05944"/>
    <w:rsid w:val="00A05FD9"/>
    <w:rsid w:val="00A06256"/>
    <w:rsid w:val="00A064D2"/>
    <w:rsid w:val="00A06F6E"/>
    <w:rsid w:val="00A076AB"/>
    <w:rsid w:val="00A076B5"/>
    <w:rsid w:val="00A07CB1"/>
    <w:rsid w:val="00A07CF9"/>
    <w:rsid w:val="00A07DC8"/>
    <w:rsid w:val="00A10114"/>
    <w:rsid w:val="00A10478"/>
    <w:rsid w:val="00A10755"/>
    <w:rsid w:val="00A10E19"/>
    <w:rsid w:val="00A10F20"/>
    <w:rsid w:val="00A11B23"/>
    <w:rsid w:val="00A11C2D"/>
    <w:rsid w:val="00A11C60"/>
    <w:rsid w:val="00A12401"/>
    <w:rsid w:val="00A124AC"/>
    <w:rsid w:val="00A124F0"/>
    <w:rsid w:val="00A1262F"/>
    <w:rsid w:val="00A12847"/>
    <w:rsid w:val="00A1286B"/>
    <w:rsid w:val="00A12872"/>
    <w:rsid w:val="00A12957"/>
    <w:rsid w:val="00A129B0"/>
    <w:rsid w:val="00A12A5C"/>
    <w:rsid w:val="00A132C1"/>
    <w:rsid w:val="00A1330F"/>
    <w:rsid w:val="00A134F5"/>
    <w:rsid w:val="00A1361C"/>
    <w:rsid w:val="00A136F8"/>
    <w:rsid w:val="00A13EAD"/>
    <w:rsid w:val="00A1447E"/>
    <w:rsid w:val="00A144D8"/>
    <w:rsid w:val="00A14A18"/>
    <w:rsid w:val="00A14A91"/>
    <w:rsid w:val="00A14BD8"/>
    <w:rsid w:val="00A14C0A"/>
    <w:rsid w:val="00A14E1A"/>
    <w:rsid w:val="00A14E30"/>
    <w:rsid w:val="00A1526C"/>
    <w:rsid w:val="00A15367"/>
    <w:rsid w:val="00A1564B"/>
    <w:rsid w:val="00A159B6"/>
    <w:rsid w:val="00A15A30"/>
    <w:rsid w:val="00A15C41"/>
    <w:rsid w:val="00A15DB9"/>
    <w:rsid w:val="00A16823"/>
    <w:rsid w:val="00A16907"/>
    <w:rsid w:val="00A16943"/>
    <w:rsid w:val="00A16CDF"/>
    <w:rsid w:val="00A17B0C"/>
    <w:rsid w:val="00A2035B"/>
    <w:rsid w:val="00A20473"/>
    <w:rsid w:val="00A20600"/>
    <w:rsid w:val="00A20B5B"/>
    <w:rsid w:val="00A20CD5"/>
    <w:rsid w:val="00A20EC5"/>
    <w:rsid w:val="00A213F1"/>
    <w:rsid w:val="00A21833"/>
    <w:rsid w:val="00A218B6"/>
    <w:rsid w:val="00A21AEB"/>
    <w:rsid w:val="00A221D2"/>
    <w:rsid w:val="00A22A69"/>
    <w:rsid w:val="00A22DE3"/>
    <w:rsid w:val="00A23686"/>
    <w:rsid w:val="00A23691"/>
    <w:rsid w:val="00A23692"/>
    <w:rsid w:val="00A2374F"/>
    <w:rsid w:val="00A23932"/>
    <w:rsid w:val="00A23AD6"/>
    <w:rsid w:val="00A23C43"/>
    <w:rsid w:val="00A240DD"/>
    <w:rsid w:val="00A24110"/>
    <w:rsid w:val="00A24599"/>
    <w:rsid w:val="00A24711"/>
    <w:rsid w:val="00A247DF"/>
    <w:rsid w:val="00A24BEF"/>
    <w:rsid w:val="00A25D14"/>
    <w:rsid w:val="00A26408"/>
    <w:rsid w:val="00A26534"/>
    <w:rsid w:val="00A26666"/>
    <w:rsid w:val="00A267D8"/>
    <w:rsid w:val="00A26CBF"/>
    <w:rsid w:val="00A275D7"/>
    <w:rsid w:val="00A27B6A"/>
    <w:rsid w:val="00A308B2"/>
    <w:rsid w:val="00A30CC4"/>
    <w:rsid w:val="00A30D96"/>
    <w:rsid w:val="00A30DF6"/>
    <w:rsid w:val="00A31826"/>
    <w:rsid w:val="00A31C40"/>
    <w:rsid w:val="00A32197"/>
    <w:rsid w:val="00A3224D"/>
    <w:rsid w:val="00A322CE"/>
    <w:rsid w:val="00A32525"/>
    <w:rsid w:val="00A32758"/>
    <w:rsid w:val="00A3280F"/>
    <w:rsid w:val="00A32A9F"/>
    <w:rsid w:val="00A32C71"/>
    <w:rsid w:val="00A32E04"/>
    <w:rsid w:val="00A32EC6"/>
    <w:rsid w:val="00A338B0"/>
    <w:rsid w:val="00A341AE"/>
    <w:rsid w:val="00A34C65"/>
    <w:rsid w:val="00A34F79"/>
    <w:rsid w:val="00A35353"/>
    <w:rsid w:val="00A356F6"/>
    <w:rsid w:val="00A35DBF"/>
    <w:rsid w:val="00A35E5C"/>
    <w:rsid w:val="00A35ECF"/>
    <w:rsid w:val="00A35EE0"/>
    <w:rsid w:val="00A36876"/>
    <w:rsid w:val="00A36E2E"/>
    <w:rsid w:val="00A370F9"/>
    <w:rsid w:val="00A372A4"/>
    <w:rsid w:val="00A374AF"/>
    <w:rsid w:val="00A37B1F"/>
    <w:rsid w:val="00A37E84"/>
    <w:rsid w:val="00A37F32"/>
    <w:rsid w:val="00A40093"/>
    <w:rsid w:val="00A403B4"/>
    <w:rsid w:val="00A40BBE"/>
    <w:rsid w:val="00A40F89"/>
    <w:rsid w:val="00A40FB1"/>
    <w:rsid w:val="00A4149B"/>
    <w:rsid w:val="00A41BB3"/>
    <w:rsid w:val="00A42094"/>
    <w:rsid w:val="00A42357"/>
    <w:rsid w:val="00A428D2"/>
    <w:rsid w:val="00A42AD9"/>
    <w:rsid w:val="00A42D50"/>
    <w:rsid w:val="00A42DD4"/>
    <w:rsid w:val="00A42FB1"/>
    <w:rsid w:val="00A4304E"/>
    <w:rsid w:val="00A43709"/>
    <w:rsid w:val="00A437C8"/>
    <w:rsid w:val="00A43C7E"/>
    <w:rsid w:val="00A44053"/>
    <w:rsid w:val="00A4423B"/>
    <w:rsid w:val="00A445E2"/>
    <w:rsid w:val="00A449AF"/>
    <w:rsid w:val="00A44ACE"/>
    <w:rsid w:val="00A44DB1"/>
    <w:rsid w:val="00A44EF8"/>
    <w:rsid w:val="00A4599F"/>
    <w:rsid w:val="00A45CEE"/>
    <w:rsid w:val="00A46009"/>
    <w:rsid w:val="00A46225"/>
    <w:rsid w:val="00A463E6"/>
    <w:rsid w:val="00A4655E"/>
    <w:rsid w:val="00A46D28"/>
    <w:rsid w:val="00A46EAE"/>
    <w:rsid w:val="00A46F6E"/>
    <w:rsid w:val="00A47136"/>
    <w:rsid w:val="00A47267"/>
    <w:rsid w:val="00A47D00"/>
    <w:rsid w:val="00A503D6"/>
    <w:rsid w:val="00A5066F"/>
    <w:rsid w:val="00A50903"/>
    <w:rsid w:val="00A51B48"/>
    <w:rsid w:val="00A51CCA"/>
    <w:rsid w:val="00A51D27"/>
    <w:rsid w:val="00A51ED4"/>
    <w:rsid w:val="00A51F29"/>
    <w:rsid w:val="00A526F4"/>
    <w:rsid w:val="00A52A4C"/>
    <w:rsid w:val="00A52C09"/>
    <w:rsid w:val="00A52C26"/>
    <w:rsid w:val="00A5331F"/>
    <w:rsid w:val="00A534ED"/>
    <w:rsid w:val="00A5352E"/>
    <w:rsid w:val="00A53764"/>
    <w:rsid w:val="00A547B6"/>
    <w:rsid w:val="00A547FD"/>
    <w:rsid w:val="00A54D3E"/>
    <w:rsid w:val="00A54D48"/>
    <w:rsid w:val="00A551E0"/>
    <w:rsid w:val="00A554CE"/>
    <w:rsid w:val="00A556C6"/>
    <w:rsid w:val="00A55896"/>
    <w:rsid w:val="00A55987"/>
    <w:rsid w:val="00A55A97"/>
    <w:rsid w:val="00A55B17"/>
    <w:rsid w:val="00A55C79"/>
    <w:rsid w:val="00A55DDB"/>
    <w:rsid w:val="00A55EFF"/>
    <w:rsid w:val="00A55F36"/>
    <w:rsid w:val="00A5625C"/>
    <w:rsid w:val="00A563E3"/>
    <w:rsid w:val="00A564F3"/>
    <w:rsid w:val="00A56564"/>
    <w:rsid w:val="00A56D3E"/>
    <w:rsid w:val="00A56D7E"/>
    <w:rsid w:val="00A56DE4"/>
    <w:rsid w:val="00A56F2D"/>
    <w:rsid w:val="00A5771D"/>
    <w:rsid w:val="00A57AD8"/>
    <w:rsid w:val="00A57B2D"/>
    <w:rsid w:val="00A57C4E"/>
    <w:rsid w:val="00A57CD3"/>
    <w:rsid w:val="00A60201"/>
    <w:rsid w:val="00A6028C"/>
    <w:rsid w:val="00A606BD"/>
    <w:rsid w:val="00A6088D"/>
    <w:rsid w:val="00A6091D"/>
    <w:rsid w:val="00A612EE"/>
    <w:rsid w:val="00A61398"/>
    <w:rsid w:val="00A614B8"/>
    <w:rsid w:val="00A6166F"/>
    <w:rsid w:val="00A61E27"/>
    <w:rsid w:val="00A620FA"/>
    <w:rsid w:val="00A62ED5"/>
    <w:rsid w:val="00A63011"/>
    <w:rsid w:val="00A6305E"/>
    <w:rsid w:val="00A6309C"/>
    <w:rsid w:val="00A6339F"/>
    <w:rsid w:val="00A633EE"/>
    <w:rsid w:val="00A6346F"/>
    <w:rsid w:val="00A63558"/>
    <w:rsid w:val="00A637FB"/>
    <w:rsid w:val="00A63DD0"/>
    <w:rsid w:val="00A63EA0"/>
    <w:rsid w:val="00A64008"/>
    <w:rsid w:val="00A64351"/>
    <w:rsid w:val="00A6444D"/>
    <w:rsid w:val="00A6451E"/>
    <w:rsid w:val="00A64784"/>
    <w:rsid w:val="00A64B6B"/>
    <w:rsid w:val="00A65AC8"/>
    <w:rsid w:val="00A65EA8"/>
    <w:rsid w:val="00A6609B"/>
    <w:rsid w:val="00A6624A"/>
    <w:rsid w:val="00A66BC7"/>
    <w:rsid w:val="00A70127"/>
    <w:rsid w:val="00A70793"/>
    <w:rsid w:val="00A707EE"/>
    <w:rsid w:val="00A71AEB"/>
    <w:rsid w:val="00A71BF0"/>
    <w:rsid w:val="00A71E2A"/>
    <w:rsid w:val="00A71E98"/>
    <w:rsid w:val="00A71F06"/>
    <w:rsid w:val="00A7205D"/>
    <w:rsid w:val="00A72369"/>
    <w:rsid w:val="00A72441"/>
    <w:rsid w:val="00A725E6"/>
    <w:rsid w:val="00A72929"/>
    <w:rsid w:val="00A72940"/>
    <w:rsid w:val="00A72C63"/>
    <w:rsid w:val="00A72CCF"/>
    <w:rsid w:val="00A72E3F"/>
    <w:rsid w:val="00A7367F"/>
    <w:rsid w:val="00A736B6"/>
    <w:rsid w:val="00A73ADA"/>
    <w:rsid w:val="00A73B2E"/>
    <w:rsid w:val="00A74507"/>
    <w:rsid w:val="00A7489A"/>
    <w:rsid w:val="00A74BD0"/>
    <w:rsid w:val="00A74F7B"/>
    <w:rsid w:val="00A75175"/>
    <w:rsid w:val="00A753E3"/>
    <w:rsid w:val="00A75A52"/>
    <w:rsid w:val="00A75F64"/>
    <w:rsid w:val="00A763F9"/>
    <w:rsid w:val="00A7663A"/>
    <w:rsid w:val="00A76704"/>
    <w:rsid w:val="00A76B5A"/>
    <w:rsid w:val="00A77142"/>
    <w:rsid w:val="00A7720A"/>
    <w:rsid w:val="00A77779"/>
    <w:rsid w:val="00A777DA"/>
    <w:rsid w:val="00A77846"/>
    <w:rsid w:val="00A77A53"/>
    <w:rsid w:val="00A77DF1"/>
    <w:rsid w:val="00A77DF8"/>
    <w:rsid w:val="00A80478"/>
    <w:rsid w:val="00A80A5F"/>
    <w:rsid w:val="00A80CBF"/>
    <w:rsid w:val="00A81233"/>
    <w:rsid w:val="00A81471"/>
    <w:rsid w:val="00A814ED"/>
    <w:rsid w:val="00A81573"/>
    <w:rsid w:val="00A81725"/>
    <w:rsid w:val="00A81AE1"/>
    <w:rsid w:val="00A82288"/>
    <w:rsid w:val="00A824BD"/>
    <w:rsid w:val="00A82575"/>
    <w:rsid w:val="00A82784"/>
    <w:rsid w:val="00A82C5D"/>
    <w:rsid w:val="00A82D71"/>
    <w:rsid w:val="00A83552"/>
    <w:rsid w:val="00A83AB7"/>
    <w:rsid w:val="00A83DEA"/>
    <w:rsid w:val="00A841EB"/>
    <w:rsid w:val="00A84280"/>
    <w:rsid w:val="00A84523"/>
    <w:rsid w:val="00A84A14"/>
    <w:rsid w:val="00A8519E"/>
    <w:rsid w:val="00A852BE"/>
    <w:rsid w:val="00A85345"/>
    <w:rsid w:val="00A85612"/>
    <w:rsid w:val="00A8595C"/>
    <w:rsid w:val="00A85AA1"/>
    <w:rsid w:val="00A85CCF"/>
    <w:rsid w:val="00A86245"/>
    <w:rsid w:val="00A8687E"/>
    <w:rsid w:val="00A86C25"/>
    <w:rsid w:val="00A86F58"/>
    <w:rsid w:val="00A86FC4"/>
    <w:rsid w:val="00A870CC"/>
    <w:rsid w:val="00A8734E"/>
    <w:rsid w:val="00A87E84"/>
    <w:rsid w:val="00A87F8E"/>
    <w:rsid w:val="00A902AC"/>
    <w:rsid w:val="00A90747"/>
    <w:rsid w:val="00A9074F"/>
    <w:rsid w:val="00A9085B"/>
    <w:rsid w:val="00A90A89"/>
    <w:rsid w:val="00A911B8"/>
    <w:rsid w:val="00A91237"/>
    <w:rsid w:val="00A915AF"/>
    <w:rsid w:val="00A91A39"/>
    <w:rsid w:val="00A91A7D"/>
    <w:rsid w:val="00A91B55"/>
    <w:rsid w:val="00A9203E"/>
    <w:rsid w:val="00A923B2"/>
    <w:rsid w:val="00A92CB8"/>
    <w:rsid w:val="00A9326F"/>
    <w:rsid w:val="00A93CF2"/>
    <w:rsid w:val="00A93D86"/>
    <w:rsid w:val="00A94776"/>
    <w:rsid w:val="00A94905"/>
    <w:rsid w:val="00A94985"/>
    <w:rsid w:val="00A94A65"/>
    <w:rsid w:val="00A94B15"/>
    <w:rsid w:val="00A94E0D"/>
    <w:rsid w:val="00A95186"/>
    <w:rsid w:val="00A95CE7"/>
    <w:rsid w:val="00A95EAE"/>
    <w:rsid w:val="00A96855"/>
    <w:rsid w:val="00A96BD1"/>
    <w:rsid w:val="00A96D58"/>
    <w:rsid w:val="00A96EB7"/>
    <w:rsid w:val="00A97AEC"/>
    <w:rsid w:val="00A97FFA"/>
    <w:rsid w:val="00AA034F"/>
    <w:rsid w:val="00AA066B"/>
    <w:rsid w:val="00AA0779"/>
    <w:rsid w:val="00AA102B"/>
    <w:rsid w:val="00AA112A"/>
    <w:rsid w:val="00AA1234"/>
    <w:rsid w:val="00AA12B2"/>
    <w:rsid w:val="00AA13EE"/>
    <w:rsid w:val="00AA15F1"/>
    <w:rsid w:val="00AA1DC1"/>
    <w:rsid w:val="00AA1ECE"/>
    <w:rsid w:val="00AA22BF"/>
    <w:rsid w:val="00AA22FE"/>
    <w:rsid w:val="00AA268D"/>
    <w:rsid w:val="00AA2B24"/>
    <w:rsid w:val="00AA2D23"/>
    <w:rsid w:val="00AA3CDA"/>
    <w:rsid w:val="00AA3CE8"/>
    <w:rsid w:val="00AA43B5"/>
    <w:rsid w:val="00AA46BE"/>
    <w:rsid w:val="00AA484E"/>
    <w:rsid w:val="00AA4B0F"/>
    <w:rsid w:val="00AA51C2"/>
    <w:rsid w:val="00AA51E7"/>
    <w:rsid w:val="00AA5256"/>
    <w:rsid w:val="00AA56A9"/>
    <w:rsid w:val="00AA5E4E"/>
    <w:rsid w:val="00AA600A"/>
    <w:rsid w:val="00AA6237"/>
    <w:rsid w:val="00AA6905"/>
    <w:rsid w:val="00AA6D37"/>
    <w:rsid w:val="00AA6D7A"/>
    <w:rsid w:val="00AA753F"/>
    <w:rsid w:val="00AA7766"/>
    <w:rsid w:val="00AA788F"/>
    <w:rsid w:val="00AA7CB8"/>
    <w:rsid w:val="00AA7D82"/>
    <w:rsid w:val="00AB0444"/>
    <w:rsid w:val="00AB0461"/>
    <w:rsid w:val="00AB04A4"/>
    <w:rsid w:val="00AB0626"/>
    <w:rsid w:val="00AB081F"/>
    <w:rsid w:val="00AB0859"/>
    <w:rsid w:val="00AB09EA"/>
    <w:rsid w:val="00AB0E51"/>
    <w:rsid w:val="00AB1886"/>
    <w:rsid w:val="00AB18EC"/>
    <w:rsid w:val="00AB195F"/>
    <w:rsid w:val="00AB1D74"/>
    <w:rsid w:val="00AB2628"/>
    <w:rsid w:val="00AB2AC2"/>
    <w:rsid w:val="00AB2C64"/>
    <w:rsid w:val="00AB2E7A"/>
    <w:rsid w:val="00AB3000"/>
    <w:rsid w:val="00AB3012"/>
    <w:rsid w:val="00AB3056"/>
    <w:rsid w:val="00AB30D7"/>
    <w:rsid w:val="00AB3171"/>
    <w:rsid w:val="00AB32DC"/>
    <w:rsid w:val="00AB3496"/>
    <w:rsid w:val="00AB3523"/>
    <w:rsid w:val="00AB3D59"/>
    <w:rsid w:val="00AB3D6A"/>
    <w:rsid w:val="00AB4287"/>
    <w:rsid w:val="00AB42C1"/>
    <w:rsid w:val="00AB4DE6"/>
    <w:rsid w:val="00AB4E8B"/>
    <w:rsid w:val="00AB4FE4"/>
    <w:rsid w:val="00AB5306"/>
    <w:rsid w:val="00AB54A0"/>
    <w:rsid w:val="00AB54B6"/>
    <w:rsid w:val="00AB5507"/>
    <w:rsid w:val="00AB59F3"/>
    <w:rsid w:val="00AB5CFC"/>
    <w:rsid w:val="00AB5F57"/>
    <w:rsid w:val="00AB62BC"/>
    <w:rsid w:val="00AB6988"/>
    <w:rsid w:val="00AB6E79"/>
    <w:rsid w:val="00AB709C"/>
    <w:rsid w:val="00AB76D8"/>
    <w:rsid w:val="00AB7DD3"/>
    <w:rsid w:val="00AC011E"/>
    <w:rsid w:val="00AC04FA"/>
    <w:rsid w:val="00AC06B4"/>
    <w:rsid w:val="00AC07F2"/>
    <w:rsid w:val="00AC0C00"/>
    <w:rsid w:val="00AC0D5A"/>
    <w:rsid w:val="00AC0E18"/>
    <w:rsid w:val="00AC12E1"/>
    <w:rsid w:val="00AC1572"/>
    <w:rsid w:val="00AC15E0"/>
    <w:rsid w:val="00AC17E3"/>
    <w:rsid w:val="00AC1B25"/>
    <w:rsid w:val="00AC1C24"/>
    <w:rsid w:val="00AC1E7A"/>
    <w:rsid w:val="00AC2023"/>
    <w:rsid w:val="00AC29CD"/>
    <w:rsid w:val="00AC2A84"/>
    <w:rsid w:val="00AC326A"/>
    <w:rsid w:val="00AC33B0"/>
    <w:rsid w:val="00AC3A72"/>
    <w:rsid w:val="00AC3ACC"/>
    <w:rsid w:val="00AC4084"/>
    <w:rsid w:val="00AC41B2"/>
    <w:rsid w:val="00AC41E2"/>
    <w:rsid w:val="00AC4234"/>
    <w:rsid w:val="00AC42F4"/>
    <w:rsid w:val="00AC485B"/>
    <w:rsid w:val="00AC4B9E"/>
    <w:rsid w:val="00AC4BC6"/>
    <w:rsid w:val="00AC4E9B"/>
    <w:rsid w:val="00AC564A"/>
    <w:rsid w:val="00AC5950"/>
    <w:rsid w:val="00AC59CB"/>
    <w:rsid w:val="00AC5ACC"/>
    <w:rsid w:val="00AC63A7"/>
    <w:rsid w:val="00AC6452"/>
    <w:rsid w:val="00AC6529"/>
    <w:rsid w:val="00AC65FC"/>
    <w:rsid w:val="00AC6B98"/>
    <w:rsid w:val="00AC7009"/>
    <w:rsid w:val="00AC7026"/>
    <w:rsid w:val="00AC7366"/>
    <w:rsid w:val="00AC788A"/>
    <w:rsid w:val="00AC7941"/>
    <w:rsid w:val="00AC7949"/>
    <w:rsid w:val="00AC7A3C"/>
    <w:rsid w:val="00AC7BFA"/>
    <w:rsid w:val="00AC7CCA"/>
    <w:rsid w:val="00AC7FF8"/>
    <w:rsid w:val="00AD0273"/>
    <w:rsid w:val="00AD02B4"/>
    <w:rsid w:val="00AD031D"/>
    <w:rsid w:val="00AD0327"/>
    <w:rsid w:val="00AD0422"/>
    <w:rsid w:val="00AD0548"/>
    <w:rsid w:val="00AD0590"/>
    <w:rsid w:val="00AD0D30"/>
    <w:rsid w:val="00AD0EF3"/>
    <w:rsid w:val="00AD11B3"/>
    <w:rsid w:val="00AD12E4"/>
    <w:rsid w:val="00AD1885"/>
    <w:rsid w:val="00AD189A"/>
    <w:rsid w:val="00AD1A9F"/>
    <w:rsid w:val="00AD2221"/>
    <w:rsid w:val="00AD2562"/>
    <w:rsid w:val="00AD2591"/>
    <w:rsid w:val="00AD262A"/>
    <w:rsid w:val="00AD2A4D"/>
    <w:rsid w:val="00AD2ED2"/>
    <w:rsid w:val="00AD30A4"/>
    <w:rsid w:val="00AD3118"/>
    <w:rsid w:val="00AD3235"/>
    <w:rsid w:val="00AD3307"/>
    <w:rsid w:val="00AD377C"/>
    <w:rsid w:val="00AD38D4"/>
    <w:rsid w:val="00AD3A3A"/>
    <w:rsid w:val="00AD3D0F"/>
    <w:rsid w:val="00AD3D1D"/>
    <w:rsid w:val="00AD3F7C"/>
    <w:rsid w:val="00AD4287"/>
    <w:rsid w:val="00AD4351"/>
    <w:rsid w:val="00AD46D8"/>
    <w:rsid w:val="00AD4F8E"/>
    <w:rsid w:val="00AD51BE"/>
    <w:rsid w:val="00AD52D9"/>
    <w:rsid w:val="00AD53A6"/>
    <w:rsid w:val="00AD54F7"/>
    <w:rsid w:val="00AD5AAC"/>
    <w:rsid w:val="00AD5F69"/>
    <w:rsid w:val="00AD5FB0"/>
    <w:rsid w:val="00AD6063"/>
    <w:rsid w:val="00AD63BF"/>
    <w:rsid w:val="00AD661D"/>
    <w:rsid w:val="00AD74A1"/>
    <w:rsid w:val="00AD77CA"/>
    <w:rsid w:val="00AD7BB4"/>
    <w:rsid w:val="00AE08E0"/>
    <w:rsid w:val="00AE0AF6"/>
    <w:rsid w:val="00AE1279"/>
    <w:rsid w:val="00AE150F"/>
    <w:rsid w:val="00AE1670"/>
    <w:rsid w:val="00AE1C52"/>
    <w:rsid w:val="00AE1D18"/>
    <w:rsid w:val="00AE1FDB"/>
    <w:rsid w:val="00AE2160"/>
    <w:rsid w:val="00AE2463"/>
    <w:rsid w:val="00AE258F"/>
    <w:rsid w:val="00AE2C66"/>
    <w:rsid w:val="00AE324D"/>
    <w:rsid w:val="00AE34D3"/>
    <w:rsid w:val="00AE3866"/>
    <w:rsid w:val="00AE3B0B"/>
    <w:rsid w:val="00AE3CE5"/>
    <w:rsid w:val="00AE4016"/>
    <w:rsid w:val="00AE414D"/>
    <w:rsid w:val="00AE44BF"/>
    <w:rsid w:val="00AE4584"/>
    <w:rsid w:val="00AE5337"/>
    <w:rsid w:val="00AE53B9"/>
    <w:rsid w:val="00AE56BC"/>
    <w:rsid w:val="00AE595F"/>
    <w:rsid w:val="00AE5A4C"/>
    <w:rsid w:val="00AE5E99"/>
    <w:rsid w:val="00AE664C"/>
    <w:rsid w:val="00AE688E"/>
    <w:rsid w:val="00AE689A"/>
    <w:rsid w:val="00AE68B1"/>
    <w:rsid w:val="00AE6BC5"/>
    <w:rsid w:val="00AE6C67"/>
    <w:rsid w:val="00AE7052"/>
    <w:rsid w:val="00AE71FE"/>
    <w:rsid w:val="00AE753B"/>
    <w:rsid w:val="00AE7554"/>
    <w:rsid w:val="00AE7811"/>
    <w:rsid w:val="00AE79AC"/>
    <w:rsid w:val="00AE7B30"/>
    <w:rsid w:val="00AE7BD5"/>
    <w:rsid w:val="00AE7D4F"/>
    <w:rsid w:val="00AE7FED"/>
    <w:rsid w:val="00AF0629"/>
    <w:rsid w:val="00AF0653"/>
    <w:rsid w:val="00AF078F"/>
    <w:rsid w:val="00AF08C6"/>
    <w:rsid w:val="00AF1238"/>
    <w:rsid w:val="00AF13BB"/>
    <w:rsid w:val="00AF13EE"/>
    <w:rsid w:val="00AF1495"/>
    <w:rsid w:val="00AF14F1"/>
    <w:rsid w:val="00AF1A40"/>
    <w:rsid w:val="00AF1BD1"/>
    <w:rsid w:val="00AF1DF6"/>
    <w:rsid w:val="00AF1EC4"/>
    <w:rsid w:val="00AF2040"/>
    <w:rsid w:val="00AF21F5"/>
    <w:rsid w:val="00AF251B"/>
    <w:rsid w:val="00AF265E"/>
    <w:rsid w:val="00AF267E"/>
    <w:rsid w:val="00AF2A03"/>
    <w:rsid w:val="00AF2C77"/>
    <w:rsid w:val="00AF2CD1"/>
    <w:rsid w:val="00AF2D95"/>
    <w:rsid w:val="00AF2E0E"/>
    <w:rsid w:val="00AF2F2F"/>
    <w:rsid w:val="00AF303C"/>
    <w:rsid w:val="00AF35E3"/>
    <w:rsid w:val="00AF36C0"/>
    <w:rsid w:val="00AF38D5"/>
    <w:rsid w:val="00AF3A32"/>
    <w:rsid w:val="00AF3CF7"/>
    <w:rsid w:val="00AF3FF7"/>
    <w:rsid w:val="00AF422F"/>
    <w:rsid w:val="00AF48BE"/>
    <w:rsid w:val="00AF4CD5"/>
    <w:rsid w:val="00AF4CD8"/>
    <w:rsid w:val="00AF4D04"/>
    <w:rsid w:val="00AF501D"/>
    <w:rsid w:val="00AF50EF"/>
    <w:rsid w:val="00AF53E0"/>
    <w:rsid w:val="00AF5483"/>
    <w:rsid w:val="00AF54B9"/>
    <w:rsid w:val="00AF5FD4"/>
    <w:rsid w:val="00AF5FF9"/>
    <w:rsid w:val="00AF63E7"/>
    <w:rsid w:val="00AF6533"/>
    <w:rsid w:val="00AF674E"/>
    <w:rsid w:val="00AF6838"/>
    <w:rsid w:val="00AF6BE2"/>
    <w:rsid w:val="00AF6D41"/>
    <w:rsid w:val="00AF6DF2"/>
    <w:rsid w:val="00AF6FD8"/>
    <w:rsid w:val="00AF70CF"/>
    <w:rsid w:val="00AF718F"/>
    <w:rsid w:val="00AF71F4"/>
    <w:rsid w:val="00AF72BC"/>
    <w:rsid w:val="00AF7FD7"/>
    <w:rsid w:val="00B002C2"/>
    <w:rsid w:val="00B00B0B"/>
    <w:rsid w:val="00B00CF1"/>
    <w:rsid w:val="00B00E3E"/>
    <w:rsid w:val="00B00F58"/>
    <w:rsid w:val="00B011FB"/>
    <w:rsid w:val="00B01270"/>
    <w:rsid w:val="00B0130A"/>
    <w:rsid w:val="00B01337"/>
    <w:rsid w:val="00B01539"/>
    <w:rsid w:val="00B01B9D"/>
    <w:rsid w:val="00B0238E"/>
    <w:rsid w:val="00B023BC"/>
    <w:rsid w:val="00B02B95"/>
    <w:rsid w:val="00B02F91"/>
    <w:rsid w:val="00B033FA"/>
    <w:rsid w:val="00B0357C"/>
    <w:rsid w:val="00B03B0D"/>
    <w:rsid w:val="00B03E34"/>
    <w:rsid w:val="00B03F36"/>
    <w:rsid w:val="00B03F41"/>
    <w:rsid w:val="00B03FAD"/>
    <w:rsid w:val="00B04303"/>
    <w:rsid w:val="00B04A12"/>
    <w:rsid w:val="00B04BED"/>
    <w:rsid w:val="00B04C32"/>
    <w:rsid w:val="00B04D31"/>
    <w:rsid w:val="00B050F9"/>
    <w:rsid w:val="00B05314"/>
    <w:rsid w:val="00B05554"/>
    <w:rsid w:val="00B0563C"/>
    <w:rsid w:val="00B056F9"/>
    <w:rsid w:val="00B0576E"/>
    <w:rsid w:val="00B05A4D"/>
    <w:rsid w:val="00B05BA2"/>
    <w:rsid w:val="00B06028"/>
    <w:rsid w:val="00B061C7"/>
    <w:rsid w:val="00B064C4"/>
    <w:rsid w:val="00B0651D"/>
    <w:rsid w:val="00B065F9"/>
    <w:rsid w:val="00B06BC2"/>
    <w:rsid w:val="00B06C4B"/>
    <w:rsid w:val="00B06D0E"/>
    <w:rsid w:val="00B06DCC"/>
    <w:rsid w:val="00B07436"/>
    <w:rsid w:val="00B077C4"/>
    <w:rsid w:val="00B078BF"/>
    <w:rsid w:val="00B07B6E"/>
    <w:rsid w:val="00B07CFD"/>
    <w:rsid w:val="00B10F51"/>
    <w:rsid w:val="00B1154E"/>
    <w:rsid w:val="00B1175C"/>
    <w:rsid w:val="00B11874"/>
    <w:rsid w:val="00B12510"/>
    <w:rsid w:val="00B12611"/>
    <w:rsid w:val="00B12903"/>
    <w:rsid w:val="00B12A33"/>
    <w:rsid w:val="00B12AEC"/>
    <w:rsid w:val="00B12C99"/>
    <w:rsid w:val="00B12D11"/>
    <w:rsid w:val="00B12F2E"/>
    <w:rsid w:val="00B13179"/>
    <w:rsid w:val="00B13C7C"/>
    <w:rsid w:val="00B13E37"/>
    <w:rsid w:val="00B14342"/>
    <w:rsid w:val="00B14390"/>
    <w:rsid w:val="00B14772"/>
    <w:rsid w:val="00B14820"/>
    <w:rsid w:val="00B14EEE"/>
    <w:rsid w:val="00B15164"/>
    <w:rsid w:val="00B15386"/>
    <w:rsid w:val="00B154FD"/>
    <w:rsid w:val="00B15637"/>
    <w:rsid w:val="00B1569F"/>
    <w:rsid w:val="00B157F7"/>
    <w:rsid w:val="00B15CD3"/>
    <w:rsid w:val="00B15E68"/>
    <w:rsid w:val="00B16116"/>
    <w:rsid w:val="00B16941"/>
    <w:rsid w:val="00B17581"/>
    <w:rsid w:val="00B17851"/>
    <w:rsid w:val="00B17B0F"/>
    <w:rsid w:val="00B17B83"/>
    <w:rsid w:val="00B17C0C"/>
    <w:rsid w:val="00B20805"/>
    <w:rsid w:val="00B208DD"/>
    <w:rsid w:val="00B20937"/>
    <w:rsid w:val="00B20A33"/>
    <w:rsid w:val="00B20AB3"/>
    <w:rsid w:val="00B20FB3"/>
    <w:rsid w:val="00B212C1"/>
    <w:rsid w:val="00B21A82"/>
    <w:rsid w:val="00B21D69"/>
    <w:rsid w:val="00B21D83"/>
    <w:rsid w:val="00B21EC8"/>
    <w:rsid w:val="00B22283"/>
    <w:rsid w:val="00B225AA"/>
    <w:rsid w:val="00B22818"/>
    <w:rsid w:val="00B22839"/>
    <w:rsid w:val="00B22B14"/>
    <w:rsid w:val="00B22BA6"/>
    <w:rsid w:val="00B23136"/>
    <w:rsid w:val="00B23214"/>
    <w:rsid w:val="00B236E4"/>
    <w:rsid w:val="00B23AE1"/>
    <w:rsid w:val="00B23BAE"/>
    <w:rsid w:val="00B23C41"/>
    <w:rsid w:val="00B23F16"/>
    <w:rsid w:val="00B242E6"/>
    <w:rsid w:val="00B246B5"/>
    <w:rsid w:val="00B24B82"/>
    <w:rsid w:val="00B24D14"/>
    <w:rsid w:val="00B24F05"/>
    <w:rsid w:val="00B2540A"/>
    <w:rsid w:val="00B256E9"/>
    <w:rsid w:val="00B25A43"/>
    <w:rsid w:val="00B267AA"/>
    <w:rsid w:val="00B2702B"/>
    <w:rsid w:val="00B275CF"/>
    <w:rsid w:val="00B27F5A"/>
    <w:rsid w:val="00B27F84"/>
    <w:rsid w:val="00B30029"/>
    <w:rsid w:val="00B300A2"/>
    <w:rsid w:val="00B304A9"/>
    <w:rsid w:val="00B30B49"/>
    <w:rsid w:val="00B30DE4"/>
    <w:rsid w:val="00B30F23"/>
    <w:rsid w:val="00B30FE3"/>
    <w:rsid w:val="00B31578"/>
    <w:rsid w:val="00B3171F"/>
    <w:rsid w:val="00B31B64"/>
    <w:rsid w:val="00B31EF5"/>
    <w:rsid w:val="00B327C4"/>
    <w:rsid w:val="00B32AE4"/>
    <w:rsid w:val="00B33174"/>
    <w:rsid w:val="00B33273"/>
    <w:rsid w:val="00B333B2"/>
    <w:rsid w:val="00B3383E"/>
    <w:rsid w:val="00B339A4"/>
    <w:rsid w:val="00B33B30"/>
    <w:rsid w:val="00B33DE5"/>
    <w:rsid w:val="00B34938"/>
    <w:rsid w:val="00B3503C"/>
    <w:rsid w:val="00B35302"/>
    <w:rsid w:val="00B3538F"/>
    <w:rsid w:val="00B358C3"/>
    <w:rsid w:val="00B3597C"/>
    <w:rsid w:val="00B35C2E"/>
    <w:rsid w:val="00B360C6"/>
    <w:rsid w:val="00B363BD"/>
    <w:rsid w:val="00B36F0D"/>
    <w:rsid w:val="00B37123"/>
    <w:rsid w:val="00B376E2"/>
    <w:rsid w:val="00B37B17"/>
    <w:rsid w:val="00B37C84"/>
    <w:rsid w:val="00B37EB8"/>
    <w:rsid w:val="00B4017D"/>
    <w:rsid w:val="00B402C5"/>
    <w:rsid w:val="00B405AC"/>
    <w:rsid w:val="00B40732"/>
    <w:rsid w:val="00B4075F"/>
    <w:rsid w:val="00B40986"/>
    <w:rsid w:val="00B40AC8"/>
    <w:rsid w:val="00B40FFE"/>
    <w:rsid w:val="00B412F6"/>
    <w:rsid w:val="00B41390"/>
    <w:rsid w:val="00B416D2"/>
    <w:rsid w:val="00B4181B"/>
    <w:rsid w:val="00B41CA8"/>
    <w:rsid w:val="00B42048"/>
    <w:rsid w:val="00B42C8E"/>
    <w:rsid w:val="00B42CCB"/>
    <w:rsid w:val="00B42F68"/>
    <w:rsid w:val="00B43133"/>
    <w:rsid w:val="00B4326F"/>
    <w:rsid w:val="00B434CC"/>
    <w:rsid w:val="00B43FF0"/>
    <w:rsid w:val="00B442EF"/>
    <w:rsid w:val="00B443CD"/>
    <w:rsid w:val="00B445E2"/>
    <w:rsid w:val="00B44922"/>
    <w:rsid w:val="00B44997"/>
    <w:rsid w:val="00B450FB"/>
    <w:rsid w:val="00B45401"/>
    <w:rsid w:val="00B45711"/>
    <w:rsid w:val="00B4582E"/>
    <w:rsid w:val="00B45A58"/>
    <w:rsid w:val="00B4601C"/>
    <w:rsid w:val="00B46385"/>
    <w:rsid w:val="00B46935"/>
    <w:rsid w:val="00B46AF5"/>
    <w:rsid w:val="00B46B20"/>
    <w:rsid w:val="00B46CCA"/>
    <w:rsid w:val="00B46F07"/>
    <w:rsid w:val="00B47009"/>
    <w:rsid w:val="00B470FC"/>
    <w:rsid w:val="00B4761C"/>
    <w:rsid w:val="00B47699"/>
    <w:rsid w:val="00B47729"/>
    <w:rsid w:val="00B47AAF"/>
    <w:rsid w:val="00B47DE0"/>
    <w:rsid w:val="00B503C4"/>
    <w:rsid w:val="00B508E1"/>
    <w:rsid w:val="00B50969"/>
    <w:rsid w:val="00B50DA9"/>
    <w:rsid w:val="00B50E57"/>
    <w:rsid w:val="00B510DD"/>
    <w:rsid w:val="00B51279"/>
    <w:rsid w:val="00B514E8"/>
    <w:rsid w:val="00B516DD"/>
    <w:rsid w:val="00B517CC"/>
    <w:rsid w:val="00B51B2F"/>
    <w:rsid w:val="00B51DC2"/>
    <w:rsid w:val="00B520D0"/>
    <w:rsid w:val="00B5212D"/>
    <w:rsid w:val="00B52DB5"/>
    <w:rsid w:val="00B52DD1"/>
    <w:rsid w:val="00B5317E"/>
    <w:rsid w:val="00B53268"/>
    <w:rsid w:val="00B535D2"/>
    <w:rsid w:val="00B53904"/>
    <w:rsid w:val="00B53E8E"/>
    <w:rsid w:val="00B546BC"/>
    <w:rsid w:val="00B5472C"/>
    <w:rsid w:val="00B54800"/>
    <w:rsid w:val="00B55027"/>
    <w:rsid w:val="00B550B0"/>
    <w:rsid w:val="00B55E62"/>
    <w:rsid w:val="00B5636C"/>
    <w:rsid w:val="00B563CD"/>
    <w:rsid w:val="00B56901"/>
    <w:rsid w:val="00B56971"/>
    <w:rsid w:val="00B56B2A"/>
    <w:rsid w:val="00B56BFA"/>
    <w:rsid w:val="00B56D68"/>
    <w:rsid w:val="00B56F7A"/>
    <w:rsid w:val="00B57116"/>
    <w:rsid w:val="00B57585"/>
    <w:rsid w:val="00B57BCE"/>
    <w:rsid w:val="00B6004A"/>
    <w:rsid w:val="00B6099B"/>
    <w:rsid w:val="00B60D3F"/>
    <w:rsid w:val="00B61034"/>
    <w:rsid w:val="00B611F1"/>
    <w:rsid w:val="00B618FE"/>
    <w:rsid w:val="00B622C3"/>
    <w:rsid w:val="00B6231D"/>
    <w:rsid w:val="00B62927"/>
    <w:rsid w:val="00B62E69"/>
    <w:rsid w:val="00B63070"/>
    <w:rsid w:val="00B6311E"/>
    <w:rsid w:val="00B6357C"/>
    <w:rsid w:val="00B63686"/>
    <w:rsid w:val="00B63B36"/>
    <w:rsid w:val="00B63CC6"/>
    <w:rsid w:val="00B63EE9"/>
    <w:rsid w:val="00B64196"/>
    <w:rsid w:val="00B641D9"/>
    <w:rsid w:val="00B6442F"/>
    <w:rsid w:val="00B644EA"/>
    <w:rsid w:val="00B64B44"/>
    <w:rsid w:val="00B652ED"/>
    <w:rsid w:val="00B65406"/>
    <w:rsid w:val="00B656B6"/>
    <w:rsid w:val="00B6588D"/>
    <w:rsid w:val="00B659F8"/>
    <w:rsid w:val="00B65B7A"/>
    <w:rsid w:val="00B65E3D"/>
    <w:rsid w:val="00B65F60"/>
    <w:rsid w:val="00B6612F"/>
    <w:rsid w:val="00B661C5"/>
    <w:rsid w:val="00B666A3"/>
    <w:rsid w:val="00B67553"/>
    <w:rsid w:val="00B675CA"/>
    <w:rsid w:val="00B67666"/>
    <w:rsid w:val="00B67689"/>
    <w:rsid w:val="00B67AE4"/>
    <w:rsid w:val="00B701D9"/>
    <w:rsid w:val="00B705FC"/>
    <w:rsid w:val="00B706B4"/>
    <w:rsid w:val="00B706EF"/>
    <w:rsid w:val="00B70E48"/>
    <w:rsid w:val="00B70E75"/>
    <w:rsid w:val="00B70F88"/>
    <w:rsid w:val="00B71094"/>
    <w:rsid w:val="00B715BB"/>
    <w:rsid w:val="00B71CFC"/>
    <w:rsid w:val="00B71D91"/>
    <w:rsid w:val="00B71E14"/>
    <w:rsid w:val="00B72086"/>
    <w:rsid w:val="00B7252E"/>
    <w:rsid w:val="00B725AB"/>
    <w:rsid w:val="00B72704"/>
    <w:rsid w:val="00B72937"/>
    <w:rsid w:val="00B72EDA"/>
    <w:rsid w:val="00B72EF6"/>
    <w:rsid w:val="00B72F9F"/>
    <w:rsid w:val="00B73577"/>
    <w:rsid w:val="00B7365A"/>
    <w:rsid w:val="00B73943"/>
    <w:rsid w:val="00B73988"/>
    <w:rsid w:val="00B739C0"/>
    <w:rsid w:val="00B73B76"/>
    <w:rsid w:val="00B73DB5"/>
    <w:rsid w:val="00B7403F"/>
    <w:rsid w:val="00B74341"/>
    <w:rsid w:val="00B743ED"/>
    <w:rsid w:val="00B7456A"/>
    <w:rsid w:val="00B745FE"/>
    <w:rsid w:val="00B74C7B"/>
    <w:rsid w:val="00B74F47"/>
    <w:rsid w:val="00B7519D"/>
    <w:rsid w:val="00B756EF"/>
    <w:rsid w:val="00B75B29"/>
    <w:rsid w:val="00B75DBE"/>
    <w:rsid w:val="00B76659"/>
    <w:rsid w:val="00B7686F"/>
    <w:rsid w:val="00B76CDA"/>
    <w:rsid w:val="00B77151"/>
    <w:rsid w:val="00B7725A"/>
    <w:rsid w:val="00B77406"/>
    <w:rsid w:val="00B77C39"/>
    <w:rsid w:val="00B77CF8"/>
    <w:rsid w:val="00B77F38"/>
    <w:rsid w:val="00B8006C"/>
    <w:rsid w:val="00B801A2"/>
    <w:rsid w:val="00B8076F"/>
    <w:rsid w:val="00B80B88"/>
    <w:rsid w:val="00B8102D"/>
    <w:rsid w:val="00B811A4"/>
    <w:rsid w:val="00B812B2"/>
    <w:rsid w:val="00B81404"/>
    <w:rsid w:val="00B81570"/>
    <w:rsid w:val="00B81AB2"/>
    <w:rsid w:val="00B82296"/>
    <w:rsid w:val="00B8236D"/>
    <w:rsid w:val="00B82952"/>
    <w:rsid w:val="00B82B3C"/>
    <w:rsid w:val="00B82BA1"/>
    <w:rsid w:val="00B8301B"/>
    <w:rsid w:val="00B83405"/>
    <w:rsid w:val="00B836F8"/>
    <w:rsid w:val="00B83CD9"/>
    <w:rsid w:val="00B83DCB"/>
    <w:rsid w:val="00B83F53"/>
    <w:rsid w:val="00B840AA"/>
    <w:rsid w:val="00B8414D"/>
    <w:rsid w:val="00B84261"/>
    <w:rsid w:val="00B84876"/>
    <w:rsid w:val="00B848F0"/>
    <w:rsid w:val="00B84BCD"/>
    <w:rsid w:val="00B84F24"/>
    <w:rsid w:val="00B85222"/>
    <w:rsid w:val="00B852DC"/>
    <w:rsid w:val="00B8562A"/>
    <w:rsid w:val="00B856BC"/>
    <w:rsid w:val="00B85A2B"/>
    <w:rsid w:val="00B85BE6"/>
    <w:rsid w:val="00B86592"/>
    <w:rsid w:val="00B86D26"/>
    <w:rsid w:val="00B870C0"/>
    <w:rsid w:val="00B87129"/>
    <w:rsid w:val="00B8752E"/>
    <w:rsid w:val="00B875B8"/>
    <w:rsid w:val="00B87A9F"/>
    <w:rsid w:val="00B87FD4"/>
    <w:rsid w:val="00B903D2"/>
    <w:rsid w:val="00B90706"/>
    <w:rsid w:val="00B91592"/>
    <w:rsid w:val="00B91654"/>
    <w:rsid w:val="00B9186B"/>
    <w:rsid w:val="00B9191B"/>
    <w:rsid w:val="00B91B6D"/>
    <w:rsid w:val="00B91D41"/>
    <w:rsid w:val="00B91FAB"/>
    <w:rsid w:val="00B920A0"/>
    <w:rsid w:val="00B9250C"/>
    <w:rsid w:val="00B9265B"/>
    <w:rsid w:val="00B927B5"/>
    <w:rsid w:val="00B92A40"/>
    <w:rsid w:val="00B937D7"/>
    <w:rsid w:val="00B938D2"/>
    <w:rsid w:val="00B938D6"/>
    <w:rsid w:val="00B93E9B"/>
    <w:rsid w:val="00B93F5B"/>
    <w:rsid w:val="00B94218"/>
    <w:rsid w:val="00B943CB"/>
    <w:rsid w:val="00B94AB7"/>
    <w:rsid w:val="00B94AE8"/>
    <w:rsid w:val="00B94B01"/>
    <w:rsid w:val="00B94E3F"/>
    <w:rsid w:val="00B94ED3"/>
    <w:rsid w:val="00B9506F"/>
    <w:rsid w:val="00B950E8"/>
    <w:rsid w:val="00B95630"/>
    <w:rsid w:val="00B957C7"/>
    <w:rsid w:val="00B9586B"/>
    <w:rsid w:val="00B95A23"/>
    <w:rsid w:val="00B95BDA"/>
    <w:rsid w:val="00B95F53"/>
    <w:rsid w:val="00B96305"/>
    <w:rsid w:val="00B963CC"/>
    <w:rsid w:val="00B965A8"/>
    <w:rsid w:val="00B96834"/>
    <w:rsid w:val="00B96C69"/>
    <w:rsid w:val="00B96C86"/>
    <w:rsid w:val="00B972B7"/>
    <w:rsid w:val="00B974D8"/>
    <w:rsid w:val="00B977B9"/>
    <w:rsid w:val="00B97991"/>
    <w:rsid w:val="00BA01B2"/>
    <w:rsid w:val="00BA01C6"/>
    <w:rsid w:val="00BA0481"/>
    <w:rsid w:val="00BA05CD"/>
    <w:rsid w:val="00BA0884"/>
    <w:rsid w:val="00BA0AEA"/>
    <w:rsid w:val="00BA11F0"/>
    <w:rsid w:val="00BA12A2"/>
    <w:rsid w:val="00BA170C"/>
    <w:rsid w:val="00BA1BEB"/>
    <w:rsid w:val="00BA1D79"/>
    <w:rsid w:val="00BA233D"/>
    <w:rsid w:val="00BA2E2F"/>
    <w:rsid w:val="00BA2F22"/>
    <w:rsid w:val="00BA30A6"/>
    <w:rsid w:val="00BA30AD"/>
    <w:rsid w:val="00BA325C"/>
    <w:rsid w:val="00BA34A5"/>
    <w:rsid w:val="00BA3AEE"/>
    <w:rsid w:val="00BA4283"/>
    <w:rsid w:val="00BA4386"/>
    <w:rsid w:val="00BA4497"/>
    <w:rsid w:val="00BA47AB"/>
    <w:rsid w:val="00BA54D3"/>
    <w:rsid w:val="00BA555E"/>
    <w:rsid w:val="00BA5AFB"/>
    <w:rsid w:val="00BA6291"/>
    <w:rsid w:val="00BA635C"/>
    <w:rsid w:val="00BA691E"/>
    <w:rsid w:val="00BA6955"/>
    <w:rsid w:val="00BA6F3E"/>
    <w:rsid w:val="00BA7013"/>
    <w:rsid w:val="00BA7383"/>
    <w:rsid w:val="00BA7A00"/>
    <w:rsid w:val="00BA7CB5"/>
    <w:rsid w:val="00BB0113"/>
    <w:rsid w:val="00BB0486"/>
    <w:rsid w:val="00BB05E8"/>
    <w:rsid w:val="00BB0C32"/>
    <w:rsid w:val="00BB0CAA"/>
    <w:rsid w:val="00BB1834"/>
    <w:rsid w:val="00BB20E2"/>
    <w:rsid w:val="00BB215D"/>
    <w:rsid w:val="00BB2307"/>
    <w:rsid w:val="00BB260F"/>
    <w:rsid w:val="00BB27C7"/>
    <w:rsid w:val="00BB2889"/>
    <w:rsid w:val="00BB2CFC"/>
    <w:rsid w:val="00BB2F88"/>
    <w:rsid w:val="00BB38BF"/>
    <w:rsid w:val="00BB3B0A"/>
    <w:rsid w:val="00BB3BDC"/>
    <w:rsid w:val="00BB3EC2"/>
    <w:rsid w:val="00BB400B"/>
    <w:rsid w:val="00BB4503"/>
    <w:rsid w:val="00BB4619"/>
    <w:rsid w:val="00BB4ADB"/>
    <w:rsid w:val="00BB4F54"/>
    <w:rsid w:val="00BB572E"/>
    <w:rsid w:val="00BB58D8"/>
    <w:rsid w:val="00BB5C10"/>
    <w:rsid w:val="00BB5CF7"/>
    <w:rsid w:val="00BB5D6A"/>
    <w:rsid w:val="00BB5F21"/>
    <w:rsid w:val="00BB6186"/>
    <w:rsid w:val="00BB62EE"/>
    <w:rsid w:val="00BB6C8C"/>
    <w:rsid w:val="00BB6CDA"/>
    <w:rsid w:val="00BB6EC9"/>
    <w:rsid w:val="00BB6F24"/>
    <w:rsid w:val="00BB7650"/>
    <w:rsid w:val="00BB7F25"/>
    <w:rsid w:val="00BC08F5"/>
    <w:rsid w:val="00BC0949"/>
    <w:rsid w:val="00BC0AFF"/>
    <w:rsid w:val="00BC0BBB"/>
    <w:rsid w:val="00BC0D48"/>
    <w:rsid w:val="00BC0EFA"/>
    <w:rsid w:val="00BC12F8"/>
    <w:rsid w:val="00BC1570"/>
    <w:rsid w:val="00BC1E42"/>
    <w:rsid w:val="00BC20D6"/>
    <w:rsid w:val="00BC267E"/>
    <w:rsid w:val="00BC2848"/>
    <w:rsid w:val="00BC2CA8"/>
    <w:rsid w:val="00BC2FBE"/>
    <w:rsid w:val="00BC3254"/>
    <w:rsid w:val="00BC339C"/>
    <w:rsid w:val="00BC35F1"/>
    <w:rsid w:val="00BC3761"/>
    <w:rsid w:val="00BC3EE1"/>
    <w:rsid w:val="00BC3F20"/>
    <w:rsid w:val="00BC3F43"/>
    <w:rsid w:val="00BC42BC"/>
    <w:rsid w:val="00BC4384"/>
    <w:rsid w:val="00BC44D2"/>
    <w:rsid w:val="00BC48A2"/>
    <w:rsid w:val="00BC49ED"/>
    <w:rsid w:val="00BC4CE5"/>
    <w:rsid w:val="00BC4E22"/>
    <w:rsid w:val="00BC4FC4"/>
    <w:rsid w:val="00BC502E"/>
    <w:rsid w:val="00BC5813"/>
    <w:rsid w:val="00BC5FEC"/>
    <w:rsid w:val="00BC625F"/>
    <w:rsid w:val="00BC68A9"/>
    <w:rsid w:val="00BC6C6F"/>
    <w:rsid w:val="00BC6F97"/>
    <w:rsid w:val="00BC74B6"/>
    <w:rsid w:val="00BC75AC"/>
    <w:rsid w:val="00BC76C0"/>
    <w:rsid w:val="00BC7862"/>
    <w:rsid w:val="00BD0167"/>
    <w:rsid w:val="00BD01CB"/>
    <w:rsid w:val="00BD021F"/>
    <w:rsid w:val="00BD02B8"/>
    <w:rsid w:val="00BD0420"/>
    <w:rsid w:val="00BD0597"/>
    <w:rsid w:val="00BD0614"/>
    <w:rsid w:val="00BD0BBD"/>
    <w:rsid w:val="00BD0DBF"/>
    <w:rsid w:val="00BD0E75"/>
    <w:rsid w:val="00BD0EF5"/>
    <w:rsid w:val="00BD112C"/>
    <w:rsid w:val="00BD12D6"/>
    <w:rsid w:val="00BD1BDB"/>
    <w:rsid w:val="00BD1BF0"/>
    <w:rsid w:val="00BD1C5D"/>
    <w:rsid w:val="00BD1D76"/>
    <w:rsid w:val="00BD1DEB"/>
    <w:rsid w:val="00BD24BF"/>
    <w:rsid w:val="00BD25F0"/>
    <w:rsid w:val="00BD2683"/>
    <w:rsid w:val="00BD2784"/>
    <w:rsid w:val="00BD28A5"/>
    <w:rsid w:val="00BD36BB"/>
    <w:rsid w:val="00BD3886"/>
    <w:rsid w:val="00BD3D07"/>
    <w:rsid w:val="00BD4396"/>
    <w:rsid w:val="00BD457C"/>
    <w:rsid w:val="00BD4737"/>
    <w:rsid w:val="00BD47D6"/>
    <w:rsid w:val="00BD4AF1"/>
    <w:rsid w:val="00BD52E4"/>
    <w:rsid w:val="00BD5356"/>
    <w:rsid w:val="00BD53E0"/>
    <w:rsid w:val="00BD5D01"/>
    <w:rsid w:val="00BD5D32"/>
    <w:rsid w:val="00BD5D74"/>
    <w:rsid w:val="00BD6079"/>
    <w:rsid w:val="00BD6D62"/>
    <w:rsid w:val="00BD6ECB"/>
    <w:rsid w:val="00BD6FF5"/>
    <w:rsid w:val="00BD70F1"/>
    <w:rsid w:val="00BD7116"/>
    <w:rsid w:val="00BD71DE"/>
    <w:rsid w:val="00BD73C0"/>
    <w:rsid w:val="00BD79E3"/>
    <w:rsid w:val="00BE0045"/>
    <w:rsid w:val="00BE0557"/>
    <w:rsid w:val="00BE05B0"/>
    <w:rsid w:val="00BE0850"/>
    <w:rsid w:val="00BE0A00"/>
    <w:rsid w:val="00BE0CD6"/>
    <w:rsid w:val="00BE1097"/>
    <w:rsid w:val="00BE10C1"/>
    <w:rsid w:val="00BE1B14"/>
    <w:rsid w:val="00BE1BDA"/>
    <w:rsid w:val="00BE1C31"/>
    <w:rsid w:val="00BE1C6D"/>
    <w:rsid w:val="00BE1ED0"/>
    <w:rsid w:val="00BE2576"/>
    <w:rsid w:val="00BE25EA"/>
    <w:rsid w:val="00BE27A6"/>
    <w:rsid w:val="00BE2B1E"/>
    <w:rsid w:val="00BE2DB7"/>
    <w:rsid w:val="00BE307E"/>
    <w:rsid w:val="00BE339C"/>
    <w:rsid w:val="00BE380F"/>
    <w:rsid w:val="00BE38D7"/>
    <w:rsid w:val="00BE396A"/>
    <w:rsid w:val="00BE3C63"/>
    <w:rsid w:val="00BE3DB1"/>
    <w:rsid w:val="00BE4118"/>
    <w:rsid w:val="00BE41C6"/>
    <w:rsid w:val="00BE45BA"/>
    <w:rsid w:val="00BE4908"/>
    <w:rsid w:val="00BE4F14"/>
    <w:rsid w:val="00BE4F42"/>
    <w:rsid w:val="00BE4F9E"/>
    <w:rsid w:val="00BE5357"/>
    <w:rsid w:val="00BE5375"/>
    <w:rsid w:val="00BE57E4"/>
    <w:rsid w:val="00BE586C"/>
    <w:rsid w:val="00BE5C65"/>
    <w:rsid w:val="00BE5D4B"/>
    <w:rsid w:val="00BE5EC8"/>
    <w:rsid w:val="00BE6190"/>
    <w:rsid w:val="00BE6575"/>
    <w:rsid w:val="00BE6755"/>
    <w:rsid w:val="00BE6928"/>
    <w:rsid w:val="00BE69C6"/>
    <w:rsid w:val="00BE7321"/>
    <w:rsid w:val="00BE757A"/>
    <w:rsid w:val="00BE7740"/>
    <w:rsid w:val="00BE7769"/>
    <w:rsid w:val="00BE780F"/>
    <w:rsid w:val="00BE7E1B"/>
    <w:rsid w:val="00BE7EEC"/>
    <w:rsid w:val="00BF005B"/>
    <w:rsid w:val="00BF0164"/>
    <w:rsid w:val="00BF0A96"/>
    <w:rsid w:val="00BF0BCD"/>
    <w:rsid w:val="00BF12CC"/>
    <w:rsid w:val="00BF13CD"/>
    <w:rsid w:val="00BF143F"/>
    <w:rsid w:val="00BF15A3"/>
    <w:rsid w:val="00BF18A8"/>
    <w:rsid w:val="00BF1A28"/>
    <w:rsid w:val="00BF1ACF"/>
    <w:rsid w:val="00BF1D1F"/>
    <w:rsid w:val="00BF222A"/>
    <w:rsid w:val="00BF265B"/>
    <w:rsid w:val="00BF2884"/>
    <w:rsid w:val="00BF2AC8"/>
    <w:rsid w:val="00BF2F70"/>
    <w:rsid w:val="00BF30B4"/>
    <w:rsid w:val="00BF3180"/>
    <w:rsid w:val="00BF366B"/>
    <w:rsid w:val="00BF396D"/>
    <w:rsid w:val="00BF3E96"/>
    <w:rsid w:val="00BF41EE"/>
    <w:rsid w:val="00BF4CEC"/>
    <w:rsid w:val="00BF53A7"/>
    <w:rsid w:val="00BF57FA"/>
    <w:rsid w:val="00BF584D"/>
    <w:rsid w:val="00BF6640"/>
    <w:rsid w:val="00BF6784"/>
    <w:rsid w:val="00BF6952"/>
    <w:rsid w:val="00BF6B67"/>
    <w:rsid w:val="00BF6D40"/>
    <w:rsid w:val="00BF70F1"/>
    <w:rsid w:val="00BF73C3"/>
    <w:rsid w:val="00BF7AF3"/>
    <w:rsid w:val="00BF7B59"/>
    <w:rsid w:val="00BF7EFC"/>
    <w:rsid w:val="00BF7FED"/>
    <w:rsid w:val="00C00037"/>
    <w:rsid w:val="00C007F3"/>
    <w:rsid w:val="00C00819"/>
    <w:rsid w:val="00C00BD9"/>
    <w:rsid w:val="00C00C4C"/>
    <w:rsid w:val="00C00EF8"/>
    <w:rsid w:val="00C00F99"/>
    <w:rsid w:val="00C01295"/>
    <w:rsid w:val="00C01A02"/>
    <w:rsid w:val="00C01B41"/>
    <w:rsid w:val="00C01F09"/>
    <w:rsid w:val="00C0231A"/>
    <w:rsid w:val="00C0285E"/>
    <w:rsid w:val="00C02E83"/>
    <w:rsid w:val="00C03125"/>
    <w:rsid w:val="00C034B7"/>
    <w:rsid w:val="00C038F0"/>
    <w:rsid w:val="00C03B06"/>
    <w:rsid w:val="00C03C5C"/>
    <w:rsid w:val="00C04784"/>
    <w:rsid w:val="00C04974"/>
    <w:rsid w:val="00C04B7C"/>
    <w:rsid w:val="00C04DE7"/>
    <w:rsid w:val="00C04E79"/>
    <w:rsid w:val="00C053B0"/>
    <w:rsid w:val="00C0661C"/>
    <w:rsid w:val="00C069A3"/>
    <w:rsid w:val="00C07235"/>
    <w:rsid w:val="00C07624"/>
    <w:rsid w:val="00C0772D"/>
    <w:rsid w:val="00C07992"/>
    <w:rsid w:val="00C07DA8"/>
    <w:rsid w:val="00C07F99"/>
    <w:rsid w:val="00C07FF2"/>
    <w:rsid w:val="00C10062"/>
    <w:rsid w:val="00C1008D"/>
    <w:rsid w:val="00C10133"/>
    <w:rsid w:val="00C10243"/>
    <w:rsid w:val="00C102E9"/>
    <w:rsid w:val="00C10925"/>
    <w:rsid w:val="00C10A31"/>
    <w:rsid w:val="00C118FC"/>
    <w:rsid w:val="00C11920"/>
    <w:rsid w:val="00C11C71"/>
    <w:rsid w:val="00C11E00"/>
    <w:rsid w:val="00C1210E"/>
    <w:rsid w:val="00C12341"/>
    <w:rsid w:val="00C127D5"/>
    <w:rsid w:val="00C1297A"/>
    <w:rsid w:val="00C12F9A"/>
    <w:rsid w:val="00C130B1"/>
    <w:rsid w:val="00C1378D"/>
    <w:rsid w:val="00C13BE7"/>
    <w:rsid w:val="00C13E06"/>
    <w:rsid w:val="00C14216"/>
    <w:rsid w:val="00C14703"/>
    <w:rsid w:val="00C1486D"/>
    <w:rsid w:val="00C14C37"/>
    <w:rsid w:val="00C150C0"/>
    <w:rsid w:val="00C155A5"/>
    <w:rsid w:val="00C156C4"/>
    <w:rsid w:val="00C15714"/>
    <w:rsid w:val="00C15E31"/>
    <w:rsid w:val="00C1603A"/>
    <w:rsid w:val="00C1630B"/>
    <w:rsid w:val="00C169A3"/>
    <w:rsid w:val="00C16E74"/>
    <w:rsid w:val="00C16F65"/>
    <w:rsid w:val="00C177F5"/>
    <w:rsid w:val="00C17864"/>
    <w:rsid w:val="00C178C0"/>
    <w:rsid w:val="00C17F17"/>
    <w:rsid w:val="00C205D8"/>
    <w:rsid w:val="00C20602"/>
    <w:rsid w:val="00C209D9"/>
    <w:rsid w:val="00C20BF8"/>
    <w:rsid w:val="00C20D16"/>
    <w:rsid w:val="00C20DA2"/>
    <w:rsid w:val="00C2134C"/>
    <w:rsid w:val="00C219DB"/>
    <w:rsid w:val="00C21A15"/>
    <w:rsid w:val="00C21E03"/>
    <w:rsid w:val="00C21F1E"/>
    <w:rsid w:val="00C2204F"/>
    <w:rsid w:val="00C222E7"/>
    <w:rsid w:val="00C224EC"/>
    <w:rsid w:val="00C22565"/>
    <w:rsid w:val="00C22EB1"/>
    <w:rsid w:val="00C22F22"/>
    <w:rsid w:val="00C2318C"/>
    <w:rsid w:val="00C231EA"/>
    <w:rsid w:val="00C241A9"/>
    <w:rsid w:val="00C2425C"/>
    <w:rsid w:val="00C2440E"/>
    <w:rsid w:val="00C246CD"/>
    <w:rsid w:val="00C248F5"/>
    <w:rsid w:val="00C24B34"/>
    <w:rsid w:val="00C24DE4"/>
    <w:rsid w:val="00C250CF"/>
    <w:rsid w:val="00C250E8"/>
    <w:rsid w:val="00C2542A"/>
    <w:rsid w:val="00C25854"/>
    <w:rsid w:val="00C25B20"/>
    <w:rsid w:val="00C25EBB"/>
    <w:rsid w:val="00C260CD"/>
    <w:rsid w:val="00C26322"/>
    <w:rsid w:val="00C26A64"/>
    <w:rsid w:val="00C26C31"/>
    <w:rsid w:val="00C26D0F"/>
    <w:rsid w:val="00C26E4A"/>
    <w:rsid w:val="00C26EDE"/>
    <w:rsid w:val="00C272AA"/>
    <w:rsid w:val="00C27430"/>
    <w:rsid w:val="00C27934"/>
    <w:rsid w:val="00C279BA"/>
    <w:rsid w:val="00C27B83"/>
    <w:rsid w:val="00C27C79"/>
    <w:rsid w:val="00C27E9A"/>
    <w:rsid w:val="00C303A2"/>
    <w:rsid w:val="00C308F5"/>
    <w:rsid w:val="00C30A66"/>
    <w:rsid w:val="00C30BC0"/>
    <w:rsid w:val="00C30BF8"/>
    <w:rsid w:val="00C30CC8"/>
    <w:rsid w:val="00C31450"/>
    <w:rsid w:val="00C31787"/>
    <w:rsid w:val="00C319DA"/>
    <w:rsid w:val="00C31CFD"/>
    <w:rsid w:val="00C31F37"/>
    <w:rsid w:val="00C321FA"/>
    <w:rsid w:val="00C325F0"/>
    <w:rsid w:val="00C326CA"/>
    <w:rsid w:val="00C32720"/>
    <w:rsid w:val="00C3280B"/>
    <w:rsid w:val="00C3289D"/>
    <w:rsid w:val="00C32AAE"/>
    <w:rsid w:val="00C32CFB"/>
    <w:rsid w:val="00C32DDC"/>
    <w:rsid w:val="00C32E81"/>
    <w:rsid w:val="00C33607"/>
    <w:rsid w:val="00C33693"/>
    <w:rsid w:val="00C336C8"/>
    <w:rsid w:val="00C338DD"/>
    <w:rsid w:val="00C34026"/>
    <w:rsid w:val="00C341CA"/>
    <w:rsid w:val="00C34332"/>
    <w:rsid w:val="00C343FE"/>
    <w:rsid w:val="00C345A0"/>
    <w:rsid w:val="00C345B3"/>
    <w:rsid w:val="00C348BB"/>
    <w:rsid w:val="00C35134"/>
    <w:rsid w:val="00C35C5A"/>
    <w:rsid w:val="00C3600B"/>
    <w:rsid w:val="00C361CA"/>
    <w:rsid w:val="00C362F7"/>
    <w:rsid w:val="00C363ED"/>
    <w:rsid w:val="00C3694F"/>
    <w:rsid w:val="00C36A74"/>
    <w:rsid w:val="00C36E70"/>
    <w:rsid w:val="00C370E0"/>
    <w:rsid w:val="00C37383"/>
    <w:rsid w:val="00C37642"/>
    <w:rsid w:val="00C37FEF"/>
    <w:rsid w:val="00C40267"/>
    <w:rsid w:val="00C40868"/>
    <w:rsid w:val="00C40971"/>
    <w:rsid w:val="00C40A53"/>
    <w:rsid w:val="00C40B79"/>
    <w:rsid w:val="00C40C89"/>
    <w:rsid w:val="00C4105F"/>
    <w:rsid w:val="00C41513"/>
    <w:rsid w:val="00C41609"/>
    <w:rsid w:val="00C416A4"/>
    <w:rsid w:val="00C41703"/>
    <w:rsid w:val="00C41C26"/>
    <w:rsid w:val="00C41D81"/>
    <w:rsid w:val="00C41EB6"/>
    <w:rsid w:val="00C41F30"/>
    <w:rsid w:val="00C41F57"/>
    <w:rsid w:val="00C4271B"/>
    <w:rsid w:val="00C42B66"/>
    <w:rsid w:val="00C43A8D"/>
    <w:rsid w:val="00C43D24"/>
    <w:rsid w:val="00C43D80"/>
    <w:rsid w:val="00C443CF"/>
    <w:rsid w:val="00C4472C"/>
    <w:rsid w:val="00C4475D"/>
    <w:rsid w:val="00C448C1"/>
    <w:rsid w:val="00C44C1B"/>
    <w:rsid w:val="00C45063"/>
    <w:rsid w:val="00C4559D"/>
    <w:rsid w:val="00C456E9"/>
    <w:rsid w:val="00C45949"/>
    <w:rsid w:val="00C45E82"/>
    <w:rsid w:val="00C460AE"/>
    <w:rsid w:val="00C4662A"/>
    <w:rsid w:val="00C46C86"/>
    <w:rsid w:val="00C47274"/>
    <w:rsid w:val="00C4762A"/>
    <w:rsid w:val="00C47B61"/>
    <w:rsid w:val="00C47BA3"/>
    <w:rsid w:val="00C47C0A"/>
    <w:rsid w:val="00C500E4"/>
    <w:rsid w:val="00C501D7"/>
    <w:rsid w:val="00C507A5"/>
    <w:rsid w:val="00C50846"/>
    <w:rsid w:val="00C50BC1"/>
    <w:rsid w:val="00C50D94"/>
    <w:rsid w:val="00C50DC4"/>
    <w:rsid w:val="00C50EC6"/>
    <w:rsid w:val="00C5132E"/>
    <w:rsid w:val="00C51784"/>
    <w:rsid w:val="00C517BD"/>
    <w:rsid w:val="00C52155"/>
    <w:rsid w:val="00C52348"/>
    <w:rsid w:val="00C52383"/>
    <w:rsid w:val="00C5239F"/>
    <w:rsid w:val="00C523C3"/>
    <w:rsid w:val="00C5264D"/>
    <w:rsid w:val="00C52FB4"/>
    <w:rsid w:val="00C5332C"/>
    <w:rsid w:val="00C539E5"/>
    <w:rsid w:val="00C53D33"/>
    <w:rsid w:val="00C53E9F"/>
    <w:rsid w:val="00C54024"/>
    <w:rsid w:val="00C559D9"/>
    <w:rsid w:val="00C55A39"/>
    <w:rsid w:val="00C55C97"/>
    <w:rsid w:val="00C55D75"/>
    <w:rsid w:val="00C55E28"/>
    <w:rsid w:val="00C55FC6"/>
    <w:rsid w:val="00C55FD3"/>
    <w:rsid w:val="00C5606C"/>
    <w:rsid w:val="00C5679B"/>
    <w:rsid w:val="00C56B8A"/>
    <w:rsid w:val="00C56FC2"/>
    <w:rsid w:val="00C57718"/>
    <w:rsid w:val="00C5779D"/>
    <w:rsid w:val="00C57933"/>
    <w:rsid w:val="00C57A76"/>
    <w:rsid w:val="00C57C4B"/>
    <w:rsid w:val="00C57FB6"/>
    <w:rsid w:val="00C603D5"/>
    <w:rsid w:val="00C606EC"/>
    <w:rsid w:val="00C608D6"/>
    <w:rsid w:val="00C60CFA"/>
    <w:rsid w:val="00C6147B"/>
    <w:rsid w:val="00C61699"/>
    <w:rsid w:val="00C6178B"/>
    <w:rsid w:val="00C61969"/>
    <w:rsid w:val="00C61CED"/>
    <w:rsid w:val="00C62039"/>
    <w:rsid w:val="00C621AA"/>
    <w:rsid w:val="00C621CB"/>
    <w:rsid w:val="00C62268"/>
    <w:rsid w:val="00C6235E"/>
    <w:rsid w:val="00C6245D"/>
    <w:rsid w:val="00C6246E"/>
    <w:rsid w:val="00C6272C"/>
    <w:rsid w:val="00C62D63"/>
    <w:rsid w:val="00C633D1"/>
    <w:rsid w:val="00C63475"/>
    <w:rsid w:val="00C63571"/>
    <w:rsid w:val="00C63AA1"/>
    <w:rsid w:val="00C63BCD"/>
    <w:rsid w:val="00C63C96"/>
    <w:rsid w:val="00C645CF"/>
    <w:rsid w:val="00C64626"/>
    <w:rsid w:val="00C64A8A"/>
    <w:rsid w:val="00C64BBC"/>
    <w:rsid w:val="00C64C71"/>
    <w:rsid w:val="00C64C9E"/>
    <w:rsid w:val="00C65185"/>
    <w:rsid w:val="00C65766"/>
    <w:rsid w:val="00C6576A"/>
    <w:rsid w:val="00C659A4"/>
    <w:rsid w:val="00C65F17"/>
    <w:rsid w:val="00C668BF"/>
    <w:rsid w:val="00C6721A"/>
    <w:rsid w:val="00C67790"/>
    <w:rsid w:val="00C6791A"/>
    <w:rsid w:val="00C679EC"/>
    <w:rsid w:val="00C679EF"/>
    <w:rsid w:val="00C67F33"/>
    <w:rsid w:val="00C67F5E"/>
    <w:rsid w:val="00C702B1"/>
    <w:rsid w:val="00C70D2E"/>
    <w:rsid w:val="00C70F67"/>
    <w:rsid w:val="00C711D2"/>
    <w:rsid w:val="00C7154C"/>
    <w:rsid w:val="00C715E3"/>
    <w:rsid w:val="00C717FA"/>
    <w:rsid w:val="00C71B09"/>
    <w:rsid w:val="00C71E12"/>
    <w:rsid w:val="00C71E48"/>
    <w:rsid w:val="00C72533"/>
    <w:rsid w:val="00C727C5"/>
    <w:rsid w:val="00C72BE6"/>
    <w:rsid w:val="00C72D2A"/>
    <w:rsid w:val="00C7330D"/>
    <w:rsid w:val="00C73552"/>
    <w:rsid w:val="00C735F3"/>
    <w:rsid w:val="00C738DE"/>
    <w:rsid w:val="00C73C85"/>
    <w:rsid w:val="00C73E46"/>
    <w:rsid w:val="00C7402D"/>
    <w:rsid w:val="00C74364"/>
    <w:rsid w:val="00C74421"/>
    <w:rsid w:val="00C74428"/>
    <w:rsid w:val="00C74FE9"/>
    <w:rsid w:val="00C750AE"/>
    <w:rsid w:val="00C755BF"/>
    <w:rsid w:val="00C759BD"/>
    <w:rsid w:val="00C75B23"/>
    <w:rsid w:val="00C75DDB"/>
    <w:rsid w:val="00C7610A"/>
    <w:rsid w:val="00C7680D"/>
    <w:rsid w:val="00C76A6B"/>
    <w:rsid w:val="00C76BE0"/>
    <w:rsid w:val="00C77034"/>
    <w:rsid w:val="00C771CD"/>
    <w:rsid w:val="00C7792D"/>
    <w:rsid w:val="00C77D83"/>
    <w:rsid w:val="00C80046"/>
    <w:rsid w:val="00C80491"/>
    <w:rsid w:val="00C8070A"/>
    <w:rsid w:val="00C80A5A"/>
    <w:rsid w:val="00C80F66"/>
    <w:rsid w:val="00C810DB"/>
    <w:rsid w:val="00C812D7"/>
    <w:rsid w:val="00C81306"/>
    <w:rsid w:val="00C81BD8"/>
    <w:rsid w:val="00C82102"/>
    <w:rsid w:val="00C82317"/>
    <w:rsid w:val="00C8281A"/>
    <w:rsid w:val="00C828FE"/>
    <w:rsid w:val="00C836D8"/>
    <w:rsid w:val="00C83D49"/>
    <w:rsid w:val="00C83E5F"/>
    <w:rsid w:val="00C83ECF"/>
    <w:rsid w:val="00C84288"/>
    <w:rsid w:val="00C84514"/>
    <w:rsid w:val="00C84710"/>
    <w:rsid w:val="00C84F34"/>
    <w:rsid w:val="00C85829"/>
    <w:rsid w:val="00C85CB4"/>
    <w:rsid w:val="00C86580"/>
    <w:rsid w:val="00C865EF"/>
    <w:rsid w:val="00C8673E"/>
    <w:rsid w:val="00C86893"/>
    <w:rsid w:val="00C86E91"/>
    <w:rsid w:val="00C87065"/>
    <w:rsid w:val="00C878DB"/>
    <w:rsid w:val="00C87D39"/>
    <w:rsid w:val="00C9006F"/>
    <w:rsid w:val="00C900E7"/>
    <w:rsid w:val="00C90169"/>
    <w:rsid w:val="00C90794"/>
    <w:rsid w:val="00C90992"/>
    <w:rsid w:val="00C90BD9"/>
    <w:rsid w:val="00C90F48"/>
    <w:rsid w:val="00C9129C"/>
    <w:rsid w:val="00C917A4"/>
    <w:rsid w:val="00C91C57"/>
    <w:rsid w:val="00C91F36"/>
    <w:rsid w:val="00C920D8"/>
    <w:rsid w:val="00C921D3"/>
    <w:rsid w:val="00C928AD"/>
    <w:rsid w:val="00C92AD3"/>
    <w:rsid w:val="00C92FA3"/>
    <w:rsid w:val="00C9325D"/>
    <w:rsid w:val="00C9326A"/>
    <w:rsid w:val="00C9366C"/>
    <w:rsid w:val="00C93C3A"/>
    <w:rsid w:val="00C93D94"/>
    <w:rsid w:val="00C93DBE"/>
    <w:rsid w:val="00C94022"/>
    <w:rsid w:val="00C94134"/>
    <w:rsid w:val="00C9414B"/>
    <w:rsid w:val="00C941F6"/>
    <w:rsid w:val="00C941FA"/>
    <w:rsid w:val="00C94763"/>
    <w:rsid w:val="00C947A8"/>
    <w:rsid w:val="00C94803"/>
    <w:rsid w:val="00C94B58"/>
    <w:rsid w:val="00C94E71"/>
    <w:rsid w:val="00C9502D"/>
    <w:rsid w:val="00C9519B"/>
    <w:rsid w:val="00C953D0"/>
    <w:rsid w:val="00C957A0"/>
    <w:rsid w:val="00C9587F"/>
    <w:rsid w:val="00C958C8"/>
    <w:rsid w:val="00C95C21"/>
    <w:rsid w:val="00C95DAE"/>
    <w:rsid w:val="00C96680"/>
    <w:rsid w:val="00C974C3"/>
    <w:rsid w:val="00C976E7"/>
    <w:rsid w:val="00C977B1"/>
    <w:rsid w:val="00C97965"/>
    <w:rsid w:val="00C97F87"/>
    <w:rsid w:val="00CA0398"/>
    <w:rsid w:val="00CA0728"/>
    <w:rsid w:val="00CA0899"/>
    <w:rsid w:val="00CA0ACC"/>
    <w:rsid w:val="00CA0C86"/>
    <w:rsid w:val="00CA1990"/>
    <w:rsid w:val="00CA1ABC"/>
    <w:rsid w:val="00CA1EB4"/>
    <w:rsid w:val="00CA226F"/>
    <w:rsid w:val="00CA25DC"/>
    <w:rsid w:val="00CA26B5"/>
    <w:rsid w:val="00CA28A1"/>
    <w:rsid w:val="00CA2AA7"/>
    <w:rsid w:val="00CA2CD2"/>
    <w:rsid w:val="00CA36A9"/>
    <w:rsid w:val="00CA3C3B"/>
    <w:rsid w:val="00CA3F8F"/>
    <w:rsid w:val="00CA411E"/>
    <w:rsid w:val="00CA420C"/>
    <w:rsid w:val="00CA4324"/>
    <w:rsid w:val="00CA4E55"/>
    <w:rsid w:val="00CA5325"/>
    <w:rsid w:val="00CA5EAB"/>
    <w:rsid w:val="00CA5F0E"/>
    <w:rsid w:val="00CA629D"/>
    <w:rsid w:val="00CA67BB"/>
    <w:rsid w:val="00CA6BEA"/>
    <w:rsid w:val="00CA6C1A"/>
    <w:rsid w:val="00CA6D12"/>
    <w:rsid w:val="00CA6EFA"/>
    <w:rsid w:val="00CA7053"/>
    <w:rsid w:val="00CA71D5"/>
    <w:rsid w:val="00CA74C0"/>
    <w:rsid w:val="00CA77D6"/>
    <w:rsid w:val="00CA7819"/>
    <w:rsid w:val="00CA78C1"/>
    <w:rsid w:val="00CA7C71"/>
    <w:rsid w:val="00CA7EF3"/>
    <w:rsid w:val="00CB0301"/>
    <w:rsid w:val="00CB0B54"/>
    <w:rsid w:val="00CB0F3A"/>
    <w:rsid w:val="00CB0FE4"/>
    <w:rsid w:val="00CB1054"/>
    <w:rsid w:val="00CB10A0"/>
    <w:rsid w:val="00CB1837"/>
    <w:rsid w:val="00CB1B67"/>
    <w:rsid w:val="00CB1BDB"/>
    <w:rsid w:val="00CB21B5"/>
    <w:rsid w:val="00CB280C"/>
    <w:rsid w:val="00CB2E39"/>
    <w:rsid w:val="00CB2E9F"/>
    <w:rsid w:val="00CB2F0E"/>
    <w:rsid w:val="00CB3709"/>
    <w:rsid w:val="00CB3772"/>
    <w:rsid w:val="00CB378E"/>
    <w:rsid w:val="00CB37F0"/>
    <w:rsid w:val="00CB3991"/>
    <w:rsid w:val="00CB3A5B"/>
    <w:rsid w:val="00CB3B2F"/>
    <w:rsid w:val="00CB42C3"/>
    <w:rsid w:val="00CB462D"/>
    <w:rsid w:val="00CB540A"/>
    <w:rsid w:val="00CB55A3"/>
    <w:rsid w:val="00CB55C7"/>
    <w:rsid w:val="00CB596C"/>
    <w:rsid w:val="00CB5AC5"/>
    <w:rsid w:val="00CB5BAF"/>
    <w:rsid w:val="00CB5CC3"/>
    <w:rsid w:val="00CB5E95"/>
    <w:rsid w:val="00CB607F"/>
    <w:rsid w:val="00CB61C5"/>
    <w:rsid w:val="00CB639E"/>
    <w:rsid w:val="00CB6617"/>
    <w:rsid w:val="00CB6724"/>
    <w:rsid w:val="00CB6D06"/>
    <w:rsid w:val="00CB6D79"/>
    <w:rsid w:val="00CB6DFE"/>
    <w:rsid w:val="00CB6E9C"/>
    <w:rsid w:val="00CB6F00"/>
    <w:rsid w:val="00CB6FA0"/>
    <w:rsid w:val="00CB7051"/>
    <w:rsid w:val="00CB74AA"/>
    <w:rsid w:val="00CB74BE"/>
    <w:rsid w:val="00CB77DD"/>
    <w:rsid w:val="00CB7888"/>
    <w:rsid w:val="00CB7AE1"/>
    <w:rsid w:val="00CC0409"/>
    <w:rsid w:val="00CC042A"/>
    <w:rsid w:val="00CC0548"/>
    <w:rsid w:val="00CC0643"/>
    <w:rsid w:val="00CC07CD"/>
    <w:rsid w:val="00CC0F19"/>
    <w:rsid w:val="00CC119A"/>
    <w:rsid w:val="00CC123F"/>
    <w:rsid w:val="00CC13EA"/>
    <w:rsid w:val="00CC14AB"/>
    <w:rsid w:val="00CC14FE"/>
    <w:rsid w:val="00CC1569"/>
    <w:rsid w:val="00CC187A"/>
    <w:rsid w:val="00CC26B0"/>
    <w:rsid w:val="00CC2995"/>
    <w:rsid w:val="00CC2BE9"/>
    <w:rsid w:val="00CC3318"/>
    <w:rsid w:val="00CC36E3"/>
    <w:rsid w:val="00CC3880"/>
    <w:rsid w:val="00CC38E7"/>
    <w:rsid w:val="00CC3A3F"/>
    <w:rsid w:val="00CC3AA1"/>
    <w:rsid w:val="00CC3EE7"/>
    <w:rsid w:val="00CC448A"/>
    <w:rsid w:val="00CC4652"/>
    <w:rsid w:val="00CC4848"/>
    <w:rsid w:val="00CC4937"/>
    <w:rsid w:val="00CC49B8"/>
    <w:rsid w:val="00CC525D"/>
    <w:rsid w:val="00CC5836"/>
    <w:rsid w:val="00CC5868"/>
    <w:rsid w:val="00CC5E05"/>
    <w:rsid w:val="00CC6220"/>
    <w:rsid w:val="00CC62CE"/>
    <w:rsid w:val="00CC64D3"/>
    <w:rsid w:val="00CC6583"/>
    <w:rsid w:val="00CC6D18"/>
    <w:rsid w:val="00CC6D3B"/>
    <w:rsid w:val="00CC7583"/>
    <w:rsid w:val="00CC793D"/>
    <w:rsid w:val="00CC7A35"/>
    <w:rsid w:val="00CC7F93"/>
    <w:rsid w:val="00CC7FCC"/>
    <w:rsid w:val="00CC7FD7"/>
    <w:rsid w:val="00CD0017"/>
    <w:rsid w:val="00CD014A"/>
    <w:rsid w:val="00CD022C"/>
    <w:rsid w:val="00CD04C2"/>
    <w:rsid w:val="00CD0887"/>
    <w:rsid w:val="00CD0A2C"/>
    <w:rsid w:val="00CD0D19"/>
    <w:rsid w:val="00CD0DCA"/>
    <w:rsid w:val="00CD10CF"/>
    <w:rsid w:val="00CD11AF"/>
    <w:rsid w:val="00CD173E"/>
    <w:rsid w:val="00CD1D77"/>
    <w:rsid w:val="00CD1EEB"/>
    <w:rsid w:val="00CD20C8"/>
    <w:rsid w:val="00CD2B9E"/>
    <w:rsid w:val="00CD3205"/>
    <w:rsid w:val="00CD325A"/>
    <w:rsid w:val="00CD33D7"/>
    <w:rsid w:val="00CD38FF"/>
    <w:rsid w:val="00CD39C1"/>
    <w:rsid w:val="00CD3F10"/>
    <w:rsid w:val="00CD3F68"/>
    <w:rsid w:val="00CD4125"/>
    <w:rsid w:val="00CD44AE"/>
    <w:rsid w:val="00CD4E0A"/>
    <w:rsid w:val="00CD4EB2"/>
    <w:rsid w:val="00CD4EB4"/>
    <w:rsid w:val="00CD539D"/>
    <w:rsid w:val="00CD54C0"/>
    <w:rsid w:val="00CD57B4"/>
    <w:rsid w:val="00CD58F4"/>
    <w:rsid w:val="00CD5A64"/>
    <w:rsid w:val="00CD5D71"/>
    <w:rsid w:val="00CD5E46"/>
    <w:rsid w:val="00CD61C1"/>
    <w:rsid w:val="00CD6582"/>
    <w:rsid w:val="00CD6818"/>
    <w:rsid w:val="00CD6A5E"/>
    <w:rsid w:val="00CD7C44"/>
    <w:rsid w:val="00CE00FB"/>
    <w:rsid w:val="00CE01F0"/>
    <w:rsid w:val="00CE0431"/>
    <w:rsid w:val="00CE0B0B"/>
    <w:rsid w:val="00CE0E7D"/>
    <w:rsid w:val="00CE1126"/>
    <w:rsid w:val="00CE118D"/>
    <w:rsid w:val="00CE1489"/>
    <w:rsid w:val="00CE161B"/>
    <w:rsid w:val="00CE1AFD"/>
    <w:rsid w:val="00CE21EF"/>
    <w:rsid w:val="00CE2436"/>
    <w:rsid w:val="00CE25BD"/>
    <w:rsid w:val="00CE350F"/>
    <w:rsid w:val="00CE3516"/>
    <w:rsid w:val="00CE37DB"/>
    <w:rsid w:val="00CE3842"/>
    <w:rsid w:val="00CE3CC9"/>
    <w:rsid w:val="00CE3E9E"/>
    <w:rsid w:val="00CE4009"/>
    <w:rsid w:val="00CE4B68"/>
    <w:rsid w:val="00CE4C9F"/>
    <w:rsid w:val="00CE54E1"/>
    <w:rsid w:val="00CE55BB"/>
    <w:rsid w:val="00CE5642"/>
    <w:rsid w:val="00CE57CD"/>
    <w:rsid w:val="00CE5C34"/>
    <w:rsid w:val="00CE5D3D"/>
    <w:rsid w:val="00CE5EBE"/>
    <w:rsid w:val="00CE6819"/>
    <w:rsid w:val="00CE686B"/>
    <w:rsid w:val="00CE6DBB"/>
    <w:rsid w:val="00CE6F4F"/>
    <w:rsid w:val="00CE7033"/>
    <w:rsid w:val="00CE7179"/>
    <w:rsid w:val="00CE72FC"/>
    <w:rsid w:val="00CE73DF"/>
    <w:rsid w:val="00CE7636"/>
    <w:rsid w:val="00CE7831"/>
    <w:rsid w:val="00CE7887"/>
    <w:rsid w:val="00CE7C01"/>
    <w:rsid w:val="00CF0D3F"/>
    <w:rsid w:val="00CF0D74"/>
    <w:rsid w:val="00CF17DE"/>
    <w:rsid w:val="00CF1A7F"/>
    <w:rsid w:val="00CF1E3F"/>
    <w:rsid w:val="00CF227A"/>
    <w:rsid w:val="00CF25B5"/>
    <w:rsid w:val="00CF26C4"/>
    <w:rsid w:val="00CF2A8F"/>
    <w:rsid w:val="00CF2ACB"/>
    <w:rsid w:val="00CF2ACC"/>
    <w:rsid w:val="00CF34A3"/>
    <w:rsid w:val="00CF355D"/>
    <w:rsid w:val="00CF37EA"/>
    <w:rsid w:val="00CF3BE6"/>
    <w:rsid w:val="00CF3C10"/>
    <w:rsid w:val="00CF3E0C"/>
    <w:rsid w:val="00CF446E"/>
    <w:rsid w:val="00CF4678"/>
    <w:rsid w:val="00CF46D5"/>
    <w:rsid w:val="00CF486E"/>
    <w:rsid w:val="00CF496E"/>
    <w:rsid w:val="00CF4BF7"/>
    <w:rsid w:val="00CF4DEA"/>
    <w:rsid w:val="00CF5079"/>
    <w:rsid w:val="00CF54A6"/>
    <w:rsid w:val="00CF5634"/>
    <w:rsid w:val="00CF5968"/>
    <w:rsid w:val="00CF5E2D"/>
    <w:rsid w:val="00CF60A2"/>
    <w:rsid w:val="00CF62D8"/>
    <w:rsid w:val="00CF6421"/>
    <w:rsid w:val="00CF6436"/>
    <w:rsid w:val="00CF6763"/>
    <w:rsid w:val="00CF68AE"/>
    <w:rsid w:val="00CF6E49"/>
    <w:rsid w:val="00CF6E8F"/>
    <w:rsid w:val="00CF700C"/>
    <w:rsid w:val="00CF70EB"/>
    <w:rsid w:val="00CF75BB"/>
    <w:rsid w:val="00CF77CD"/>
    <w:rsid w:val="00CF7887"/>
    <w:rsid w:val="00CF7951"/>
    <w:rsid w:val="00CF7B66"/>
    <w:rsid w:val="00CF7BE0"/>
    <w:rsid w:val="00CF7D8E"/>
    <w:rsid w:val="00CF7E6E"/>
    <w:rsid w:val="00D000A7"/>
    <w:rsid w:val="00D006D0"/>
    <w:rsid w:val="00D012B5"/>
    <w:rsid w:val="00D0142C"/>
    <w:rsid w:val="00D014B0"/>
    <w:rsid w:val="00D015E0"/>
    <w:rsid w:val="00D01B37"/>
    <w:rsid w:val="00D024C3"/>
    <w:rsid w:val="00D026EC"/>
    <w:rsid w:val="00D02AE8"/>
    <w:rsid w:val="00D02CB0"/>
    <w:rsid w:val="00D03020"/>
    <w:rsid w:val="00D03072"/>
    <w:rsid w:val="00D03B6D"/>
    <w:rsid w:val="00D03C48"/>
    <w:rsid w:val="00D03C70"/>
    <w:rsid w:val="00D03E90"/>
    <w:rsid w:val="00D03EA6"/>
    <w:rsid w:val="00D03EDC"/>
    <w:rsid w:val="00D0403C"/>
    <w:rsid w:val="00D04195"/>
    <w:rsid w:val="00D0484A"/>
    <w:rsid w:val="00D04860"/>
    <w:rsid w:val="00D04CDE"/>
    <w:rsid w:val="00D04E8C"/>
    <w:rsid w:val="00D05397"/>
    <w:rsid w:val="00D05D5D"/>
    <w:rsid w:val="00D06766"/>
    <w:rsid w:val="00D06EAD"/>
    <w:rsid w:val="00D074A6"/>
    <w:rsid w:val="00D0767B"/>
    <w:rsid w:val="00D1033A"/>
    <w:rsid w:val="00D10367"/>
    <w:rsid w:val="00D11009"/>
    <w:rsid w:val="00D11016"/>
    <w:rsid w:val="00D1143D"/>
    <w:rsid w:val="00D114A8"/>
    <w:rsid w:val="00D11535"/>
    <w:rsid w:val="00D11619"/>
    <w:rsid w:val="00D118CC"/>
    <w:rsid w:val="00D11C0A"/>
    <w:rsid w:val="00D11E61"/>
    <w:rsid w:val="00D1209A"/>
    <w:rsid w:val="00D120B2"/>
    <w:rsid w:val="00D12223"/>
    <w:rsid w:val="00D1230D"/>
    <w:rsid w:val="00D126A5"/>
    <w:rsid w:val="00D12A7D"/>
    <w:rsid w:val="00D12E24"/>
    <w:rsid w:val="00D1328B"/>
    <w:rsid w:val="00D13388"/>
    <w:rsid w:val="00D135FD"/>
    <w:rsid w:val="00D137B9"/>
    <w:rsid w:val="00D13ADF"/>
    <w:rsid w:val="00D1412B"/>
    <w:rsid w:val="00D145C0"/>
    <w:rsid w:val="00D14935"/>
    <w:rsid w:val="00D14B75"/>
    <w:rsid w:val="00D14C8F"/>
    <w:rsid w:val="00D14DCC"/>
    <w:rsid w:val="00D1505E"/>
    <w:rsid w:val="00D150AB"/>
    <w:rsid w:val="00D15395"/>
    <w:rsid w:val="00D15C4E"/>
    <w:rsid w:val="00D15E13"/>
    <w:rsid w:val="00D16274"/>
    <w:rsid w:val="00D16310"/>
    <w:rsid w:val="00D163FD"/>
    <w:rsid w:val="00D16402"/>
    <w:rsid w:val="00D16782"/>
    <w:rsid w:val="00D17996"/>
    <w:rsid w:val="00D17A62"/>
    <w:rsid w:val="00D17C8C"/>
    <w:rsid w:val="00D17D9B"/>
    <w:rsid w:val="00D2090F"/>
    <w:rsid w:val="00D20AFB"/>
    <w:rsid w:val="00D20D3E"/>
    <w:rsid w:val="00D20F6C"/>
    <w:rsid w:val="00D20F81"/>
    <w:rsid w:val="00D21101"/>
    <w:rsid w:val="00D21256"/>
    <w:rsid w:val="00D21341"/>
    <w:rsid w:val="00D21373"/>
    <w:rsid w:val="00D213F3"/>
    <w:rsid w:val="00D21459"/>
    <w:rsid w:val="00D214E9"/>
    <w:rsid w:val="00D21621"/>
    <w:rsid w:val="00D21D3A"/>
    <w:rsid w:val="00D22009"/>
    <w:rsid w:val="00D220FE"/>
    <w:rsid w:val="00D22169"/>
    <w:rsid w:val="00D221F2"/>
    <w:rsid w:val="00D224AB"/>
    <w:rsid w:val="00D2297C"/>
    <w:rsid w:val="00D2298F"/>
    <w:rsid w:val="00D22ADA"/>
    <w:rsid w:val="00D22B94"/>
    <w:rsid w:val="00D22CD1"/>
    <w:rsid w:val="00D2384C"/>
    <w:rsid w:val="00D23E91"/>
    <w:rsid w:val="00D23F16"/>
    <w:rsid w:val="00D2422B"/>
    <w:rsid w:val="00D243A9"/>
    <w:rsid w:val="00D24504"/>
    <w:rsid w:val="00D24C08"/>
    <w:rsid w:val="00D25955"/>
    <w:rsid w:val="00D25B1B"/>
    <w:rsid w:val="00D25E75"/>
    <w:rsid w:val="00D25E9E"/>
    <w:rsid w:val="00D25FB5"/>
    <w:rsid w:val="00D260AD"/>
    <w:rsid w:val="00D26288"/>
    <w:rsid w:val="00D26349"/>
    <w:rsid w:val="00D2666D"/>
    <w:rsid w:val="00D26821"/>
    <w:rsid w:val="00D2684E"/>
    <w:rsid w:val="00D2708D"/>
    <w:rsid w:val="00D27700"/>
    <w:rsid w:val="00D27936"/>
    <w:rsid w:val="00D30111"/>
    <w:rsid w:val="00D302C2"/>
    <w:rsid w:val="00D304AC"/>
    <w:rsid w:val="00D3071C"/>
    <w:rsid w:val="00D30872"/>
    <w:rsid w:val="00D30EFF"/>
    <w:rsid w:val="00D30F8B"/>
    <w:rsid w:val="00D31311"/>
    <w:rsid w:val="00D31D14"/>
    <w:rsid w:val="00D32148"/>
    <w:rsid w:val="00D329FA"/>
    <w:rsid w:val="00D32CE3"/>
    <w:rsid w:val="00D32F22"/>
    <w:rsid w:val="00D332BB"/>
    <w:rsid w:val="00D33334"/>
    <w:rsid w:val="00D33804"/>
    <w:rsid w:val="00D340E3"/>
    <w:rsid w:val="00D345BE"/>
    <w:rsid w:val="00D345D2"/>
    <w:rsid w:val="00D34B16"/>
    <w:rsid w:val="00D35574"/>
    <w:rsid w:val="00D35856"/>
    <w:rsid w:val="00D359C8"/>
    <w:rsid w:val="00D35C6B"/>
    <w:rsid w:val="00D362B1"/>
    <w:rsid w:val="00D3660D"/>
    <w:rsid w:val="00D36662"/>
    <w:rsid w:val="00D36679"/>
    <w:rsid w:val="00D36918"/>
    <w:rsid w:val="00D36ABA"/>
    <w:rsid w:val="00D372F7"/>
    <w:rsid w:val="00D375C6"/>
    <w:rsid w:val="00D37911"/>
    <w:rsid w:val="00D37B39"/>
    <w:rsid w:val="00D37BCD"/>
    <w:rsid w:val="00D37BDD"/>
    <w:rsid w:val="00D40338"/>
    <w:rsid w:val="00D404AD"/>
    <w:rsid w:val="00D40AE0"/>
    <w:rsid w:val="00D40B48"/>
    <w:rsid w:val="00D40E63"/>
    <w:rsid w:val="00D40E68"/>
    <w:rsid w:val="00D40FA4"/>
    <w:rsid w:val="00D411D9"/>
    <w:rsid w:val="00D41508"/>
    <w:rsid w:val="00D41759"/>
    <w:rsid w:val="00D41AE7"/>
    <w:rsid w:val="00D4221C"/>
    <w:rsid w:val="00D422FF"/>
    <w:rsid w:val="00D423EA"/>
    <w:rsid w:val="00D42476"/>
    <w:rsid w:val="00D424C0"/>
    <w:rsid w:val="00D432D2"/>
    <w:rsid w:val="00D4346A"/>
    <w:rsid w:val="00D43642"/>
    <w:rsid w:val="00D4373C"/>
    <w:rsid w:val="00D4398A"/>
    <w:rsid w:val="00D43BF9"/>
    <w:rsid w:val="00D44089"/>
    <w:rsid w:val="00D4461C"/>
    <w:rsid w:val="00D44636"/>
    <w:rsid w:val="00D44B75"/>
    <w:rsid w:val="00D45078"/>
    <w:rsid w:val="00D452C4"/>
    <w:rsid w:val="00D4563D"/>
    <w:rsid w:val="00D4573C"/>
    <w:rsid w:val="00D4588B"/>
    <w:rsid w:val="00D45AF9"/>
    <w:rsid w:val="00D45D4F"/>
    <w:rsid w:val="00D45F99"/>
    <w:rsid w:val="00D45FCE"/>
    <w:rsid w:val="00D4629B"/>
    <w:rsid w:val="00D46604"/>
    <w:rsid w:val="00D46898"/>
    <w:rsid w:val="00D47678"/>
    <w:rsid w:val="00D4794A"/>
    <w:rsid w:val="00D47FF5"/>
    <w:rsid w:val="00D50024"/>
    <w:rsid w:val="00D500B0"/>
    <w:rsid w:val="00D50108"/>
    <w:rsid w:val="00D50B25"/>
    <w:rsid w:val="00D50C7C"/>
    <w:rsid w:val="00D50E3D"/>
    <w:rsid w:val="00D50FC7"/>
    <w:rsid w:val="00D513CF"/>
    <w:rsid w:val="00D5172A"/>
    <w:rsid w:val="00D519F2"/>
    <w:rsid w:val="00D51C00"/>
    <w:rsid w:val="00D51CDF"/>
    <w:rsid w:val="00D51ED2"/>
    <w:rsid w:val="00D5207A"/>
    <w:rsid w:val="00D52080"/>
    <w:rsid w:val="00D52371"/>
    <w:rsid w:val="00D52567"/>
    <w:rsid w:val="00D52B10"/>
    <w:rsid w:val="00D52CD6"/>
    <w:rsid w:val="00D52F2C"/>
    <w:rsid w:val="00D5331C"/>
    <w:rsid w:val="00D5376E"/>
    <w:rsid w:val="00D538E2"/>
    <w:rsid w:val="00D53DAD"/>
    <w:rsid w:val="00D54046"/>
    <w:rsid w:val="00D5410F"/>
    <w:rsid w:val="00D5425D"/>
    <w:rsid w:val="00D54820"/>
    <w:rsid w:val="00D54A04"/>
    <w:rsid w:val="00D54A21"/>
    <w:rsid w:val="00D54D82"/>
    <w:rsid w:val="00D557C2"/>
    <w:rsid w:val="00D55A4D"/>
    <w:rsid w:val="00D55AF1"/>
    <w:rsid w:val="00D55B27"/>
    <w:rsid w:val="00D55ED5"/>
    <w:rsid w:val="00D56389"/>
    <w:rsid w:val="00D567C3"/>
    <w:rsid w:val="00D567E1"/>
    <w:rsid w:val="00D5680C"/>
    <w:rsid w:val="00D56D3E"/>
    <w:rsid w:val="00D57510"/>
    <w:rsid w:val="00D5789D"/>
    <w:rsid w:val="00D57969"/>
    <w:rsid w:val="00D57A9A"/>
    <w:rsid w:val="00D57F2C"/>
    <w:rsid w:val="00D57F3B"/>
    <w:rsid w:val="00D57F53"/>
    <w:rsid w:val="00D57F7A"/>
    <w:rsid w:val="00D60A76"/>
    <w:rsid w:val="00D60AA8"/>
    <w:rsid w:val="00D60DB1"/>
    <w:rsid w:val="00D61095"/>
    <w:rsid w:val="00D615BD"/>
    <w:rsid w:val="00D61909"/>
    <w:rsid w:val="00D61BEC"/>
    <w:rsid w:val="00D61C83"/>
    <w:rsid w:val="00D61D35"/>
    <w:rsid w:val="00D61F53"/>
    <w:rsid w:val="00D61F5A"/>
    <w:rsid w:val="00D623BF"/>
    <w:rsid w:val="00D62430"/>
    <w:rsid w:val="00D62C14"/>
    <w:rsid w:val="00D62E80"/>
    <w:rsid w:val="00D6312C"/>
    <w:rsid w:val="00D63601"/>
    <w:rsid w:val="00D6368F"/>
    <w:rsid w:val="00D63D7B"/>
    <w:rsid w:val="00D64128"/>
    <w:rsid w:val="00D64612"/>
    <w:rsid w:val="00D649AD"/>
    <w:rsid w:val="00D64D01"/>
    <w:rsid w:val="00D65446"/>
    <w:rsid w:val="00D65692"/>
    <w:rsid w:val="00D656A7"/>
    <w:rsid w:val="00D65FA4"/>
    <w:rsid w:val="00D66165"/>
    <w:rsid w:val="00D663B2"/>
    <w:rsid w:val="00D66999"/>
    <w:rsid w:val="00D66AA4"/>
    <w:rsid w:val="00D66BDA"/>
    <w:rsid w:val="00D66C9C"/>
    <w:rsid w:val="00D66CAF"/>
    <w:rsid w:val="00D66CBD"/>
    <w:rsid w:val="00D66F61"/>
    <w:rsid w:val="00D672B8"/>
    <w:rsid w:val="00D67362"/>
    <w:rsid w:val="00D67DD6"/>
    <w:rsid w:val="00D70447"/>
    <w:rsid w:val="00D707E0"/>
    <w:rsid w:val="00D70DAC"/>
    <w:rsid w:val="00D71648"/>
    <w:rsid w:val="00D71695"/>
    <w:rsid w:val="00D71843"/>
    <w:rsid w:val="00D718F4"/>
    <w:rsid w:val="00D71953"/>
    <w:rsid w:val="00D71CA9"/>
    <w:rsid w:val="00D7220E"/>
    <w:rsid w:val="00D72633"/>
    <w:rsid w:val="00D72CF9"/>
    <w:rsid w:val="00D73299"/>
    <w:rsid w:val="00D738C9"/>
    <w:rsid w:val="00D73E06"/>
    <w:rsid w:val="00D73F16"/>
    <w:rsid w:val="00D74087"/>
    <w:rsid w:val="00D740FC"/>
    <w:rsid w:val="00D7459B"/>
    <w:rsid w:val="00D74609"/>
    <w:rsid w:val="00D7484B"/>
    <w:rsid w:val="00D749C9"/>
    <w:rsid w:val="00D74B55"/>
    <w:rsid w:val="00D75036"/>
    <w:rsid w:val="00D75C44"/>
    <w:rsid w:val="00D75E0C"/>
    <w:rsid w:val="00D75E46"/>
    <w:rsid w:val="00D75FD0"/>
    <w:rsid w:val="00D76702"/>
    <w:rsid w:val="00D768DA"/>
    <w:rsid w:val="00D76F06"/>
    <w:rsid w:val="00D77270"/>
    <w:rsid w:val="00D77581"/>
    <w:rsid w:val="00D775A4"/>
    <w:rsid w:val="00D77852"/>
    <w:rsid w:val="00D8042D"/>
    <w:rsid w:val="00D80668"/>
    <w:rsid w:val="00D80703"/>
    <w:rsid w:val="00D8087E"/>
    <w:rsid w:val="00D80A06"/>
    <w:rsid w:val="00D80E91"/>
    <w:rsid w:val="00D811B8"/>
    <w:rsid w:val="00D81275"/>
    <w:rsid w:val="00D813EA"/>
    <w:rsid w:val="00D8171C"/>
    <w:rsid w:val="00D818B0"/>
    <w:rsid w:val="00D81B88"/>
    <w:rsid w:val="00D81BA0"/>
    <w:rsid w:val="00D81C1E"/>
    <w:rsid w:val="00D82103"/>
    <w:rsid w:val="00D822FD"/>
    <w:rsid w:val="00D82307"/>
    <w:rsid w:val="00D824FA"/>
    <w:rsid w:val="00D8282E"/>
    <w:rsid w:val="00D82A13"/>
    <w:rsid w:val="00D82C2C"/>
    <w:rsid w:val="00D831D7"/>
    <w:rsid w:val="00D8372C"/>
    <w:rsid w:val="00D83A2B"/>
    <w:rsid w:val="00D83B97"/>
    <w:rsid w:val="00D83EF9"/>
    <w:rsid w:val="00D840EE"/>
    <w:rsid w:val="00D84107"/>
    <w:rsid w:val="00D843B8"/>
    <w:rsid w:val="00D8445A"/>
    <w:rsid w:val="00D8452D"/>
    <w:rsid w:val="00D84676"/>
    <w:rsid w:val="00D85C2E"/>
    <w:rsid w:val="00D85F29"/>
    <w:rsid w:val="00D860BB"/>
    <w:rsid w:val="00D860D6"/>
    <w:rsid w:val="00D8633F"/>
    <w:rsid w:val="00D863D9"/>
    <w:rsid w:val="00D86A1D"/>
    <w:rsid w:val="00D86C15"/>
    <w:rsid w:val="00D86E4A"/>
    <w:rsid w:val="00D872FB"/>
    <w:rsid w:val="00D87303"/>
    <w:rsid w:val="00D876AD"/>
    <w:rsid w:val="00D87808"/>
    <w:rsid w:val="00D900D4"/>
    <w:rsid w:val="00D90201"/>
    <w:rsid w:val="00D903F1"/>
    <w:rsid w:val="00D909C4"/>
    <w:rsid w:val="00D90D4A"/>
    <w:rsid w:val="00D90DB6"/>
    <w:rsid w:val="00D913BA"/>
    <w:rsid w:val="00D91830"/>
    <w:rsid w:val="00D918FC"/>
    <w:rsid w:val="00D91CF7"/>
    <w:rsid w:val="00D91F11"/>
    <w:rsid w:val="00D91F75"/>
    <w:rsid w:val="00D92C1A"/>
    <w:rsid w:val="00D92D81"/>
    <w:rsid w:val="00D92E6C"/>
    <w:rsid w:val="00D93159"/>
    <w:rsid w:val="00D931CD"/>
    <w:rsid w:val="00D933ED"/>
    <w:rsid w:val="00D9368D"/>
    <w:rsid w:val="00D93780"/>
    <w:rsid w:val="00D9393D"/>
    <w:rsid w:val="00D93B1D"/>
    <w:rsid w:val="00D93F39"/>
    <w:rsid w:val="00D93F6C"/>
    <w:rsid w:val="00D9416C"/>
    <w:rsid w:val="00D94536"/>
    <w:rsid w:val="00D946E2"/>
    <w:rsid w:val="00D9491F"/>
    <w:rsid w:val="00D94FBA"/>
    <w:rsid w:val="00D951B3"/>
    <w:rsid w:val="00D951C4"/>
    <w:rsid w:val="00D952DF"/>
    <w:rsid w:val="00D95AD9"/>
    <w:rsid w:val="00D95B05"/>
    <w:rsid w:val="00D95D6B"/>
    <w:rsid w:val="00D95DEB"/>
    <w:rsid w:val="00D96248"/>
    <w:rsid w:val="00D965E7"/>
    <w:rsid w:val="00D96652"/>
    <w:rsid w:val="00D9675A"/>
    <w:rsid w:val="00D968CC"/>
    <w:rsid w:val="00D96D59"/>
    <w:rsid w:val="00D96F8C"/>
    <w:rsid w:val="00D97148"/>
    <w:rsid w:val="00D97540"/>
    <w:rsid w:val="00D97922"/>
    <w:rsid w:val="00D97AD2"/>
    <w:rsid w:val="00D97E9D"/>
    <w:rsid w:val="00DA0005"/>
    <w:rsid w:val="00DA02E7"/>
    <w:rsid w:val="00DA04D7"/>
    <w:rsid w:val="00DA08F4"/>
    <w:rsid w:val="00DA0A3F"/>
    <w:rsid w:val="00DA1474"/>
    <w:rsid w:val="00DA15AD"/>
    <w:rsid w:val="00DA16D1"/>
    <w:rsid w:val="00DA180D"/>
    <w:rsid w:val="00DA1D3C"/>
    <w:rsid w:val="00DA1F79"/>
    <w:rsid w:val="00DA2858"/>
    <w:rsid w:val="00DA286A"/>
    <w:rsid w:val="00DA2956"/>
    <w:rsid w:val="00DA2C82"/>
    <w:rsid w:val="00DA2F47"/>
    <w:rsid w:val="00DA332E"/>
    <w:rsid w:val="00DA36E7"/>
    <w:rsid w:val="00DA3769"/>
    <w:rsid w:val="00DA3887"/>
    <w:rsid w:val="00DA393B"/>
    <w:rsid w:val="00DA3B97"/>
    <w:rsid w:val="00DA3E2D"/>
    <w:rsid w:val="00DA41BC"/>
    <w:rsid w:val="00DA4249"/>
    <w:rsid w:val="00DA4370"/>
    <w:rsid w:val="00DA4621"/>
    <w:rsid w:val="00DA4BE8"/>
    <w:rsid w:val="00DA4C35"/>
    <w:rsid w:val="00DA4CB3"/>
    <w:rsid w:val="00DA508E"/>
    <w:rsid w:val="00DA5472"/>
    <w:rsid w:val="00DA57E5"/>
    <w:rsid w:val="00DA58AA"/>
    <w:rsid w:val="00DA599C"/>
    <w:rsid w:val="00DA5B2D"/>
    <w:rsid w:val="00DA5C7E"/>
    <w:rsid w:val="00DA5E54"/>
    <w:rsid w:val="00DA5FA0"/>
    <w:rsid w:val="00DA62D4"/>
    <w:rsid w:val="00DA6652"/>
    <w:rsid w:val="00DA69A9"/>
    <w:rsid w:val="00DA6B3E"/>
    <w:rsid w:val="00DA6C70"/>
    <w:rsid w:val="00DA6D98"/>
    <w:rsid w:val="00DA72B4"/>
    <w:rsid w:val="00DA73EF"/>
    <w:rsid w:val="00DA75C0"/>
    <w:rsid w:val="00DA77CA"/>
    <w:rsid w:val="00DA7BD0"/>
    <w:rsid w:val="00DA7D0D"/>
    <w:rsid w:val="00DA7D11"/>
    <w:rsid w:val="00DA7F73"/>
    <w:rsid w:val="00DB0083"/>
    <w:rsid w:val="00DB02D8"/>
    <w:rsid w:val="00DB047A"/>
    <w:rsid w:val="00DB047F"/>
    <w:rsid w:val="00DB0615"/>
    <w:rsid w:val="00DB067C"/>
    <w:rsid w:val="00DB087F"/>
    <w:rsid w:val="00DB08CE"/>
    <w:rsid w:val="00DB0D3F"/>
    <w:rsid w:val="00DB0DDD"/>
    <w:rsid w:val="00DB0E31"/>
    <w:rsid w:val="00DB131C"/>
    <w:rsid w:val="00DB1808"/>
    <w:rsid w:val="00DB1CE4"/>
    <w:rsid w:val="00DB1DCE"/>
    <w:rsid w:val="00DB1F30"/>
    <w:rsid w:val="00DB1F78"/>
    <w:rsid w:val="00DB2305"/>
    <w:rsid w:val="00DB24FC"/>
    <w:rsid w:val="00DB2555"/>
    <w:rsid w:val="00DB268F"/>
    <w:rsid w:val="00DB2CC6"/>
    <w:rsid w:val="00DB34A1"/>
    <w:rsid w:val="00DB3512"/>
    <w:rsid w:val="00DB3522"/>
    <w:rsid w:val="00DB36B9"/>
    <w:rsid w:val="00DB3905"/>
    <w:rsid w:val="00DB3C44"/>
    <w:rsid w:val="00DB4682"/>
    <w:rsid w:val="00DB4AB9"/>
    <w:rsid w:val="00DB4E76"/>
    <w:rsid w:val="00DB5003"/>
    <w:rsid w:val="00DB5399"/>
    <w:rsid w:val="00DB619F"/>
    <w:rsid w:val="00DB64C4"/>
    <w:rsid w:val="00DB677B"/>
    <w:rsid w:val="00DB6788"/>
    <w:rsid w:val="00DB69AC"/>
    <w:rsid w:val="00DB6E81"/>
    <w:rsid w:val="00DB6F2C"/>
    <w:rsid w:val="00DB73AE"/>
    <w:rsid w:val="00DB7516"/>
    <w:rsid w:val="00DB7591"/>
    <w:rsid w:val="00DC01A8"/>
    <w:rsid w:val="00DC03AC"/>
    <w:rsid w:val="00DC047F"/>
    <w:rsid w:val="00DC06A9"/>
    <w:rsid w:val="00DC0C36"/>
    <w:rsid w:val="00DC0C6F"/>
    <w:rsid w:val="00DC0E55"/>
    <w:rsid w:val="00DC1102"/>
    <w:rsid w:val="00DC1263"/>
    <w:rsid w:val="00DC1708"/>
    <w:rsid w:val="00DC18B9"/>
    <w:rsid w:val="00DC1921"/>
    <w:rsid w:val="00DC1BD7"/>
    <w:rsid w:val="00DC1E12"/>
    <w:rsid w:val="00DC1F72"/>
    <w:rsid w:val="00DC205A"/>
    <w:rsid w:val="00DC2420"/>
    <w:rsid w:val="00DC2547"/>
    <w:rsid w:val="00DC25B1"/>
    <w:rsid w:val="00DC279F"/>
    <w:rsid w:val="00DC3295"/>
    <w:rsid w:val="00DC3471"/>
    <w:rsid w:val="00DC34A4"/>
    <w:rsid w:val="00DC3526"/>
    <w:rsid w:val="00DC3655"/>
    <w:rsid w:val="00DC474F"/>
    <w:rsid w:val="00DC48C3"/>
    <w:rsid w:val="00DC4AD1"/>
    <w:rsid w:val="00DC4CB2"/>
    <w:rsid w:val="00DC4D3C"/>
    <w:rsid w:val="00DC4F2E"/>
    <w:rsid w:val="00DC507F"/>
    <w:rsid w:val="00DC54A8"/>
    <w:rsid w:val="00DC5CC5"/>
    <w:rsid w:val="00DC646C"/>
    <w:rsid w:val="00DC6571"/>
    <w:rsid w:val="00DC6895"/>
    <w:rsid w:val="00DC68AF"/>
    <w:rsid w:val="00DC6AE7"/>
    <w:rsid w:val="00DC74F3"/>
    <w:rsid w:val="00DC75C4"/>
    <w:rsid w:val="00DC75F4"/>
    <w:rsid w:val="00DC779A"/>
    <w:rsid w:val="00DC77C6"/>
    <w:rsid w:val="00DC7F9F"/>
    <w:rsid w:val="00DD0036"/>
    <w:rsid w:val="00DD0129"/>
    <w:rsid w:val="00DD01FF"/>
    <w:rsid w:val="00DD051B"/>
    <w:rsid w:val="00DD0595"/>
    <w:rsid w:val="00DD083F"/>
    <w:rsid w:val="00DD08B5"/>
    <w:rsid w:val="00DD0EEA"/>
    <w:rsid w:val="00DD101A"/>
    <w:rsid w:val="00DD120C"/>
    <w:rsid w:val="00DD18C9"/>
    <w:rsid w:val="00DD1CCC"/>
    <w:rsid w:val="00DD24B0"/>
    <w:rsid w:val="00DD2F96"/>
    <w:rsid w:val="00DD36F2"/>
    <w:rsid w:val="00DD3893"/>
    <w:rsid w:val="00DD3B25"/>
    <w:rsid w:val="00DD3F8C"/>
    <w:rsid w:val="00DD42CA"/>
    <w:rsid w:val="00DD4426"/>
    <w:rsid w:val="00DD49F9"/>
    <w:rsid w:val="00DD4B11"/>
    <w:rsid w:val="00DD4E3D"/>
    <w:rsid w:val="00DD502E"/>
    <w:rsid w:val="00DD505F"/>
    <w:rsid w:val="00DD53DA"/>
    <w:rsid w:val="00DD55B4"/>
    <w:rsid w:val="00DD5A64"/>
    <w:rsid w:val="00DD5C90"/>
    <w:rsid w:val="00DD6384"/>
    <w:rsid w:val="00DD64AE"/>
    <w:rsid w:val="00DD6910"/>
    <w:rsid w:val="00DD69D2"/>
    <w:rsid w:val="00DD6A26"/>
    <w:rsid w:val="00DD6ABC"/>
    <w:rsid w:val="00DD6AF0"/>
    <w:rsid w:val="00DD6AF1"/>
    <w:rsid w:val="00DD7132"/>
    <w:rsid w:val="00DD720C"/>
    <w:rsid w:val="00DD7272"/>
    <w:rsid w:val="00DD73F6"/>
    <w:rsid w:val="00DD7680"/>
    <w:rsid w:val="00DD7F61"/>
    <w:rsid w:val="00DE0399"/>
    <w:rsid w:val="00DE0576"/>
    <w:rsid w:val="00DE07AD"/>
    <w:rsid w:val="00DE07F3"/>
    <w:rsid w:val="00DE0856"/>
    <w:rsid w:val="00DE0C2E"/>
    <w:rsid w:val="00DE13FC"/>
    <w:rsid w:val="00DE1404"/>
    <w:rsid w:val="00DE145C"/>
    <w:rsid w:val="00DE1B33"/>
    <w:rsid w:val="00DE20BC"/>
    <w:rsid w:val="00DE2ABD"/>
    <w:rsid w:val="00DE2B02"/>
    <w:rsid w:val="00DE2EB2"/>
    <w:rsid w:val="00DE2F59"/>
    <w:rsid w:val="00DE3474"/>
    <w:rsid w:val="00DE34B0"/>
    <w:rsid w:val="00DE3785"/>
    <w:rsid w:val="00DE37B9"/>
    <w:rsid w:val="00DE3867"/>
    <w:rsid w:val="00DE3F0F"/>
    <w:rsid w:val="00DE3F51"/>
    <w:rsid w:val="00DE3FE9"/>
    <w:rsid w:val="00DE4133"/>
    <w:rsid w:val="00DE44E4"/>
    <w:rsid w:val="00DE45BE"/>
    <w:rsid w:val="00DE46B6"/>
    <w:rsid w:val="00DE4E83"/>
    <w:rsid w:val="00DE54DD"/>
    <w:rsid w:val="00DE5504"/>
    <w:rsid w:val="00DE5531"/>
    <w:rsid w:val="00DE58C3"/>
    <w:rsid w:val="00DE5B06"/>
    <w:rsid w:val="00DE5E1B"/>
    <w:rsid w:val="00DE5E91"/>
    <w:rsid w:val="00DE5F4F"/>
    <w:rsid w:val="00DE63CC"/>
    <w:rsid w:val="00DE64AB"/>
    <w:rsid w:val="00DE6925"/>
    <w:rsid w:val="00DE6A47"/>
    <w:rsid w:val="00DE6AEB"/>
    <w:rsid w:val="00DE6B1E"/>
    <w:rsid w:val="00DE6C0D"/>
    <w:rsid w:val="00DE7010"/>
    <w:rsid w:val="00DE7225"/>
    <w:rsid w:val="00DE7345"/>
    <w:rsid w:val="00DE738F"/>
    <w:rsid w:val="00DE7633"/>
    <w:rsid w:val="00DE767E"/>
    <w:rsid w:val="00DE7700"/>
    <w:rsid w:val="00DE7976"/>
    <w:rsid w:val="00DE7A29"/>
    <w:rsid w:val="00DE7D9C"/>
    <w:rsid w:val="00DF0C09"/>
    <w:rsid w:val="00DF0CEC"/>
    <w:rsid w:val="00DF102D"/>
    <w:rsid w:val="00DF13F5"/>
    <w:rsid w:val="00DF19DC"/>
    <w:rsid w:val="00DF19F9"/>
    <w:rsid w:val="00DF2178"/>
    <w:rsid w:val="00DF23FE"/>
    <w:rsid w:val="00DF2593"/>
    <w:rsid w:val="00DF2603"/>
    <w:rsid w:val="00DF27D9"/>
    <w:rsid w:val="00DF282F"/>
    <w:rsid w:val="00DF35CC"/>
    <w:rsid w:val="00DF38CA"/>
    <w:rsid w:val="00DF41C3"/>
    <w:rsid w:val="00DF4542"/>
    <w:rsid w:val="00DF48A6"/>
    <w:rsid w:val="00DF4A21"/>
    <w:rsid w:val="00DF4C0C"/>
    <w:rsid w:val="00DF4C1D"/>
    <w:rsid w:val="00DF5246"/>
    <w:rsid w:val="00DF5254"/>
    <w:rsid w:val="00DF58C4"/>
    <w:rsid w:val="00DF5981"/>
    <w:rsid w:val="00DF6262"/>
    <w:rsid w:val="00DF63B1"/>
    <w:rsid w:val="00DF6547"/>
    <w:rsid w:val="00DF6E43"/>
    <w:rsid w:val="00DF7CE8"/>
    <w:rsid w:val="00DF7F34"/>
    <w:rsid w:val="00DF7F8E"/>
    <w:rsid w:val="00E0006C"/>
    <w:rsid w:val="00E00A51"/>
    <w:rsid w:val="00E00F50"/>
    <w:rsid w:val="00E0108F"/>
    <w:rsid w:val="00E011A7"/>
    <w:rsid w:val="00E011E3"/>
    <w:rsid w:val="00E01396"/>
    <w:rsid w:val="00E01650"/>
    <w:rsid w:val="00E01E0C"/>
    <w:rsid w:val="00E01F63"/>
    <w:rsid w:val="00E020E9"/>
    <w:rsid w:val="00E02127"/>
    <w:rsid w:val="00E02130"/>
    <w:rsid w:val="00E0244D"/>
    <w:rsid w:val="00E024FE"/>
    <w:rsid w:val="00E0259D"/>
    <w:rsid w:val="00E025AA"/>
    <w:rsid w:val="00E025FE"/>
    <w:rsid w:val="00E02BAA"/>
    <w:rsid w:val="00E02E47"/>
    <w:rsid w:val="00E03313"/>
    <w:rsid w:val="00E0339C"/>
    <w:rsid w:val="00E03B95"/>
    <w:rsid w:val="00E03E8C"/>
    <w:rsid w:val="00E04179"/>
    <w:rsid w:val="00E04350"/>
    <w:rsid w:val="00E0471B"/>
    <w:rsid w:val="00E0483A"/>
    <w:rsid w:val="00E048D8"/>
    <w:rsid w:val="00E04C30"/>
    <w:rsid w:val="00E04D09"/>
    <w:rsid w:val="00E052DC"/>
    <w:rsid w:val="00E056AF"/>
    <w:rsid w:val="00E057A0"/>
    <w:rsid w:val="00E057E2"/>
    <w:rsid w:val="00E058A9"/>
    <w:rsid w:val="00E06158"/>
    <w:rsid w:val="00E0621E"/>
    <w:rsid w:val="00E065D0"/>
    <w:rsid w:val="00E06A36"/>
    <w:rsid w:val="00E06ADC"/>
    <w:rsid w:val="00E07083"/>
    <w:rsid w:val="00E070FA"/>
    <w:rsid w:val="00E073B6"/>
    <w:rsid w:val="00E076D3"/>
    <w:rsid w:val="00E07900"/>
    <w:rsid w:val="00E07AE7"/>
    <w:rsid w:val="00E07DE0"/>
    <w:rsid w:val="00E1002F"/>
    <w:rsid w:val="00E1006F"/>
    <w:rsid w:val="00E101A8"/>
    <w:rsid w:val="00E10328"/>
    <w:rsid w:val="00E10400"/>
    <w:rsid w:val="00E10476"/>
    <w:rsid w:val="00E104D7"/>
    <w:rsid w:val="00E106E5"/>
    <w:rsid w:val="00E10FD7"/>
    <w:rsid w:val="00E1112A"/>
    <w:rsid w:val="00E1115D"/>
    <w:rsid w:val="00E11208"/>
    <w:rsid w:val="00E112A4"/>
    <w:rsid w:val="00E11457"/>
    <w:rsid w:val="00E11639"/>
    <w:rsid w:val="00E118AF"/>
    <w:rsid w:val="00E12330"/>
    <w:rsid w:val="00E1241E"/>
    <w:rsid w:val="00E12A9A"/>
    <w:rsid w:val="00E12C15"/>
    <w:rsid w:val="00E12C2F"/>
    <w:rsid w:val="00E12C81"/>
    <w:rsid w:val="00E12D11"/>
    <w:rsid w:val="00E12DA4"/>
    <w:rsid w:val="00E13210"/>
    <w:rsid w:val="00E1324F"/>
    <w:rsid w:val="00E13266"/>
    <w:rsid w:val="00E137C0"/>
    <w:rsid w:val="00E13CE2"/>
    <w:rsid w:val="00E13D6B"/>
    <w:rsid w:val="00E13E07"/>
    <w:rsid w:val="00E1401A"/>
    <w:rsid w:val="00E144A1"/>
    <w:rsid w:val="00E14862"/>
    <w:rsid w:val="00E14B8C"/>
    <w:rsid w:val="00E14C77"/>
    <w:rsid w:val="00E14D64"/>
    <w:rsid w:val="00E15237"/>
    <w:rsid w:val="00E152BF"/>
    <w:rsid w:val="00E15A6C"/>
    <w:rsid w:val="00E15B3D"/>
    <w:rsid w:val="00E15B66"/>
    <w:rsid w:val="00E15BED"/>
    <w:rsid w:val="00E1612A"/>
    <w:rsid w:val="00E170BF"/>
    <w:rsid w:val="00E172B0"/>
    <w:rsid w:val="00E172CA"/>
    <w:rsid w:val="00E17698"/>
    <w:rsid w:val="00E179EF"/>
    <w:rsid w:val="00E17D3E"/>
    <w:rsid w:val="00E17EEF"/>
    <w:rsid w:val="00E204EA"/>
    <w:rsid w:val="00E20783"/>
    <w:rsid w:val="00E209C8"/>
    <w:rsid w:val="00E20B38"/>
    <w:rsid w:val="00E20E1B"/>
    <w:rsid w:val="00E2196B"/>
    <w:rsid w:val="00E21CB5"/>
    <w:rsid w:val="00E22126"/>
    <w:rsid w:val="00E22263"/>
    <w:rsid w:val="00E2264E"/>
    <w:rsid w:val="00E22826"/>
    <w:rsid w:val="00E22BA5"/>
    <w:rsid w:val="00E23145"/>
    <w:rsid w:val="00E2349C"/>
    <w:rsid w:val="00E235EE"/>
    <w:rsid w:val="00E238BF"/>
    <w:rsid w:val="00E23A66"/>
    <w:rsid w:val="00E23F97"/>
    <w:rsid w:val="00E240FE"/>
    <w:rsid w:val="00E248B5"/>
    <w:rsid w:val="00E24925"/>
    <w:rsid w:val="00E250C2"/>
    <w:rsid w:val="00E2541B"/>
    <w:rsid w:val="00E258BB"/>
    <w:rsid w:val="00E25D2C"/>
    <w:rsid w:val="00E25F33"/>
    <w:rsid w:val="00E26608"/>
    <w:rsid w:val="00E26C51"/>
    <w:rsid w:val="00E26CA5"/>
    <w:rsid w:val="00E26EFA"/>
    <w:rsid w:val="00E27751"/>
    <w:rsid w:val="00E277E4"/>
    <w:rsid w:val="00E27C5A"/>
    <w:rsid w:val="00E27D4D"/>
    <w:rsid w:val="00E30171"/>
    <w:rsid w:val="00E301ED"/>
    <w:rsid w:val="00E3020F"/>
    <w:rsid w:val="00E30306"/>
    <w:rsid w:val="00E30B4F"/>
    <w:rsid w:val="00E30CEE"/>
    <w:rsid w:val="00E30FE6"/>
    <w:rsid w:val="00E310F1"/>
    <w:rsid w:val="00E3129B"/>
    <w:rsid w:val="00E31391"/>
    <w:rsid w:val="00E31498"/>
    <w:rsid w:val="00E3153B"/>
    <w:rsid w:val="00E315F3"/>
    <w:rsid w:val="00E31736"/>
    <w:rsid w:val="00E31C78"/>
    <w:rsid w:val="00E31D81"/>
    <w:rsid w:val="00E31FFC"/>
    <w:rsid w:val="00E32007"/>
    <w:rsid w:val="00E32613"/>
    <w:rsid w:val="00E32917"/>
    <w:rsid w:val="00E32C8E"/>
    <w:rsid w:val="00E33132"/>
    <w:rsid w:val="00E331DF"/>
    <w:rsid w:val="00E338D5"/>
    <w:rsid w:val="00E33B01"/>
    <w:rsid w:val="00E33B72"/>
    <w:rsid w:val="00E33BDE"/>
    <w:rsid w:val="00E34282"/>
    <w:rsid w:val="00E343E7"/>
    <w:rsid w:val="00E346AA"/>
    <w:rsid w:val="00E34714"/>
    <w:rsid w:val="00E3520C"/>
    <w:rsid w:val="00E35782"/>
    <w:rsid w:val="00E35AAE"/>
    <w:rsid w:val="00E35C1E"/>
    <w:rsid w:val="00E35E27"/>
    <w:rsid w:val="00E35E89"/>
    <w:rsid w:val="00E36916"/>
    <w:rsid w:val="00E36A35"/>
    <w:rsid w:val="00E36C40"/>
    <w:rsid w:val="00E36EA5"/>
    <w:rsid w:val="00E36EF1"/>
    <w:rsid w:val="00E379F1"/>
    <w:rsid w:val="00E37D14"/>
    <w:rsid w:val="00E37F03"/>
    <w:rsid w:val="00E37F57"/>
    <w:rsid w:val="00E37F6F"/>
    <w:rsid w:val="00E40464"/>
    <w:rsid w:val="00E409AB"/>
    <w:rsid w:val="00E40B5D"/>
    <w:rsid w:val="00E40BE4"/>
    <w:rsid w:val="00E40DE7"/>
    <w:rsid w:val="00E40F6A"/>
    <w:rsid w:val="00E413B9"/>
    <w:rsid w:val="00E41987"/>
    <w:rsid w:val="00E41F05"/>
    <w:rsid w:val="00E42186"/>
    <w:rsid w:val="00E421F2"/>
    <w:rsid w:val="00E423DB"/>
    <w:rsid w:val="00E424BB"/>
    <w:rsid w:val="00E42659"/>
    <w:rsid w:val="00E42B30"/>
    <w:rsid w:val="00E42E4C"/>
    <w:rsid w:val="00E43318"/>
    <w:rsid w:val="00E4374E"/>
    <w:rsid w:val="00E437D1"/>
    <w:rsid w:val="00E438DE"/>
    <w:rsid w:val="00E43C63"/>
    <w:rsid w:val="00E43CB8"/>
    <w:rsid w:val="00E43F80"/>
    <w:rsid w:val="00E44028"/>
    <w:rsid w:val="00E44726"/>
    <w:rsid w:val="00E451FE"/>
    <w:rsid w:val="00E455EB"/>
    <w:rsid w:val="00E45A7D"/>
    <w:rsid w:val="00E45EF3"/>
    <w:rsid w:val="00E46169"/>
    <w:rsid w:val="00E46213"/>
    <w:rsid w:val="00E4640D"/>
    <w:rsid w:val="00E467BA"/>
    <w:rsid w:val="00E4691C"/>
    <w:rsid w:val="00E46DC9"/>
    <w:rsid w:val="00E47244"/>
    <w:rsid w:val="00E47272"/>
    <w:rsid w:val="00E47548"/>
    <w:rsid w:val="00E47A6A"/>
    <w:rsid w:val="00E47D9E"/>
    <w:rsid w:val="00E47F27"/>
    <w:rsid w:val="00E5028E"/>
    <w:rsid w:val="00E502D5"/>
    <w:rsid w:val="00E503A5"/>
    <w:rsid w:val="00E503D3"/>
    <w:rsid w:val="00E50610"/>
    <w:rsid w:val="00E50979"/>
    <w:rsid w:val="00E50C35"/>
    <w:rsid w:val="00E50EB1"/>
    <w:rsid w:val="00E511D6"/>
    <w:rsid w:val="00E5121C"/>
    <w:rsid w:val="00E51819"/>
    <w:rsid w:val="00E51ACD"/>
    <w:rsid w:val="00E52BC2"/>
    <w:rsid w:val="00E52D10"/>
    <w:rsid w:val="00E52E23"/>
    <w:rsid w:val="00E52FBA"/>
    <w:rsid w:val="00E53131"/>
    <w:rsid w:val="00E5331F"/>
    <w:rsid w:val="00E53338"/>
    <w:rsid w:val="00E536F2"/>
    <w:rsid w:val="00E5372A"/>
    <w:rsid w:val="00E53ABD"/>
    <w:rsid w:val="00E54006"/>
    <w:rsid w:val="00E54030"/>
    <w:rsid w:val="00E540EB"/>
    <w:rsid w:val="00E54249"/>
    <w:rsid w:val="00E54915"/>
    <w:rsid w:val="00E54962"/>
    <w:rsid w:val="00E54B16"/>
    <w:rsid w:val="00E54D64"/>
    <w:rsid w:val="00E54E32"/>
    <w:rsid w:val="00E54E8E"/>
    <w:rsid w:val="00E5556C"/>
    <w:rsid w:val="00E555DC"/>
    <w:rsid w:val="00E55A2B"/>
    <w:rsid w:val="00E55D0D"/>
    <w:rsid w:val="00E5626A"/>
    <w:rsid w:val="00E563A2"/>
    <w:rsid w:val="00E56671"/>
    <w:rsid w:val="00E566F7"/>
    <w:rsid w:val="00E56BE1"/>
    <w:rsid w:val="00E56BF4"/>
    <w:rsid w:val="00E56E18"/>
    <w:rsid w:val="00E56EE2"/>
    <w:rsid w:val="00E57416"/>
    <w:rsid w:val="00E575BC"/>
    <w:rsid w:val="00E57703"/>
    <w:rsid w:val="00E57D29"/>
    <w:rsid w:val="00E60034"/>
    <w:rsid w:val="00E601DB"/>
    <w:rsid w:val="00E602D3"/>
    <w:rsid w:val="00E6076A"/>
    <w:rsid w:val="00E607E9"/>
    <w:rsid w:val="00E60831"/>
    <w:rsid w:val="00E608AB"/>
    <w:rsid w:val="00E608BD"/>
    <w:rsid w:val="00E60EF2"/>
    <w:rsid w:val="00E614EE"/>
    <w:rsid w:val="00E61A99"/>
    <w:rsid w:val="00E61C2A"/>
    <w:rsid w:val="00E61EBE"/>
    <w:rsid w:val="00E62197"/>
    <w:rsid w:val="00E625E8"/>
    <w:rsid w:val="00E62828"/>
    <w:rsid w:val="00E628C6"/>
    <w:rsid w:val="00E62E71"/>
    <w:rsid w:val="00E62E9D"/>
    <w:rsid w:val="00E62F1C"/>
    <w:rsid w:val="00E62F67"/>
    <w:rsid w:val="00E63641"/>
    <w:rsid w:val="00E63840"/>
    <w:rsid w:val="00E641C0"/>
    <w:rsid w:val="00E643A3"/>
    <w:rsid w:val="00E644FA"/>
    <w:rsid w:val="00E646FC"/>
    <w:rsid w:val="00E64805"/>
    <w:rsid w:val="00E64989"/>
    <w:rsid w:val="00E64A34"/>
    <w:rsid w:val="00E64C3E"/>
    <w:rsid w:val="00E64DCE"/>
    <w:rsid w:val="00E6533F"/>
    <w:rsid w:val="00E65400"/>
    <w:rsid w:val="00E658FC"/>
    <w:rsid w:val="00E65B83"/>
    <w:rsid w:val="00E65CD6"/>
    <w:rsid w:val="00E65D76"/>
    <w:rsid w:val="00E66173"/>
    <w:rsid w:val="00E66A52"/>
    <w:rsid w:val="00E66C72"/>
    <w:rsid w:val="00E66E05"/>
    <w:rsid w:val="00E67576"/>
    <w:rsid w:val="00E675A4"/>
    <w:rsid w:val="00E67781"/>
    <w:rsid w:val="00E67963"/>
    <w:rsid w:val="00E70563"/>
    <w:rsid w:val="00E709CE"/>
    <w:rsid w:val="00E70C2B"/>
    <w:rsid w:val="00E70ECA"/>
    <w:rsid w:val="00E710D5"/>
    <w:rsid w:val="00E717D2"/>
    <w:rsid w:val="00E7186A"/>
    <w:rsid w:val="00E71B31"/>
    <w:rsid w:val="00E722E6"/>
    <w:rsid w:val="00E72356"/>
    <w:rsid w:val="00E723D9"/>
    <w:rsid w:val="00E724A2"/>
    <w:rsid w:val="00E72920"/>
    <w:rsid w:val="00E72E07"/>
    <w:rsid w:val="00E730D1"/>
    <w:rsid w:val="00E732E8"/>
    <w:rsid w:val="00E7382F"/>
    <w:rsid w:val="00E73B40"/>
    <w:rsid w:val="00E740B3"/>
    <w:rsid w:val="00E74192"/>
    <w:rsid w:val="00E74200"/>
    <w:rsid w:val="00E7467E"/>
    <w:rsid w:val="00E748A9"/>
    <w:rsid w:val="00E74F57"/>
    <w:rsid w:val="00E75306"/>
    <w:rsid w:val="00E755E4"/>
    <w:rsid w:val="00E7570E"/>
    <w:rsid w:val="00E757E4"/>
    <w:rsid w:val="00E75A2D"/>
    <w:rsid w:val="00E75EC9"/>
    <w:rsid w:val="00E75F1C"/>
    <w:rsid w:val="00E7611E"/>
    <w:rsid w:val="00E76575"/>
    <w:rsid w:val="00E76672"/>
    <w:rsid w:val="00E76C0C"/>
    <w:rsid w:val="00E76E78"/>
    <w:rsid w:val="00E770B6"/>
    <w:rsid w:val="00E779E0"/>
    <w:rsid w:val="00E80022"/>
    <w:rsid w:val="00E8022D"/>
    <w:rsid w:val="00E80400"/>
    <w:rsid w:val="00E8091C"/>
    <w:rsid w:val="00E81576"/>
    <w:rsid w:val="00E817C4"/>
    <w:rsid w:val="00E81829"/>
    <w:rsid w:val="00E81B10"/>
    <w:rsid w:val="00E81CC6"/>
    <w:rsid w:val="00E81EAB"/>
    <w:rsid w:val="00E81F80"/>
    <w:rsid w:val="00E8205C"/>
    <w:rsid w:val="00E823A6"/>
    <w:rsid w:val="00E828A7"/>
    <w:rsid w:val="00E828C3"/>
    <w:rsid w:val="00E829A8"/>
    <w:rsid w:val="00E82AA0"/>
    <w:rsid w:val="00E831DD"/>
    <w:rsid w:val="00E83322"/>
    <w:rsid w:val="00E8335D"/>
    <w:rsid w:val="00E837CB"/>
    <w:rsid w:val="00E83D81"/>
    <w:rsid w:val="00E83E85"/>
    <w:rsid w:val="00E83F25"/>
    <w:rsid w:val="00E84035"/>
    <w:rsid w:val="00E84224"/>
    <w:rsid w:val="00E84341"/>
    <w:rsid w:val="00E84498"/>
    <w:rsid w:val="00E84581"/>
    <w:rsid w:val="00E849AF"/>
    <w:rsid w:val="00E84A82"/>
    <w:rsid w:val="00E84DF6"/>
    <w:rsid w:val="00E850DE"/>
    <w:rsid w:val="00E85135"/>
    <w:rsid w:val="00E85262"/>
    <w:rsid w:val="00E854B4"/>
    <w:rsid w:val="00E85B9B"/>
    <w:rsid w:val="00E85C7F"/>
    <w:rsid w:val="00E85FCB"/>
    <w:rsid w:val="00E8648D"/>
    <w:rsid w:val="00E865AB"/>
    <w:rsid w:val="00E86CB3"/>
    <w:rsid w:val="00E86FAF"/>
    <w:rsid w:val="00E877F3"/>
    <w:rsid w:val="00E87D39"/>
    <w:rsid w:val="00E87E20"/>
    <w:rsid w:val="00E9005F"/>
    <w:rsid w:val="00E90145"/>
    <w:rsid w:val="00E9019F"/>
    <w:rsid w:val="00E901AD"/>
    <w:rsid w:val="00E90224"/>
    <w:rsid w:val="00E9038B"/>
    <w:rsid w:val="00E905A1"/>
    <w:rsid w:val="00E90808"/>
    <w:rsid w:val="00E9090B"/>
    <w:rsid w:val="00E90AFD"/>
    <w:rsid w:val="00E914D2"/>
    <w:rsid w:val="00E914D6"/>
    <w:rsid w:val="00E9155D"/>
    <w:rsid w:val="00E915FD"/>
    <w:rsid w:val="00E917B1"/>
    <w:rsid w:val="00E91846"/>
    <w:rsid w:val="00E91E5A"/>
    <w:rsid w:val="00E91E98"/>
    <w:rsid w:val="00E91EE6"/>
    <w:rsid w:val="00E928AA"/>
    <w:rsid w:val="00E928CF"/>
    <w:rsid w:val="00E92A8C"/>
    <w:rsid w:val="00E92EB5"/>
    <w:rsid w:val="00E92F9C"/>
    <w:rsid w:val="00E9305B"/>
    <w:rsid w:val="00E9375D"/>
    <w:rsid w:val="00E93B1F"/>
    <w:rsid w:val="00E93D8B"/>
    <w:rsid w:val="00E94374"/>
    <w:rsid w:val="00E946B8"/>
    <w:rsid w:val="00E94739"/>
    <w:rsid w:val="00E953D3"/>
    <w:rsid w:val="00E9571D"/>
    <w:rsid w:val="00E957A7"/>
    <w:rsid w:val="00E958F6"/>
    <w:rsid w:val="00E95CEB"/>
    <w:rsid w:val="00E95FEA"/>
    <w:rsid w:val="00E96497"/>
    <w:rsid w:val="00E96AFD"/>
    <w:rsid w:val="00E96D18"/>
    <w:rsid w:val="00E96D7D"/>
    <w:rsid w:val="00E970AA"/>
    <w:rsid w:val="00E9778C"/>
    <w:rsid w:val="00E97796"/>
    <w:rsid w:val="00E9783A"/>
    <w:rsid w:val="00E97892"/>
    <w:rsid w:val="00E97F30"/>
    <w:rsid w:val="00E97F64"/>
    <w:rsid w:val="00EA0144"/>
    <w:rsid w:val="00EA02A6"/>
    <w:rsid w:val="00EA045E"/>
    <w:rsid w:val="00EA067B"/>
    <w:rsid w:val="00EA0807"/>
    <w:rsid w:val="00EA0A15"/>
    <w:rsid w:val="00EA0BBB"/>
    <w:rsid w:val="00EA1084"/>
    <w:rsid w:val="00EA20D9"/>
    <w:rsid w:val="00EA26A9"/>
    <w:rsid w:val="00EA27EB"/>
    <w:rsid w:val="00EA289B"/>
    <w:rsid w:val="00EA3357"/>
    <w:rsid w:val="00EA3848"/>
    <w:rsid w:val="00EA44B2"/>
    <w:rsid w:val="00EA46C8"/>
    <w:rsid w:val="00EA4A26"/>
    <w:rsid w:val="00EA4A5C"/>
    <w:rsid w:val="00EA4A9D"/>
    <w:rsid w:val="00EA4B7D"/>
    <w:rsid w:val="00EA5049"/>
    <w:rsid w:val="00EA517E"/>
    <w:rsid w:val="00EA51A3"/>
    <w:rsid w:val="00EA59A3"/>
    <w:rsid w:val="00EA5E97"/>
    <w:rsid w:val="00EA5FD5"/>
    <w:rsid w:val="00EA60B0"/>
    <w:rsid w:val="00EA61E0"/>
    <w:rsid w:val="00EA647A"/>
    <w:rsid w:val="00EA6838"/>
    <w:rsid w:val="00EA6D2D"/>
    <w:rsid w:val="00EA7AA9"/>
    <w:rsid w:val="00EA7B13"/>
    <w:rsid w:val="00EA7B1B"/>
    <w:rsid w:val="00EA7B5C"/>
    <w:rsid w:val="00EA7D82"/>
    <w:rsid w:val="00EA7E68"/>
    <w:rsid w:val="00EB035C"/>
    <w:rsid w:val="00EB085D"/>
    <w:rsid w:val="00EB0F04"/>
    <w:rsid w:val="00EB0F88"/>
    <w:rsid w:val="00EB11D0"/>
    <w:rsid w:val="00EB1C07"/>
    <w:rsid w:val="00EB1D99"/>
    <w:rsid w:val="00EB1F79"/>
    <w:rsid w:val="00EB204B"/>
    <w:rsid w:val="00EB240C"/>
    <w:rsid w:val="00EB257B"/>
    <w:rsid w:val="00EB260E"/>
    <w:rsid w:val="00EB2C37"/>
    <w:rsid w:val="00EB323D"/>
    <w:rsid w:val="00EB32CE"/>
    <w:rsid w:val="00EB3447"/>
    <w:rsid w:val="00EB34F3"/>
    <w:rsid w:val="00EB352C"/>
    <w:rsid w:val="00EB35CC"/>
    <w:rsid w:val="00EB360A"/>
    <w:rsid w:val="00EB36E2"/>
    <w:rsid w:val="00EB394E"/>
    <w:rsid w:val="00EB4001"/>
    <w:rsid w:val="00EB4301"/>
    <w:rsid w:val="00EB48A6"/>
    <w:rsid w:val="00EB48B3"/>
    <w:rsid w:val="00EB4DCF"/>
    <w:rsid w:val="00EB535B"/>
    <w:rsid w:val="00EB5480"/>
    <w:rsid w:val="00EB56DE"/>
    <w:rsid w:val="00EB56F5"/>
    <w:rsid w:val="00EB5A40"/>
    <w:rsid w:val="00EB5DAE"/>
    <w:rsid w:val="00EB63C8"/>
    <w:rsid w:val="00EB6449"/>
    <w:rsid w:val="00EB6670"/>
    <w:rsid w:val="00EB67A0"/>
    <w:rsid w:val="00EB67E0"/>
    <w:rsid w:val="00EB6879"/>
    <w:rsid w:val="00EB6954"/>
    <w:rsid w:val="00EB6BA4"/>
    <w:rsid w:val="00EB6DEE"/>
    <w:rsid w:val="00EB779A"/>
    <w:rsid w:val="00EB7868"/>
    <w:rsid w:val="00EB7B58"/>
    <w:rsid w:val="00EB7BC7"/>
    <w:rsid w:val="00EC0266"/>
    <w:rsid w:val="00EC04FB"/>
    <w:rsid w:val="00EC0574"/>
    <w:rsid w:val="00EC06F8"/>
    <w:rsid w:val="00EC0B2F"/>
    <w:rsid w:val="00EC0DF8"/>
    <w:rsid w:val="00EC0EEC"/>
    <w:rsid w:val="00EC172F"/>
    <w:rsid w:val="00EC1A31"/>
    <w:rsid w:val="00EC1B28"/>
    <w:rsid w:val="00EC1B64"/>
    <w:rsid w:val="00EC202F"/>
    <w:rsid w:val="00EC22D4"/>
    <w:rsid w:val="00EC2BAA"/>
    <w:rsid w:val="00EC2E25"/>
    <w:rsid w:val="00EC3783"/>
    <w:rsid w:val="00EC38BE"/>
    <w:rsid w:val="00EC392C"/>
    <w:rsid w:val="00EC3A1E"/>
    <w:rsid w:val="00EC3B38"/>
    <w:rsid w:val="00EC3F9E"/>
    <w:rsid w:val="00EC4A43"/>
    <w:rsid w:val="00EC4B59"/>
    <w:rsid w:val="00EC4D6D"/>
    <w:rsid w:val="00EC5777"/>
    <w:rsid w:val="00EC5921"/>
    <w:rsid w:val="00EC60F1"/>
    <w:rsid w:val="00EC6A79"/>
    <w:rsid w:val="00EC6F68"/>
    <w:rsid w:val="00EC744E"/>
    <w:rsid w:val="00EC766A"/>
    <w:rsid w:val="00EC7807"/>
    <w:rsid w:val="00EC7EF0"/>
    <w:rsid w:val="00ED077E"/>
    <w:rsid w:val="00ED0CC1"/>
    <w:rsid w:val="00ED0E26"/>
    <w:rsid w:val="00ED1428"/>
    <w:rsid w:val="00ED149A"/>
    <w:rsid w:val="00ED14B0"/>
    <w:rsid w:val="00ED1B23"/>
    <w:rsid w:val="00ED1E6D"/>
    <w:rsid w:val="00ED2137"/>
    <w:rsid w:val="00ED250E"/>
    <w:rsid w:val="00ED274D"/>
    <w:rsid w:val="00ED28A4"/>
    <w:rsid w:val="00ED2910"/>
    <w:rsid w:val="00ED297D"/>
    <w:rsid w:val="00ED2A7E"/>
    <w:rsid w:val="00ED2DA2"/>
    <w:rsid w:val="00ED3800"/>
    <w:rsid w:val="00ED4262"/>
    <w:rsid w:val="00ED437C"/>
    <w:rsid w:val="00ED5036"/>
    <w:rsid w:val="00ED5279"/>
    <w:rsid w:val="00ED576F"/>
    <w:rsid w:val="00ED5843"/>
    <w:rsid w:val="00ED5A30"/>
    <w:rsid w:val="00ED5D60"/>
    <w:rsid w:val="00ED5DA4"/>
    <w:rsid w:val="00ED617D"/>
    <w:rsid w:val="00ED61B3"/>
    <w:rsid w:val="00ED6342"/>
    <w:rsid w:val="00ED67CB"/>
    <w:rsid w:val="00ED698A"/>
    <w:rsid w:val="00ED6B4F"/>
    <w:rsid w:val="00ED6C6E"/>
    <w:rsid w:val="00ED6C8F"/>
    <w:rsid w:val="00ED7836"/>
    <w:rsid w:val="00ED7CB3"/>
    <w:rsid w:val="00EE0756"/>
    <w:rsid w:val="00EE0771"/>
    <w:rsid w:val="00EE0C20"/>
    <w:rsid w:val="00EE0D60"/>
    <w:rsid w:val="00EE0FD2"/>
    <w:rsid w:val="00EE18CC"/>
    <w:rsid w:val="00EE197C"/>
    <w:rsid w:val="00EE1C81"/>
    <w:rsid w:val="00EE2310"/>
    <w:rsid w:val="00EE2385"/>
    <w:rsid w:val="00EE24BB"/>
    <w:rsid w:val="00EE24FA"/>
    <w:rsid w:val="00EE26ED"/>
    <w:rsid w:val="00EE29AD"/>
    <w:rsid w:val="00EE2A59"/>
    <w:rsid w:val="00EE2F59"/>
    <w:rsid w:val="00EE343C"/>
    <w:rsid w:val="00EE346A"/>
    <w:rsid w:val="00EE3504"/>
    <w:rsid w:val="00EE3561"/>
    <w:rsid w:val="00EE3654"/>
    <w:rsid w:val="00EE3A89"/>
    <w:rsid w:val="00EE3A99"/>
    <w:rsid w:val="00EE4044"/>
    <w:rsid w:val="00EE40E8"/>
    <w:rsid w:val="00EE41C2"/>
    <w:rsid w:val="00EE4445"/>
    <w:rsid w:val="00EE482B"/>
    <w:rsid w:val="00EE5819"/>
    <w:rsid w:val="00EE5FC0"/>
    <w:rsid w:val="00EE61BF"/>
    <w:rsid w:val="00EE64E8"/>
    <w:rsid w:val="00EE6668"/>
    <w:rsid w:val="00EE680A"/>
    <w:rsid w:val="00EE690F"/>
    <w:rsid w:val="00EE69FC"/>
    <w:rsid w:val="00EE6F41"/>
    <w:rsid w:val="00EE7163"/>
    <w:rsid w:val="00EE7332"/>
    <w:rsid w:val="00EE77A4"/>
    <w:rsid w:val="00EE78F7"/>
    <w:rsid w:val="00EE7965"/>
    <w:rsid w:val="00EE7B61"/>
    <w:rsid w:val="00EE7BDB"/>
    <w:rsid w:val="00EE7C43"/>
    <w:rsid w:val="00EE7D83"/>
    <w:rsid w:val="00EF013D"/>
    <w:rsid w:val="00EF027B"/>
    <w:rsid w:val="00EF086D"/>
    <w:rsid w:val="00EF0B1B"/>
    <w:rsid w:val="00EF0B3F"/>
    <w:rsid w:val="00EF0B65"/>
    <w:rsid w:val="00EF0DB4"/>
    <w:rsid w:val="00EF0DC7"/>
    <w:rsid w:val="00EF1098"/>
    <w:rsid w:val="00EF11A8"/>
    <w:rsid w:val="00EF14FF"/>
    <w:rsid w:val="00EF156C"/>
    <w:rsid w:val="00EF1F79"/>
    <w:rsid w:val="00EF261F"/>
    <w:rsid w:val="00EF2642"/>
    <w:rsid w:val="00EF2D7E"/>
    <w:rsid w:val="00EF2E07"/>
    <w:rsid w:val="00EF2FD2"/>
    <w:rsid w:val="00EF30B9"/>
    <w:rsid w:val="00EF315C"/>
    <w:rsid w:val="00EF34D7"/>
    <w:rsid w:val="00EF37B5"/>
    <w:rsid w:val="00EF38E2"/>
    <w:rsid w:val="00EF3961"/>
    <w:rsid w:val="00EF414D"/>
    <w:rsid w:val="00EF43ED"/>
    <w:rsid w:val="00EF457D"/>
    <w:rsid w:val="00EF45B7"/>
    <w:rsid w:val="00EF4763"/>
    <w:rsid w:val="00EF4A31"/>
    <w:rsid w:val="00EF4DF1"/>
    <w:rsid w:val="00EF4F4A"/>
    <w:rsid w:val="00EF5096"/>
    <w:rsid w:val="00EF5098"/>
    <w:rsid w:val="00EF52B2"/>
    <w:rsid w:val="00EF5CFE"/>
    <w:rsid w:val="00EF6830"/>
    <w:rsid w:val="00EF72BF"/>
    <w:rsid w:val="00EF7535"/>
    <w:rsid w:val="00EF7B91"/>
    <w:rsid w:val="00EF7BA3"/>
    <w:rsid w:val="00EF7BC6"/>
    <w:rsid w:val="00EF7E36"/>
    <w:rsid w:val="00F001FB"/>
    <w:rsid w:val="00F002AB"/>
    <w:rsid w:val="00F004A2"/>
    <w:rsid w:val="00F00653"/>
    <w:rsid w:val="00F011C2"/>
    <w:rsid w:val="00F01C15"/>
    <w:rsid w:val="00F01EBE"/>
    <w:rsid w:val="00F01FD8"/>
    <w:rsid w:val="00F0251C"/>
    <w:rsid w:val="00F0260A"/>
    <w:rsid w:val="00F02733"/>
    <w:rsid w:val="00F027DA"/>
    <w:rsid w:val="00F02B7F"/>
    <w:rsid w:val="00F02BCF"/>
    <w:rsid w:val="00F036E7"/>
    <w:rsid w:val="00F03B4B"/>
    <w:rsid w:val="00F04183"/>
    <w:rsid w:val="00F0443B"/>
    <w:rsid w:val="00F04C39"/>
    <w:rsid w:val="00F04EEA"/>
    <w:rsid w:val="00F05F27"/>
    <w:rsid w:val="00F0635B"/>
    <w:rsid w:val="00F06733"/>
    <w:rsid w:val="00F067B5"/>
    <w:rsid w:val="00F0681E"/>
    <w:rsid w:val="00F06BBB"/>
    <w:rsid w:val="00F07001"/>
    <w:rsid w:val="00F070F9"/>
    <w:rsid w:val="00F071BD"/>
    <w:rsid w:val="00F072CD"/>
    <w:rsid w:val="00F077FD"/>
    <w:rsid w:val="00F07CFF"/>
    <w:rsid w:val="00F07D64"/>
    <w:rsid w:val="00F07DC4"/>
    <w:rsid w:val="00F100B3"/>
    <w:rsid w:val="00F102F3"/>
    <w:rsid w:val="00F10336"/>
    <w:rsid w:val="00F10369"/>
    <w:rsid w:val="00F10842"/>
    <w:rsid w:val="00F10867"/>
    <w:rsid w:val="00F10951"/>
    <w:rsid w:val="00F10C88"/>
    <w:rsid w:val="00F11AF8"/>
    <w:rsid w:val="00F11D97"/>
    <w:rsid w:val="00F12414"/>
    <w:rsid w:val="00F125CA"/>
    <w:rsid w:val="00F1267B"/>
    <w:rsid w:val="00F12DC4"/>
    <w:rsid w:val="00F130EE"/>
    <w:rsid w:val="00F1313B"/>
    <w:rsid w:val="00F1323F"/>
    <w:rsid w:val="00F1328C"/>
    <w:rsid w:val="00F132A3"/>
    <w:rsid w:val="00F1349D"/>
    <w:rsid w:val="00F136D8"/>
    <w:rsid w:val="00F136F0"/>
    <w:rsid w:val="00F13901"/>
    <w:rsid w:val="00F13A11"/>
    <w:rsid w:val="00F13C11"/>
    <w:rsid w:val="00F13C60"/>
    <w:rsid w:val="00F13FC9"/>
    <w:rsid w:val="00F143C2"/>
    <w:rsid w:val="00F1470D"/>
    <w:rsid w:val="00F14804"/>
    <w:rsid w:val="00F14895"/>
    <w:rsid w:val="00F148E5"/>
    <w:rsid w:val="00F156BA"/>
    <w:rsid w:val="00F1574A"/>
    <w:rsid w:val="00F15DA8"/>
    <w:rsid w:val="00F15EF5"/>
    <w:rsid w:val="00F16513"/>
    <w:rsid w:val="00F16A11"/>
    <w:rsid w:val="00F16A3A"/>
    <w:rsid w:val="00F16D0D"/>
    <w:rsid w:val="00F17074"/>
    <w:rsid w:val="00F1761B"/>
    <w:rsid w:val="00F179E4"/>
    <w:rsid w:val="00F200CA"/>
    <w:rsid w:val="00F2049B"/>
    <w:rsid w:val="00F206F5"/>
    <w:rsid w:val="00F20B9D"/>
    <w:rsid w:val="00F20BAE"/>
    <w:rsid w:val="00F20D05"/>
    <w:rsid w:val="00F20EA5"/>
    <w:rsid w:val="00F210DC"/>
    <w:rsid w:val="00F211DE"/>
    <w:rsid w:val="00F216AF"/>
    <w:rsid w:val="00F21782"/>
    <w:rsid w:val="00F220A9"/>
    <w:rsid w:val="00F223E8"/>
    <w:rsid w:val="00F22490"/>
    <w:rsid w:val="00F22880"/>
    <w:rsid w:val="00F22B7C"/>
    <w:rsid w:val="00F22E22"/>
    <w:rsid w:val="00F23577"/>
    <w:rsid w:val="00F2359D"/>
    <w:rsid w:val="00F236B8"/>
    <w:rsid w:val="00F2372F"/>
    <w:rsid w:val="00F23A5D"/>
    <w:rsid w:val="00F23D2E"/>
    <w:rsid w:val="00F23DA3"/>
    <w:rsid w:val="00F2404A"/>
    <w:rsid w:val="00F24443"/>
    <w:rsid w:val="00F2446C"/>
    <w:rsid w:val="00F24854"/>
    <w:rsid w:val="00F24996"/>
    <w:rsid w:val="00F24C51"/>
    <w:rsid w:val="00F2519D"/>
    <w:rsid w:val="00F25256"/>
    <w:rsid w:val="00F2530C"/>
    <w:rsid w:val="00F25409"/>
    <w:rsid w:val="00F258B4"/>
    <w:rsid w:val="00F258C2"/>
    <w:rsid w:val="00F25912"/>
    <w:rsid w:val="00F25946"/>
    <w:rsid w:val="00F25AEC"/>
    <w:rsid w:val="00F25B58"/>
    <w:rsid w:val="00F25BFB"/>
    <w:rsid w:val="00F25C43"/>
    <w:rsid w:val="00F25F9F"/>
    <w:rsid w:val="00F2602E"/>
    <w:rsid w:val="00F27470"/>
    <w:rsid w:val="00F2765E"/>
    <w:rsid w:val="00F279EA"/>
    <w:rsid w:val="00F27A26"/>
    <w:rsid w:val="00F27EFD"/>
    <w:rsid w:val="00F30019"/>
    <w:rsid w:val="00F30069"/>
    <w:rsid w:val="00F30131"/>
    <w:rsid w:val="00F303CE"/>
    <w:rsid w:val="00F30689"/>
    <w:rsid w:val="00F30769"/>
    <w:rsid w:val="00F30A8D"/>
    <w:rsid w:val="00F30AE2"/>
    <w:rsid w:val="00F30D49"/>
    <w:rsid w:val="00F30EE0"/>
    <w:rsid w:val="00F313A8"/>
    <w:rsid w:val="00F3150D"/>
    <w:rsid w:val="00F3160A"/>
    <w:rsid w:val="00F31831"/>
    <w:rsid w:val="00F31DD1"/>
    <w:rsid w:val="00F31ED7"/>
    <w:rsid w:val="00F32142"/>
    <w:rsid w:val="00F32219"/>
    <w:rsid w:val="00F32411"/>
    <w:rsid w:val="00F325AC"/>
    <w:rsid w:val="00F3290B"/>
    <w:rsid w:val="00F32A0A"/>
    <w:rsid w:val="00F32C3A"/>
    <w:rsid w:val="00F32FFC"/>
    <w:rsid w:val="00F3316C"/>
    <w:rsid w:val="00F3377B"/>
    <w:rsid w:val="00F337D4"/>
    <w:rsid w:val="00F33EB8"/>
    <w:rsid w:val="00F33ECE"/>
    <w:rsid w:val="00F342B6"/>
    <w:rsid w:val="00F34AEB"/>
    <w:rsid w:val="00F34BEE"/>
    <w:rsid w:val="00F34FA3"/>
    <w:rsid w:val="00F34FB0"/>
    <w:rsid w:val="00F356FD"/>
    <w:rsid w:val="00F357DF"/>
    <w:rsid w:val="00F35D53"/>
    <w:rsid w:val="00F364B7"/>
    <w:rsid w:val="00F364F9"/>
    <w:rsid w:val="00F367EC"/>
    <w:rsid w:val="00F36CD6"/>
    <w:rsid w:val="00F36EC5"/>
    <w:rsid w:val="00F37229"/>
    <w:rsid w:val="00F372ED"/>
    <w:rsid w:val="00F37690"/>
    <w:rsid w:val="00F376E5"/>
    <w:rsid w:val="00F37B4F"/>
    <w:rsid w:val="00F401DA"/>
    <w:rsid w:val="00F4059E"/>
    <w:rsid w:val="00F40A74"/>
    <w:rsid w:val="00F40F88"/>
    <w:rsid w:val="00F41481"/>
    <w:rsid w:val="00F415A7"/>
    <w:rsid w:val="00F41782"/>
    <w:rsid w:val="00F41D33"/>
    <w:rsid w:val="00F423D6"/>
    <w:rsid w:val="00F434A2"/>
    <w:rsid w:val="00F4364A"/>
    <w:rsid w:val="00F43BAF"/>
    <w:rsid w:val="00F43DF4"/>
    <w:rsid w:val="00F43F01"/>
    <w:rsid w:val="00F4403A"/>
    <w:rsid w:val="00F4418E"/>
    <w:rsid w:val="00F44552"/>
    <w:rsid w:val="00F44581"/>
    <w:rsid w:val="00F445DD"/>
    <w:rsid w:val="00F4463D"/>
    <w:rsid w:val="00F44A7A"/>
    <w:rsid w:val="00F44D6D"/>
    <w:rsid w:val="00F44E01"/>
    <w:rsid w:val="00F44F29"/>
    <w:rsid w:val="00F45102"/>
    <w:rsid w:val="00F45307"/>
    <w:rsid w:val="00F45442"/>
    <w:rsid w:val="00F45932"/>
    <w:rsid w:val="00F459FC"/>
    <w:rsid w:val="00F45DB4"/>
    <w:rsid w:val="00F4622D"/>
    <w:rsid w:val="00F4654A"/>
    <w:rsid w:val="00F4698F"/>
    <w:rsid w:val="00F46D63"/>
    <w:rsid w:val="00F46E56"/>
    <w:rsid w:val="00F46E75"/>
    <w:rsid w:val="00F47258"/>
    <w:rsid w:val="00F472BA"/>
    <w:rsid w:val="00F474AC"/>
    <w:rsid w:val="00F475EE"/>
    <w:rsid w:val="00F477B3"/>
    <w:rsid w:val="00F47AEA"/>
    <w:rsid w:val="00F5025B"/>
    <w:rsid w:val="00F50D84"/>
    <w:rsid w:val="00F5118D"/>
    <w:rsid w:val="00F516AE"/>
    <w:rsid w:val="00F518E0"/>
    <w:rsid w:val="00F518ED"/>
    <w:rsid w:val="00F51CD8"/>
    <w:rsid w:val="00F51F8B"/>
    <w:rsid w:val="00F52159"/>
    <w:rsid w:val="00F5216A"/>
    <w:rsid w:val="00F52C81"/>
    <w:rsid w:val="00F52D5F"/>
    <w:rsid w:val="00F53714"/>
    <w:rsid w:val="00F537AE"/>
    <w:rsid w:val="00F541A7"/>
    <w:rsid w:val="00F542DB"/>
    <w:rsid w:val="00F542DC"/>
    <w:rsid w:val="00F54879"/>
    <w:rsid w:val="00F54C57"/>
    <w:rsid w:val="00F54D11"/>
    <w:rsid w:val="00F54D2F"/>
    <w:rsid w:val="00F5516A"/>
    <w:rsid w:val="00F55A3E"/>
    <w:rsid w:val="00F55DFE"/>
    <w:rsid w:val="00F55F5B"/>
    <w:rsid w:val="00F5609B"/>
    <w:rsid w:val="00F5634F"/>
    <w:rsid w:val="00F56500"/>
    <w:rsid w:val="00F568DE"/>
    <w:rsid w:val="00F56990"/>
    <w:rsid w:val="00F56A9F"/>
    <w:rsid w:val="00F56AB0"/>
    <w:rsid w:val="00F56B63"/>
    <w:rsid w:val="00F56FBE"/>
    <w:rsid w:val="00F571BA"/>
    <w:rsid w:val="00F57254"/>
    <w:rsid w:val="00F57397"/>
    <w:rsid w:val="00F57A94"/>
    <w:rsid w:val="00F57FD9"/>
    <w:rsid w:val="00F60007"/>
    <w:rsid w:val="00F600BE"/>
    <w:rsid w:val="00F60205"/>
    <w:rsid w:val="00F60208"/>
    <w:rsid w:val="00F6052A"/>
    <w:rsid w:val="00F60803"/>
    <w:rsid w:val="00F60967"/>
    <w:rsid w:val="00F60D57"/>
    <w:rsid w:val="00F612DA"/>
    <w:rsid w:val="00F61605"/>
    <w:rsid w:val="00F61721"/>
    <w:rsid w:val="00F61CCC"/>
    <w:rsid w:val="00F61D61"/>
    <w:rsid w:val="00F61F3E"/>
    <w:rsid w:val="00F621B3"/>
    <w:rsid w:val="00F621C3"/>
    <w:rsid w:val="00F623D9"/>
    <w:rsid w:val="00F6286E"/>
    <w:rsid w:val="00F629D7"/>
    <w:rsid w:val="00F62A7F"/>
    <w:rsid w:val="00F62C46"/>
    <w:rsid w:val="00F62D76"/>
    <w:rsid w:val="00F62F2E"/>
    <w:rsid w:val="00F6337D"/>
    <w:rsid w:val="00F63403"/>
    <w:rsid w:val="00F634DD"/>
    <w:rsid w:val="00F635E0"/>
    <w:rsid w:val="00F63911"/>
    <w:rsid w:val="00F639C9"/>
    <w:rsid w:val="00F63AFF"/>
    <w:rsid w:val="00F63DA3"/>
    <w:rsid w:val="00F63E4E"/>
    <w:rsid w:val="00F63FB1"/>
    <w:rsid w:val="00F64179"/>
    <w:rsid w:val="00F64348"/>
    <w:rsid w:val="00F643D1"/>
    <w:rsid w:val="00F645EB"/>
    <w:rsid w:val="00F64A6E"/>
    <w:rsid w:val="00F64B89"/>
    <w:rsid w:val="00F64CBE"/>
    <w:rsid w:val="00F652F8"/>
    <w:rsid w:val="00F65CF1"/>
    <w:rsid w:val="00F65D26"/>
    <w:rsid w:val="00F65EC9"/>
    <w:rsid w:val="00F66CD0"/>
    <w:rsid w:val="00F6709C"/>
    <w:rsid w:val="00F6751E"/>
    <w:rsid w:val="00F6776C"/>
    <w:rsid w:val="00F67833"/>
    <w:rsid w:val="00F6792B"/>
    <w:rsid w:val="00F67A4E"/>
    <w:rsid w:val="00F67A6A"/>
    <w:rsid w:val="00F67EDC"/>
    <w:rsid w:val="00F702F2"/>
    <w:rsid w:val="00F706BF"/>
    <w:rsid w:val="00F70C5E"/>
    <w:rsid w:val="00F70D41"/>
    <w:rsid w:val="00F70F50"/>
    <w:rsid w:val="00F711E7"/>
    <w:rsid w:val="00F716FB"/>
    <w:rsid w:val="00F7178D"/>
    <w:rsid w:val="00F71A47"/>
    <w:rsid w:val="00F71DCD"/>
    <w:rsid w:val="00F71E6E"/>
    <w:rsid w:val="00F7206A"/>
    <w:rsid w:val="00F722FB"/>
    <w:rsid w:val="00F723F3"/>
    <w:rsid w:val="00F7240C"/>
    <w:rsid w:val="00F7255B"/>
    <w:rsid w:val="00F73198"/>
    <w:rsid w:val="00F73992"/>
    <w:rsid w:val="00F73D88"/>
    <w:rsid w:val="00F743DF"/>
    <w:rsid w:val="00F7450D"/>
    <w:rsid w:val="00F74903"/>
    <w:rsid w:val="00F749A6"/>
    <w:rsid w:val="00F74B98"/>
    <w:rsid w:val="00F74D47"/>
    <w:rsid w:val="00F74EA1"/>
    <w:rsid w:val="00F74EB5"/>
    <w:rsid w:val="00F750A8"/>
    <w:rsid w:val="00F75117"/>
    <w:rsid w:val="00F75255"/>
    <w:rsid w:val="00F754FE"/>
    <w:rsid w:val="00F755A1"/>
    <w:rsid w:val="00F7588B"/>
    <w:rsid w:val="00F75A11"/>
    <w:rsid w:val="00F75EA1"/>
    <w:rsid w:val="00F75F74"/>
    <w:rsid w:val="00F76397"/>
    <w:rsid w:val="00F7650D"/>
    <w:rsid w:val="00F7684B"/>
    <w:rsid w:val="00F76AAB"/>
    <w:rsid w:val="00F76E30"/>
    <w:rsid w:val="00F77568"/>
    <w:rsid w:val="00F77803"/>
    <w:rsid w:val="00F77C56"/>
    <w:rsid w:val="00F77DEE"/>
    <w:rsid w:val="00F803D6"/>
    <w:rsid w:val="00F810EC"/>
    <w:rsid w:val="00F81185"/>
    <w:rsid w:val="00F81204"/>
    <w:rsid w:val="00F8123E"/>
    <w:rsid w:val="00F81FEA"/>
    <w:rsid w:val="00F8244C"/>
    <w:rsid w:val="00F824F4"/>
    <w:rsid w:val="00F825E6"/>
    <w:rsid w:val="00F828B4"/>
    <w:rsid w:val="00F82A80"/>
    <w:rsid w:val="00F82E3B"/>
    <w:rsid w:val="00F83707"/>
    <w:rsid w:val="00F83E73"/>
    <w:rsid w:val="00F83EAF"/>
    <w:rsid w:val="00F843A2"/>
    <w:rsid w:val="00F845D0"/>
    <w:rsid w:val="00F84608"/>
    <w:rsid w:val="00F848B9"/>
    <w:rsid w:val="00F84CCB"/>
    <w:rsid w:val="00F84DAD"/>
    <w:rsid w:val="00F8509F"/>
    <w:rsid w:val="00F85313"/>
    <w:rsid w:val="00F85DAE"/>
    <w:rsid w:val="00F863AF"/>
    <w:rsid w:val="00F863C4"/>
    <w:rsid w:val="00F865CD"/>
    <w:rsid w:val="00F86627"/>
    <w:rsid w:val="00F86910"/>
    <w:rsid w:val="00F874DC"/>
    <w:rsid w:val="00F8798F"/>
    <w:rsid w:val="00F87B5C"/>
    <w:rsid w:val="00F9053B"/>
    <w:rsid w:val="00F905E3"/>
    <w:rsid w:val="00F9066D"/>
    <w:rsid w:val="00F90800"/>
    <w:rsid w:val="00F909E2"/>
    <w:rsid w:val="00F90DEB"/>
    <w:rsid w:val="00F9118C"/>
    <w:rsid w:val="00F912D2"/>
    <w:rsid w:val="00F918A3"/>
    <w:rsid w:val="00F91940"/>
    <w:rsid w:val="00F91E84"/>
    <w:rsid w:val="00F91EE1"/>
    <w:rsid w:val="00F91F21"/>
    <w:rsid w:val="00F9211E"/>
    <w:rsid w:val="00F92136"/>
    <w:rsid w:val="00F92234"/>
    <w:rsid w:val="00F923F6"/>
    <w:rsid w:val="00F92C06"/>
    <w:rsid w:val="00F92E0B"/>
    <w:rsid w:val="00F92FFE"/>
    <w:rsid w:val="00F9383B"/>
    <w:rsid w:val="00F938D6"/>
    <w:rsid w:val="00F93946"/>
    <w:rsid w:val="00F93A64"/>
    <w:rsid w:val="00F93B43"/>
    <w:rsid w:val="00F93EB5"/>
    <w:rsid w:val="00F940F1"/>
    <w:rsid w:val="00F942ED"/>
    <w:rsid w:val="00F94483"/>
    <w:rsid w:val="00F945ED"/>
    <w:rsid w:val="00F94965"/>
    <w:rsid w:val="00F94A1C"/>
    <w:rsid w:val="00F94EAC"/>
    <w:rsid w:val="00F95387"/>
    <w:rsid w:val="00F95A74"/>
    <w:rsid w:val="00F95D39"/>
    <w:rsid w:val="00F95F02"/>
    <w:rsid w:val="00F96053"/>
    <w:rsid w:val="00F96FAB"/>
    <w:rsid w:val="00F97342"/>
    <w:rsid w:val="00F974BE"/>
    <w:rsid w:val="00F9792C"/>
    <w:rsid w:val="00F9795C"/>
    <w:rsid w:val="00F97C9F"/>
    <w:rsid w:val="00F97DAB"/>
    <w:rsid w:val="00F97E6A"/>
    <w:rsid w:val="00F97F3D"/>
    <w:rsid w:val="00FA00D8"/>
    <w:rsid w:val="00FA02F4"/>
    <w:rsid w:val="00FA0303"/>
    <w:rsid w:val="00FA0397"/>
    <w:rsid w:val="00FA06AE"/>
    <w:rsid w:val="00FA07CC"/>
    <w:rsid w:val="00FA0B73"/>
    <w:rsid w:val="00FA0BC9"/>
    <w:rsid w:val="00FA0D57"/>
    <w:rsid w:val="00FA0F4D"/>
    <w:rsid w:val="00FA1B87"/>
    <w:rsid w:val="00FA1BD9"/>
    <w:rsid w:val="00FA1D25"/>
    <w:rsid w:val="00FA1EEB"/>
    <w:rsid w:val="00FA23BA"/>
    <w:rsid w:val="00FA24D0"/>
    <w:rsid w:val="00FA25AA"/>
    <w:rsid w:val="00FA2656"/>
    <w:rsid w:val="00FA2C25"/>
    <w:rsid w:val="00FA3004"/>
    <w:rsid w:val="00FA39E1"/>
    <w:rsid w:val="00FA3A26"/>
    <w:rsid w:val="00FA40FD"/>
    <w:rsid w:val="00FA45F1"/>
    <w:rsid w:val="00FA4C94"/>
    <w:rsid w:val="00FA4ECB"/>
    <w:rsid w:val="00FA510D"/>
    <w:rsid w:val="00FA51E2"/>
    <w:rsid w:val="00FA52DC"/>
    <w:rsid w:val="00FA57E9"/>
    <w:rsid w:val="00FA58F4"/>
    <w:rsid w:val="00FA5B4A"/>
    <w:rsid w:val="00FA5D29"/>
    <w:rsid w:val="00FA6087"/>
    <w:rsid w:val="00FA60C5"/>
    <w:rsid w:val="00FA6557"/>
    <w:rsid w:val="00FA6795"/>
    <w:rsid w:val="00FA6884"/>
    <w:rsid w:val="00FA6A5B"/>
    <w:rsid w:val="00FA6B5C"/>
    <w:rsid w:val="00FA6B6C"/>
    <w:rsid w:val="00FA6D0D"/>
    <w:rsid w:val="00FA7289"/>
    <w:rsid w:val="00FA72E1"/>
    <w:rsid w:val="00FA732B"/>
    <w:rsid w:val="00FA7797"/>
    <w:rsid w:val="00FA7A1A"/>
    <w:rsid w:val="00FA7AE5"/>
    <w:rsid w:val="00FB00BA"/>
    <w:rsid w:val="00FB053D"/>
    <w:rsid w:val="00FB0A08"/>
    <w:rsid w:val="00FB0D1F"/>
    <w:rsid w:val="00FB0EC9"/>
    <w:rsid w:val="00FB1342"/>
    <w:rsid w:val="00FB16BE"/>
    <w:rsid w:val="00FB21F0"/>
    <w:rsid w:val="00FB22CA"/>
    <w:rsid w:val="00FB30D9"/>
    <w:rsid w:val="00FB3668"/>
    <w:rsid w:val="00FB3682"/>
    <w:rsid w:val="00FB36B7"/>
    <w:rsid w:val="00FB37C1"/>
    <w:rsid w:val="00FB396C"/>
    <w:rsid w:val="00FB39F7"/>
    <w:rsid w:val="00FB3E54"/>
    <w:rsid w:val="00FB3EAC"/>
    <w:rsid w:val="00FB4145"/>
    <w:rsid w:val="00FB42A2"/>
    <w:rsid w:val="00FB42AF"/>
    <w:rsid w:val="00FB42CA"/>
    <w:rsid w:val="00FB4459"/>
    <w:rsid w:val="00FB450D"/>
    <w:rsid w:val="00FB4DD5"/>
    <w:rsid w:val="00FB4FDD"/>
    <w:rsid w:val="00FB5380"/>
    <w:rsid w:val="00FB565E"/>
    <w:rsid w:val="00FB5E00"/>
    <w:rsid w:val="00FB62B7"/>
    <w:rsid w:val="00FB632F"/>
    <w:rsid w:val="00FB657C"/>
    <w:rsid w:val="00FB65F8"/>
    <w:rsid w:val="00FB6757"/>
    <w:rsid w:val="00FB683F"/>
    <w:rsid w:val="00FB68C5"/>
    <w:rsid w:val="00FB6AA8"/>
    <w:rsid w:val="00FB6CD2"/>
    <w:rsid w:val="00FB6F90"/>
    <w:rsid w:val="00FB7414"/>
    <w:rsid w:val="00FB78FA"/>
    <w:rsid w:val="00FB7937"/>
    <w:rsid w:val="00FC02AE"/>
    <w:rsid w:val="00FC03EF"/>
    <w:rsid w:val="00FC0720"/>
    <w:rsid w:val="00FC0798"/>
    <w:rsid w:val="00FC09B2"/>
    <w:rsid w:val="00FC0DD2"/>
    <w:rsid w:val="00FC0DE8"/>
    <w:rsid w:val="00FC0F5B"/>
    <w:rsid w:val="00FC165B"/>
    <w:rsid w:val="00FC17F7"/>
    <w:rsid w:val="00FC1DCF"/>
    <w:rsid w:val="00FC1FDE"/>
    <w:rsid w:val="00FC2436"/>
    <w:rsid w:val="00FC2CF2"/>
    <w:rsid w:val="00FC2F74"/>
    <w:rsid w:val="00FC2F89"/>
    <w:rsid w:val="00FC30F2"/>
    <w:rsid w:val="00FC325E"/>
    <w:rsid w:val="00FC3B1A"/>
    <w:rsid w:val="00FC3ECE"/>
    <w:rsid w:val="00FC448D"/>
    <w:rsid w:val="00FC4C44"/>
    <w:rsid w:val="00FC4E96"/>
    <w:rsid w:val="00FC4F44"/>
    <w:rsid w:val="00FC5282"/>
    <w:rsid w:val="00FC557E"/>
    <w:rsid w:val="00FC56B4"/>
    <w:rsid w:val="00FC6136"/>
    <w:rsid w:val="00FC630E"/>
    <w:rsid w:val="00FC6643"/>
    <w:rsid w:val="00FC6906"/>
    <w:rsid w:val="00FC6CA7"/>
    <w:rsid w:val="00FC6FC7"/>
    <w:rsid w:val="00FC717E"/>
    <w:rsid w:val="00FC71B6"/>
    <w:rsid w:val="00FC7CC6"/>
    <w:rsid w:val="00FC7D1E"/>
    <w:rsid w:val="00FD0278"/>
    <w:rsid w:val="00FD0627"/>
    <w:rsid w:val="00FD0633"/>
    <w:rsid w:val="00FD09F8"/>
    <w:rsid w:val="00FD0C1E"/>
    <w:rsid w:val="00FD1092"/>
    <w:rsid w:val="00FD1254"/>
    <w:rsid w:val="00FD1B91"/>
    <w:rsid w:val="00FD1EF1"/>
    <w:rsid w:val="00FD1F85"/>
    <w:rsid w:val="00FD1FD0"/>
    <w:rsid w:val="00FD22F1"/>
    <w:rsid w:val="00FD2513"/>
    <w:rsid w:val="00FD2F42"/>
    <w:rsid w:val="00FD30E7"/>
    <w:rsid w:val="00FD329C"/>
    <w:rsid w:val="00FD3371"/>
    <w:rsid w:val="00FD36A8"/>
    <w:rsid w:val="00FD3AE1"/>
    <w:rsid w:val="00FD3C1D"/>
    <w:rsid w:val="00FD3E2E"/>
    <w:rsid w:val="00FD4337"/>
    <w:rsid w:val="00FD436F"/>
    <w:rsid w:val="00FD4446"/>
    <w:rsid w:val="00FD47E0"/>
    <w:rsid w:val="00FD4898"/>
    <w:rsid w:val="00FD4C5A"/>
    <w:rsid w:val="00FD4D79"/>
    <w:rsid w:val="00FD51D0"/>
    <w:rsid w:val="00FD5512"/>
    <w:rsid w:val="00FD557E"/>
    <w:rsid w:val="00FD5645"/>
    <w:rsid w:val="00FD61DE"/>
    <w:rsid w:val="00FD6465"/>
    <w:rsid w:val="00FD6D83"/>
    <w:rsid w:val="00FD7E62"/>
    <w:rsid w:val="00FD7E6B"/>
    <w:rsid w:val="00FE01D8"/>
    <w:rsid w:val="00FE034D"/>
    <w:rsid w:val="00FE058C"/>
    <w:rsid w:val="00FE0646"/>
    <w:rsid w:val="00FE09EC"/>
    <w:rsid w:val="00FE0D5E"/>
    <w:rsid w:val="00FE10E4"/>
    <w:rsid w:val="00FE16FB"/>
    <w:rsid w:val="00FE180A"/>
    <w:rsid w:val="00FE1D8F"/>
    <w:rsid w:val="00FE1FCC"/>
    <w:rsid w:val="00FE213D"/>
    <w:rsid w:val="00FE2279"/>
    <w:rsid w:val="00FE248E"/>
    <w:rsid w:val="00FE26C8"/>
    <w:rsid w:val="00FE2845"/>
    <w:rsid w:val="00FE28F7"/>
    <w:rsid w:val="00FE38FB"/>
    <w:rsid w:val="00FE3914"/>
    <w:rsid w:val="00FE4041"/>
    <w:rsid w:val="00FE413A"/>
    <w:rsid w:val="00FE4622"/>
    <w:rsid w:val="00FE4777"/>
    <w:rsid w:val="00FE5281"/>
    <w:rsid w:val="00FE5807"/>
    <w:rsid w:val="00FE5888"/>
    <w:rsid w:val="00FE595D"/>
    <w:rsid w:val="00FE5B95"/>
    <w:rsid w:val="00FE61AD"/>
    <w:rsid w:val="00FE6514"/>
    <w:rsid w:val="00FE66EE"/>
    <w:rsid w:val="00FE672C"/>
    <w:rsid w:val="00FE6CAC"/>
    <w:rsid w:val="00FE7435"/>
    <w:rsid w:val="00FE7703"/>
    <w:rsid w:val="00FE7AA6"/>
    <w:rsid w:val="00FF001A"/>
    <w:rsid w:val="00FF03E3"/>
    <w:rsid w:val="00FF080C"/>
    <w:rsid w:val="00FF08C3"/>
    <w:rsid w:val="00FF10DB"/>
    <w:rsid w:val="00FF16B6"/>
    <w:rsid w:val="00FF183A"/>
    <w:rsid w:val="00FF1AC8"/>
    <w:rsid w:val="00FF1C02"/>
    <w:rsid w:val="00FF1F13"/>
    <w:rsid w:val="00FF2FD6"/>
    <w:rsid w:val="00FF3122"/>
    <w:rsid w:val="00FF320D"/>
    <w:rsid w:val="00FF3DE0"/>
    <w:rsid w:val="00FF3FB7"/>
    <w:rsid w:val="00FF459E"/>
    <w:rsid w:val="00FF4AE2"/>
    <w:rsid w:val="00FF4AFC"/>
    <w:rsid w:val="00FF4B4E"/>
    <w:rsid w:val="00FF4DC8"/>
    <w:rsid w:val="00FF4EE1"/>
    <w:rsid w:val="00FF5039"/>
    <w:rsid w:val="00FF52D1"/>
    <w:rsid w:val="00FF53EC"/>
    <w:rsid w:val="00FF5C3C"/>
    <w:rsid w:val="00FF5CA3"/>
    <w:rsid w:val="00FF5F46"/>
    <w:rsid w:val="00FF623A"/>
    <w:rsid w:val="00FF6553"/>
    <w:rsid w:val="00FF6A7B"/>
    <w:rsid w:val="00FF6F1E"/>
    <w:rsid w:val="00FF7580"/>
    <w:rsid w:val="00FF7A9B"/>
    <w:rsid w:val="03C88929"/>
    <w:rsid w:val="0508FD6A"/>
    <w:rsid w:val="05A0CC20"/>
    <w:rsid w:val="0A1FE9B1"/>
    <w:rsid w:val="0AC67765"/>
    <w:rsid w:val="0AEE5C04"/>
    <w:rsid w:val="0E1D7328"/>
    <w:rsid w:val="1069B2FB"/>
    <w:rsid w:val="12601C99"/>
    <w:rsid w:val="128395F3"/>
    <w:rsid w:val="141139C5"/>
    <w:rsid w:val="14FBBB33"/>
    <w:rsid w:val="16AB1135"/>
    <w:rsid w:val="18556BC8"/>
    <w:rsid w:val="19DA3443"/>
    <w:rsid w:val="1B13CCA3"/>
    <w:rsid w:val="1D775E11"/>
    <w:rsid w:val="1F41D518"/>
    <w:rsid w:val="1FA2C91F"/>
    <w:rsid w:val="23CADD6D"/>
    <w:rsid w:val="23D4CCDF"/>
    <w:rsid w:val="249DB94A"/>
    <w:rsid w:val="26B2361E"/>
    <w:rsid w:val="2AD1EDA7"/>
    <w:rsid w:val="2CD03372"/>
    <w:rsid w:val="2DEFCF8F"/>
    <w:rsid w:val="3288F8D5"/>
    <w:rsid w:val="3603CB19"/>
    <w:rsid w:val="364883A4"/>
    <w:rsid w:val="368BF90A"/>
    <w:rsid w:val="36CABA89"/>
    <w:rsid w:val="37086341"/>
    <w:rsid w:val="38E4970A"/>
    <w:rsid w:val="3CC838E1"/>
    <w:rsid w:val="41DAB47C"/>
    <w:rsid w:val="42AE1D16"/>
    <w:rsid w:val="47F9BFAC"/>
    <w:rsid w:val="4936828A"/>
    <w:rsid w:val="49481C21"/>
    <w:rsid w:val="4A470D6D"/>
    <w:rsid w:val="4A912E60"/>
    <w:rsid w:val="4B38E1BF"/>
    <w:rsid w:val="4B6B65B4"/>
    <w:rsid w:val="4C343A4F"/>
    <w:rsid w:val="4EABB444"/>
    <w:rsid w:val="4EB2B7E4"/>
    <w:rsid w:val="4F423C40"/>
    <w:rsid w:val="4FD4D5C2"/>
    <w:rsid w:val="51947FF4"/>
    <w:rsid w:val="522E1960"/>
    <w:rsid w:val="57028DE7"/>
    <w:rsid w:val="589363A9"/>
    <w:rsid w:val="59A25FF3"/>
    <w:rsid w:val="614DC2C2"/>
    <w:rsid w:val="632C55FA"/>
    <w:rsid w:val="63D8E600"/>
    <w:rsid w:val="67D953D3"/>
    <w:rsid w:val="67F9D4AE"/>
    <w:rsid w:val="6B0C09AB"/>
    <w:rsid w:val="71821C2F"/>
    <w:rsid w:val="7217821A"/>
    <w:rsid w:val="72D90E92"/>
    <w:rsid w:val="73786B1C"/>
    <w:rsid w:val="73A9EB9D"/>
    <w:rsid w:val="7412FDDF"/>
    <w:rsid w:val="7443E9F3"/>
    <w:rsid w:val="75E6CE68"/>
    <w:rsid w:val="795B53EA"/>
    <w:rsid w:val="796A61F4"/>
    <w:rsid w:val="7FB85BE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0C7BF"/>
  <w14:discardImageEditingData/>
  <w15:docId w15:val="{D2367346-4CC7-4D7A-A42D-F6F12D83720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C42"/>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rsid w:val="003C541D"/>
    <w:pPr>
      <w:keepNext/>
      <w:spacing w:before="120" w:after="12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paragraph" w:customStyle="1" w:styleId="Default">
    <w:name w:val="Default"/>
    <w:rsid w:val="00787A63"/>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basedOn w:val="DefaultParagraphFont"/>
    <w:semiHidden/>
    <w:unhideWhenUsed/>
    <w:rsid w:val="008B446F"/>
    <w:rPr>
      <w:sz w:val="16"/>
      <w:szCs w:val="16"/>
    </w:rPr>
  </w:style>
  <w:style w:type="paragraph" w:styleId="CommentText">
    <w:name w:val="annotation text"/>
    <w:basedOn w:val="Normal"/>
    <w:link w:val="CommentTextChar"/>
    <w:unhideWhenUsed/>
    <w:rsid w:val="008B446F"/>
    <w:rPr>
      <w:sz w:val="20"/>
    </w:rPr>
  </w:style>
  <w:style w:type="character" w:customStyle="1" w:styleId="CommentTextChar">
    <w:name w:val="Comment Text Char"/>
    <w:basedOn w:val="DefaultParagraphFont"/>
    <w:link w:val="CommentText"/>
    <w:rsid w:val="008B446F"/>
    <w:rPr>
      <w:rFonts w:ascii="Palatino" w:hAnsi="Palatino"/>
    </w:rPr>
  </w:style>
  <w:style w:type="paragraph" w:styleId="CommentSubject">
    <w:name w:val="annotation subject"/>
    <w:basedOn w:val="CommentText"/>
    <w:next w:val="CommentText"/>
    <w:link w:val="CommentSubjectChar"/>
    <w:semiHidden/>
    <w:unhideWhenUsed/>
    <w:rsid w:val="008B446F"/>
    <w:rPr>
      <w:b/>
      <w:bCs/>
    </w:rPr>
  </w:style>
  <w:style w:type="character" w:customStyle="1" w:styleId="CommentSubjectChar">
    <w:name w:val="Comment Subject Char"/>
    <w:basedOn w:val="CommentTextChar"/>
    <w:link w:val="CommentSubject"/>
    <w:semiHidden/>
    <w:rsid w:val="008B446F"/>
    <w:rPr>
      <w:rFonts w:ascii="Palatino" w:hAnsi="Palatino"/>
      <w:b/>
      <w:bCs/>
    </w:rPr>
  </w:style>
  <w:style w:type="paragraph" w:styleId="Revision">
    <w:name w:val="Revision"/>
    <w:hidden/>
    <w:uiPriority w:val="99"/>
    <w:semiHidden/>
    <w:rsid w:val="007B2D9B"/>
    <w:rPr>
      <w:rFonts w:ascii="Palatino" w:hAnsi="Palatino"/>
      <w:sz w:val="26"/>
    </w:rPr>
  </w:style>
  <w:style w:type="table" w:styleId="TableGrid">
    <w:name w:val="Table Grid"/>
    <w:basedOn w:val="TableNormal"/>
    <w:uiPriority w:val="39"/>
    <w:rsid w:val="0005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48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4D5C"/>
    <w:rPr>
      <w:rFonts w:ascii="Palatino" w:hAnsi="Palatino"/>
      <w:sz w:val="26"/>
    </w:rPr>
  </w:style>
  <w:style w:type="character" w:styleId="FollowedHyperlink">
    <w:name w:val="FollowedHyperlink"/>
    <w:basedOn w:val="DefaultParagraphFont"/>
    <w:semiHidden/>
    <w:unhideWhenUsed/>
    <w:rsid w:val="00C36E70"/>
    <w:rPr>
      <w:color w:val="800080" w:themeColor="followedHyperlink"/>
      <w:u w:val="single"/>
    </w:rPr>
  </w:style>
  <w:style w:type="paragraph" w:customStyle="1" w:styleId="paragraph">
    <w:name w:val="paragraph"/>
    <w:basedOn w:val="Normal"/>
    <w:rsid w:val="000206E9"/>
    <w:rPr>
      <w:rFonts w:ascii="Times New Roman" w:hAnsi="Times New Roman"/>
      <w:sz w:val="24"/>
      <w:szCs w:val="24"/>
    </w:rPr>
  </w:style>
  <w:style w:type="character" w:customStyle="1" w:styleId="normaltextrun1">
    <w:name w:val="normaltextrun1"/>
    <w:basedOn w:val="DefaultParagraphFont"/>
    <w:rsid w:val="000206E9"/>
  </w:style>
  <w:style w:type="character" w:customStyle="1" w:styleId="eop">
    <w:name w:val="eop"/>
    <w:basedOn w:val="DefaultParagraphFont"/>
    <w:rsid w:val="000206E9"/>
  </w:style>
  <w:style w:type="paragraph" w:styleId="NormalWeb">
    <w:name w:val="Normal (Web)"/>
    <w:basedOn w:val="Normal"/>
    <w:uiPriority w:val="99"/>
    <w:semiHidden/>
    <w:unhideWhenUsed/>
    <w:rsid w:val="005B34B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F30B4"/>
  </w:style>
  <w:style w:type="paragraph" w:customStyle="1" w:styleId="TableParagraph">
    <w:name w:val="Table Paragraph"/>
    <w:basedOn w:val="Normal"/>
    <w:uiPriority w:val="1"/>
    <w:qFormat/>
    <w:rsid w:val="00E54E32"/>
    <w:pPr>
      <w:widowControl w:val="0"/>
      <w:autoSpaceDE w:val="0"/>
      <w:autoSpaceDN w:val="0"/>
      <w:spacing w:before="30" w:line="249" w:lineRule="exact"/>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69">
      <w:bodyDiv w:val="1"/>
      <w:marLeft w:val="0"/>
      <w:marRight w:val="0"/>
      <w:marTop w:val="0"/>
      <w:marBottom w:val="0"/>
      <w:divBdr>
        <w:top w:val="none" w:sz="0" w:space="0" w:color="auto"/>
        <w:left w:val="none" w:sz="0" w:space="0" w:color="auto"/>
        <w:bottom w:val="none" w:sz="0" w:space="0" w:color="auto"/>
        <w:right w:val="none" w:sz="0" w:space="0" w:color="auto"/>
      </w:divBdr>
    </w:div>
    <w:div w:id="26151244">
      <w:bodyDiv w:val="1"/>
      <w:marLeft w:val="0"/>
      <w:marRight w:val="0"/>
      <w:marTop w:val="0"/>
      <w:marBottom w:val="0"/>
      <w:divBdr>
        <w:top w:val="none" w:sz="0" w:space="0" w:color="auto"/>
        <w:left w:val="none" w:sz="0" w:space="0" w:color="auto"/>
        <w:bottom w:val="none" w:sz="0" w:space="0" w:color="auto"/>
        <w:right w:val="none" w:sz="0" w:space="0" w:color="auto"/>
      </w:divBdr>
    </w:div>
    <w:div w:id="29378724">
      <w:bodyDiv w:val="1"/>
      <w:marLeft w:val="0"/>
      <w:marRight w:val="0"/>
      <w:marTop w:val="0"/>
      <w:marBottom w:val="0"/>
      <w:divBdr>
        <w:top w:val="none" w:sz="0" w:space="0" w:color="auto"/>
        <w:left w:val="none" w:sz="0" w:space="0" w:color="auto"/>
        <w:bottom w:val="none" w:sz="0" w:space="0" w:color="auto"/>
        <w:right w:val="none" w:sz="0" w:space="0" w:color="auto"/>
      </w:divBdr>
    </w:div>
    <w:div w:id="34427120">
      <w:bodyDiv w:val="1"/>
      <w:marLeft w:val="0"/>
      <w:marRight w:val="0"/>
      <w:marTop w:val="0"/>
      <w:marBottom w:val="0"/>
      <w:divBdr>
        <w:top w:val="none" w:sz="0" w:space="0" w:color="auto"/>
        <w:left w:val="none" w:sz="0" w:space="0" w:color="auto"/>
        <w:bottom w:val="none" w:sz="0" w:space="0" w:color="auto"/>
        <w:right w:val="none" w:sz="0" w:space="0" w:color="auto"/>
      </w:divBdr>
    </w:div>
    <w:div w:id="45108127">
      <w:bodyDiv w:val="1"/>
      <w:marLeft w:val="0"/>
      <w:marRight w:val="0"/>
      <w:marTop w:val="0"/>
      <w:marBottom w:val="0"/>
      <w:divBdr>
        <w:top w:val="none" w:sz="0" w:space="0" w:color="auto"/>
        <w:left w:val="none" w:sz="0" w:space="0" w:color="auto"/>
        <w:bottom w:val="none" w:sz="0" w:space="0" w:color="auto"/>
        <w:right w:val="none" w:sz="0" w:space="0" w:color="auto"/>
      </w:divBdr>
    </w:div>
    <w:div w:id="121924302">
      <w:bodyDiv w:val="1"/>
      <w:marLeft w:val="0"/>
      <w:marRight w:val="0"/>
      <w:marTop w:val="0"/>
      <w:marBottom w:val="0"/>
      <w:divBdr>
        <w:top w:val="none" w:sz="0" w:space="0" w:color="auto"/>
        <w:left w:val="none" w:sz="0" w:space="0" w:color="auto"/>
        <w:bottom w:val="none" w:sz="0" w:space="0" w:color="auto"/>
        <w:right w:val="none" w:sz="0" w:space="0" w:color="auto"/>
      </w:divBdr>
    </w:div>
    <w:div w:id="196822828">
      <w:bodyDiv w:val="1"/>
      <w:marLeft w:val="0"/>
      <w:marRight w:val="0"/>
      <w:marTop w:val="0"/>
      <w:marBottom w:val="0"/>
      <w:divBdr>
        <w:top w:val="none" w:sz="0" w:space="0" w:color="auto"/>
        <w:left w:val="none" w:sz="0" w:space="0" w:color="auto"/>
        <w:bottom w:val="none" w:sz="0" w:space="0" w:color="auto"/>
        <w:right w:val="none" w:sz="0" w:space="0" w:color="auto"/>
      </w:divBdr>
    </w:div>
    <w:div w:id="269968191">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514686319">
      <w:bodyDiv w:val="1"/>
      <w:marLeft w:val="0"/>
      <w:marRight w:val="0"/>
      <w:marTop w:val="0"/>
      <w:marBottom w:val="0"/>
      <w:divBdr>
        <w:top w:val="none" w:sz="0" w:space="0" w:color="auto"/>
        <w:left w:val="none" w:sz="0" w:space="0" w:color="auto"/>
        <w:bottom w:val="none" w:sz="0" w:space="0" w:color="auto"/>
        <w:right w:val="none" w:sz="0" w:space="0" w:color="auto"/>
      </w:divBdr>
    </w:div>
    <w:div w:id="587271023">
      <w:bodyDiv w:val="1"/>
      <w:marLeft w:val="0"/>
      <w:marRight w:val="0"/>
      <w:marTop w:val="0"/>
      <w:marBottom w:val="0"/>
      <w:divBdr>
        <w:top w:val="none" w:sz="0" w:space="0" w:color="auto"/>
        <w:left w:val="none" w:sz="0" w:space="0" w:color="auto"/>
        <w:bottom w:val="none" w:sz="0" w:space="0" w:color="auto"/>
        <w:right w:val="none" w:sz="0" w:space="0" w:color="auto"/>
      </w:divBdr>
    </w:div>
    <w:div w:id="708531917">
      <w:bodyDiv w:val="1"/>
      <w:marLeft w:val="0"/>
      <w:marRight w:val="0"/>
      <w:marTop w:val="0"/>
      <w:marBottom w:val="0"/>
      <w:divBdr>
        <w:top w:val="none" w:sz="0" w:space="0" w:color="auto"/>
        <w:left w:val="none" w:sz="0" w:space="0" w:color="auto"/>
        <w:bottom w:val="none" w:sz="0" w:space="0" w:color="auto"/>
        <w:right w:val="none" w:sz="0" w:space="0" w:color="auto"/>
      </w:divBdr>
    </w:div>
    <w:div w:id="709257520">
      <w:bodyDiv w:val="1"/>
      <w:marLeft w:val="0"/>
      <w:marRight w:val="0"/>
      <w:marTop w:val="0"/>
      <w:marBottom w:val="0"/>
      <w:divBdr>
        <w:top w:val="none" w:sz="0" w:space="0" w:color="auto"/>
        <w:left w:val="none" w:sz="0" w:space="0" w:color="auto"/>
        <w:bottom w:val="none" w:sz="0" w:space="0" w:color="auto"/>
        <w:right w:val="none" w:sz="0" w:space="0" w:color="auto"/>
      </w:divBdr>
    </w:div>
    <w:div w:id="731581336">
      <w:bodyDiv w:val="1"/>
      <w:marLeft w:val="0"/>
      <w:marRight w:val="0"/>
      <w:marTop w:val="0"/>
      <w:marBottom w:val="0"/>
      <w:divBdr>
        <w:top w:val="none" w:sz="0" w:space="0" w:color="auto"/>
        <w:left w:val="none" w:sz="0" w:space="0" w:color="auto"/>
        <w:bottom w:val="none" w:sz="0" w:space="0" w:color="auto"/>
        <w:right w:val="none" w:sz="0" w:space="0" w:color="auto"/>
      </w:divBdr>
    </w:div>
    <w:div w:id="766730710">
      <w:bodyDiv w:val="1"/>
      <w:marLeft w:val="0"/>
      <w:marRight w:val="0"/>
      <w:marTop w:val="0"/>
      <w:marBottom w:val="0"/>
      <w:divBdr>
        <w:top w:val="none" w:sz="0" w:space="0" w:color="auto"/>
        <w:left w:val="none" w:sz="0" w:space="0" w:color="auto"/>
        <w:bottom w:val="none" w:sz="0" w:space="0" w:color="auto"/>
        <w:right w:val="none" w:sz="0" w:space="0" w:color="auto"/>
      </w:divBdr>
    </w:div>
    <w:div w:id="808668515">
      <w:bodyDiv w:val="1"/>
      <w:marLeft w:val="0"/>
      <w:marRight w:val="0"/>
      <w:marTop w:val="0"/>
      <w:marBottom w:val="0"/>
      <w:divBdr>
        <w:top w:val="none" w:sz="0" w:space="0" w:color="auto"/>
        <w:left w:val="none" w:sz="0" w:space="0" w:color="auto"/>
        <w:bottom w:val="none" w:sz="0" w:space="0" w:color="auto"/>
        <w:right w:val="none" w:sz="0" w:space="0" w:color="auto"/>
      </w:divBdr>
    </w:div>
    <w:div w:id="841354326">
      <w:bodyDiv w:val="1"/>
      <w:marLeft w:val="0"/>
      <w:marRight w:val="0"/>
      <w:marTop w:val="0"/>
      <w:marBottom w:val="0"/>
      <w:divBdr>
        <w:top w:val="none" w:sz="0" w:space="0" w:color="auto"/>
        <w:left w:val="none" w:sz="0" w:space="0" w:color="auto"/>
        <w:bottom w:val="none" w:sz="0" w:space="0" w:color="auto"/>
        <w:right w:val="none" w:sz="0" w:space="0" w:color="auto"/>
      </w:divBdr>
    </w:div>
    <w:div w:id="860510191">
      <w:bodyDiv w:val="1"/>
      <w:marLeft w:val="0"/>
      <w:marRight w:val="0"/>
      <w:marTop w:val="0"/>
      <w:marBottom w:val="0"/>
      <w:divBdr>
        <w:top w:val="none" w:sz="0" w:space="0" w:color="auto"/>
        <w:left w:val="none" w:sz="0" w:space="0" w:color="auto"/>
        <w:bottom w:val="none" w:sz="0" w:space="0" w:color="auto"/>
        <w:right w:val="none" w:sz="0" w:space="0" w:color="auto"/>
      </w:divBdr>
    </w:div>
    <w:div w:id="874005434">
      <w:bodyDiv w:val="1"/>
      <w:marLeft w:val="0"/>
      <w:marRight w:val="0"/>
      <w:marTop w:val="0"/>
      <w:marBottom w:val="0"/>
      <w:divBdr>
        <w:top w:val="none" w:sz="0" w:space="0" w:color="auto"/>
        <w:left w:val="none" w:sz="0" w:space="0" w:color="auto"/>
        <w:bottom w:val="none" w:sz="0" w:space="0" w:color="auto"/>
        <w:right w:val="none" w:sz="0" w:space="0" w:color="auto"/>
      </w:divBdr>
    </w:div>
    <w:div w:id="879784756">
      <w:bodyDiv w:val="1"/>
      <w:marLeft w:val="0"/>
      <w:marRight w:val="0"/>
      <w:marTop w:val="0"/>
      <w:marBottom w:val="0"/>
      <w:divBdr>
        <w:top w:val="none" w:sz="0" w:space="0" w:color="auto"/>
        <w:left w:val="none" w:sz="0" w:space="0" w:color="auto"/>
        <w:bottom w:val="none" w:sz="0" w:space="0" w:color="auto"/>
        <w:right w:val="none" w:sz="0" w:space="0" w:color="auto"/>
      </w:divBdr>
    </w:div>
    <w:div w:id="909315371">
      <w:bodyDiv w:val="1"/>
      <w:marLeft w:val="0"/>
      <w:marRight w:val="0"/>
      <w:marTop w:val="0"/>
      <w:marBottom w:val="0"/>
      <w:divBdr>
        <w:top w:val="none" w:sz="0" w:space="0" w:color="auto"/>
        <w:left w:val="none" w:sz="0" w:space="0" w:color="auto"/>
        <w:bottom w:val="none" w:sz="0" w:space="0" w:color="auto"/>
        <w:right w:val="none" w:sz="0" w:space="0" w:color="auto"/>
      </w:divBdr>
    </w:div>
    <w:div w:id="971206472">
      <w:bodyDiv w:val="1"/>
      <w:marLeft w:val="0"/>
      <w:marRight w:val="0"/>
      <w:marTop w:val="0"/>
      <w:marBottom w:val="0"/>
      <w:divBdr>
        <w:top w:val="none" w:sz="0" w:space="0" w:color="auto"/>
        <w:left w:val="none" w:sz="0" w:space="0" w:color="auto"/>
        <w:bottom w:val="none" w:sz="0" w:space="0" w:color="auto"/>
        <w:right w:val="none" w:sz="0" w:space="0" w:color="auto"/>
      </w:divBdr>
    </w:div>
    <w:div w:id="985206464">
      <w:bodyDiv w:val="1"/>
      <w:marLeft w:val="0"/>
      <w:marRight w:val="0"/>
      <w:marTop w:val="0"/>
      <w:marBottom w:val="0"/>
      <w:divBdr>
        <w:top w:val="none" w:sz="0" w:space="0" w:color="auto"/>
        <w:left w:val="none" w:sz="0" w:space="0" w:color="auto"/>
        <w:bottom w:val="none" w:sz="0" w:space="0" w:color="auto"/>
        <w:right w:val="none" w:sz="0" w:space="0" w:color="auto"/>
      </w:divBdr>
      <w:divsChild>
        <w:div w:id="208227862">
          <w:marLeft w:val="210"/>
          <w:marRight w:val="0"/>
          <w:marTop w:val="120"/>
          <w:marBottom w:val="0"/>
          <w:divBdr>
            <w:top w:val="none" w:sz="0" w:space="0" w:color="auto"/>
            <w:left w:val="none" w:sz="0" w:space="0" w:color="auto"/>
            <w:bottom w:val="none" w:sz="0" w:space="0" w:color="auto"/>
            <w:right w:val="none" w:sz="0" w:space="0" w:color="auto"/>
          </w:divBdr>
          <w:divsChild>
            <w:div w:id="1412968008">
              <w:marLeft w:val="0"/>
              <w:marRight w:val="0"/>
              <w:marTop w:val="0"/>
              <w:marBottom w:val="0"/>
              <w:divBdr>
                <w:top w:val="none" w:sz="0" w:space="0" w:color="auto"/>
                <w:left w:val="none" w:sz="0" w:space="0" w:color="auto"/>
                <w:bottom w:val="none" w:sz="0" w:space="0" w:color="auto"/>
                <w:right w:val="none" w:sz="0" w:space="0" w:color="auto"/>
              </w:divBdr>
              <w:divsChild>
                <w:div w:id="157636039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719015924">
          <w:marLeft w:val="0"/>
          <w:marRight w:val="0"/>
          <w:marTop w:val="0"/>
          <w:marBottom w:val="0"/>
          <w:divBdr>
            <w:top w:val="none" w:sz="0" w:space="0" w:color="auto"/>
            <w:left w:val="none" w:sz="0" w:space="0" w:color="auto"/>
            <w:bottom w:val="none" w:sz="0" w:space="0" w:color="auto"/>
            <w:right w:val="none" w:sz="0" w:space="0" w:color="auto"/>
          </w:divBdr>
          <w:divsChild>
            <w:div w:id="2104838041">
              <w:marLeft w:val="0"/>
              <w:marRight w:val="0"/>
              <w:marTop w:val="0"/>
              <w:marBottom w:val="0"/>
              <w:divBdr>
                <w:top w:val="none" w:sz="0" w:space="0" w:color="auto"/>
                <w:left w:val="none" w:sz="0" w:space="0" w:color="auto"/>
                <w:bottom w:val="none" w:sz="0" w:space="0" w:color="auto"/>
                <w:right w:val="none" w:sz="0" w:space="0" w:color="auto"/>
              </w:divBdr>
              <w:divsChild>
                <w:div w:id="73207562">
                  <w:marLeft w:val="0"/>
                  <w:marRight w:val="0"/>
                  <w:marTop w:val="0"/>
                  <w:marBottom w:val="0"/>
                  <w:divBdr>
                    <w:top w:val="none" w:sz="0" w:space="0" w:color="auto"/>
                    <w:left w:val="none" w:sz="0" w:space="0" w:color="auto"/>
                    <w:bottom w:val="none" w:sz="0" w:space="0" w:color="auto"/>
                    <w:right w:val="none" w:sz="0" w:space="0" w:color="auto"/>
                  </w:divBdr>
                  <w:divsChild>
                    <w:div w:id="1859657093">
                      <w:marLeft w:val="210"/>
                      <w:marRight w:val="210"/>
                      <w:marTop w:val="0"/>
                      <w:marBottom w:val="0"/>
                      <w:divBdr>
                        <w:top w:val="none" w:sz="0" w:space="0" w:color="auto"/>
                        <w:left w:val="none" w:sz="0" w:space="0" w:color="auto"/>
                        <w:bottom w:val="none" w:sz="0" w:space="0" w:color="auto"/>
                        <w:right w:val="none" w:sz="0" w:space="0" w:color="auto"/>
                      </w:divBdr>
                      <w:divsChild>
                        <w:div w:id="458456442">
                          <w:marLeft w:val="0"/>
                          <w:marRight w:val="30"/>
                          <w:marTop w:val="0"/>
                          <w:marBottom w:val="0"/>
                          <w:divBdr>
                            <w:top w:val="none" w:sz="0" w:space="0" w:color="auto"/>
                            <w:left w:val="none" w:sz="0" w:space="0" w:color="auto"/>
                            <w:bottom w:val="none" w:sz="0" w:space="0" w:color="auto"/>
                            <w:right w:val="none" w:sz="0" w:space="0" w:color="auto"/>
                          </w:divBdr>
                          <w:divsChild>
                            <w:div w:id="740755651">
                              <w:marLeft w:val="0"/>
                              <w:marRight w:val="0"/>
                              <w:marTop w:val="0"/>
                              <w:marBottom w:val="0"/>
                              <w:divBdr>
                                <w:top w:val="none" w:sz="0" w:space="0" w:color="auto"/>
                                <w:left w:val="none" w:sz="0" w:space="0" w:color="auto"/>
                                <w:bottom w:val="none" w:sz="0" w:space="0" w:color="auto"/>
                                <w:right w:val="none" w:sz="0" w:space="0" w:color="auto"/>
                              </w:divBdr>
                              <w:divsChild>
                                <w:div w:id="144514281">
                                  <w:marLeft w:val="0"/>
                                  <w:marRight w:val="0"/>
                                  <w:marTop w:val="0"/>
                                  <w:marBottom w:val="0"/>
                                  <w:divBdr>
                                    <w:top w:val="none" w:sz="0" w:space="0" w:color="auto"/>
                                    <w:left w:val="none" w:sz="0" w:space="0" w:color="auto"/>
                                    <w:bottom w:val="none" w:sz="0" w:space="0" w:color="auto"/>
                                    <w:right w:val="none" w:sz="0" w:space="0" w:color="auto"/>
                                  </w:divBdr>
                                  <w:divsChild>
                                    <w:div w:id="846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48645588">
      <w:bodyDiv w:val="1"/>
      <w:marLeft w:val="0"/>
      <w:marRight w:val="0"/>
      <w:marTop w:val="0"/>
      <w:marBottom w:val="0"/>
      <w:divBdr>
        <w:top w:val="none" w:sz="0" w:space="0" w:color="auto"/>
        <w:left w:val="none" w:sz="0" w:space="0" w:color="auto"/>
        <w:bottom w:val="none" w:sz="0" w:space="0" w:color="auto"/>
        <w:right w:val="none" w:sz="0" w:space="0" w:color="auto"/>
      </w:divBdr>
    </w:div>
    <w:div w:id="1083794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1937">
          <w:marLeft w:val="210"/>
          <w:marRight w:val="0"/>
          <w:marTop w:val="120"/>
          <w:marBottom w:val="0"/>
          <w:divBdr>
            <w:top w:val="none" w:sz="0" w:space="0" w:color="auto"/>
            <w:left w:val="none" w:sz="0" w:space="0" w:color="auto"/>
            <w:bottom w:val="none" w:sz="0" w:space="0" w:color="auto"/>
            <w:right w:val="none" w:sz="0" w:space="0" w:color="auto"/>
          </w:divBdr>
          <w:divsChild>
            <w:div w:id="425079630">
              <w:marLeft w:val="0"/>
              <w:marRight w:val="0"/>
              <w:marTop w:val="0"/>
              <w:marBottom w:val="0"/>
              <w:divBdr>
                <w:top w:val="none" w:sz="0" w:space="0" w:color="auto"/>
                <w:left w:val="none" w:sz="0" w:space="0" w:color="auto"/>
                <w:bottom w:val="none" w:sz="0" w:space="0" w:color="auto"/>
                <w:right w:val="none" w:sz="0" w:space="0" w:color="auto"/>
              </w:divBdr>
              <w:divsChild>
                <w:div w:id="2248288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480029444">
          <w:marLeft w:val="0"/>
          <w:marRight w:val="0"/>
          <w:marTop w:val="0"/>
          <w:marBottom w:val="0"/>
          <w:divBdr>
            <w:top w:val="none" w:sz="0" w:space="0" w:color="auto"/>
            <w:left w:val="none" w:sz="0" w:space="0" w:color="auto"/>
            <w:bottom w:val="none" w:sz="0" w:space="0" w:color="auto"/>
            <w:right w:val="none" w:sz="0" w:space="0" w:color="auto"/>
          </w:divBdr>
          <w:divsChild>
            <w:div w:id="1703897878">
              <w:marLeft w:val="0"/>
              <w:marRight w:val="0"/>
              <w:marTop w:val="0"/>
              <w:marBottom w:val="0"/>
              <w:divBdr>
                <w:top w:val="none" w:sz="0" w:space="0" w:color="auto"/>
                <w:left w:val="none" w:sz="0" w:space="0" w:color="auto"/>
                <w:bottom w:val="none" w:sz="0" w:space="0" w:color="auto"/>
                <w:right w:val="none" w:sz="0" w:space="0" w:color="auto"/>
              </w:divBdr>
              <w:divsChild>
                <w:div w:id="1712682719">
                  <w:marLeft w:val="0"/>
                  <w:marRight w:val="0"/>
                  <w:marTop w:val="0"/>
                  <w:marBottom w:val="0"/>
                  <w:divBdr>
                    <w:top w:val="none" w:sz="0" w:space="0" w:color="auto"/>
                    <w:left w:val="none" w:sz="0" w:space="0" w:color="auto"/>
                    <w:bottom w:val="none" w:sz="0" w:space="0" w:color="auto"/>
                    <w:right w:val="none" w:sz="0" w:space="0" w:color="auto"/>
                  </w:divBdr>
                  <w:divsChild>
                    <w:div w:id="1599941681">
                      <w:marLeft w:val="210"/>
                      <w:marRight w:val="210"/>
                      <w:marTop w:val="0"/>
                      <w:marBottom w:val="0"/>
                      <w:divBdr>
                        <w:top w:val="none" w:sz="0" w:space="0" w:color="auto"/>
                        <w:left w:val="none" w:sz="0" w:space="0" w:color="auto"/>
                        <w:bottom w:val="none" w:sz="0" w:space="0" w:color="auto"/>
                        <w:right w:val="none" w:sz="0" w:space="0" w:color="auto"/>
                      </w:divBdr>
                      <w:divsChild>
                        <w:div w:id="1470711415">
                          <w:marLeft w:val="0"/>
                          <w:marRight w:val="30"/>
                          <w:marTop w:val="0"/>
                          <w:marBottom w:val="0"/>
                          <w:divBdr>
                            <w:top w:val="none" w:sz="0" w:space="0" w:color="auto"/>
                            <w:left w:val="none" w:sz="0" w:space="0" w:color="auto"/>
                            <w:bottom w:val="none" w:sz="0" w:space="0" w:color="auto"/>
                            <w:right w:val="none" w:sz="0" w:space="0" w:color="auto"/>
                          </w:divBdr>
                          <w:divsChild>
                            <w:div w:id="456023702">
                              <w:marLeft w:val="0"/>
                              <w:marRight w:val="0"/>
                              <w:marTop w:val="0"/>
                              <w:marBottom w:val="0"/>
                              <w:divBdr>
                                <w:top w:val="none" w:sz="0" w:space="0" w:color="auto"/>
                                <w:left w:val="none" w:sz="0" w:space="0" w:color="auto"/>
                                <w:bottom w:val="none" w:sz="0" w:space="0" w:color="auto"/>
                                <w:right w:val="none" w:sz="0" w:space="0" w:color="auto"/>
                              </w:divBdr>
                              <w:divsChild>
                                <w:div w:id="547766464">
                                  <w:marLeft w:val="0"/>
                                  <w:marRight w:val="0"/>
                                  <w:marTop w:val="0"/>
                                  <w:marBottom w:val="0"/>
                                  <w:divBdr>
                                    <w:top w:val="none" w:sz="0" w:space="0" w:color="auto"/>
                                    <w:left w:val="none" w:sz="0" w:space="0" w:color="auto"/>
                                    <w:bottom w:val="none" w:sz="0" w:space="0" w:color="auto"/>
                                    <w:right w:val="none" w:sz="0" w:space="0" w:color="auto"/>
                                  </w:divBdr>
                                  <w:divsChild>
                                    <w:div w:id="1642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96232">
          <w:marLeft w:val="0"/>
          <w:marRight w:val="0"/>
          <w:marTop w:val="0"/>
          <w:marBottom w:val="0"/>
          <w:divBdr>
            <w:top w:val="none" w:sz="0" w:space="0" w:color="auto"/>
            <w:left w:val="none" w:sz="0" w:space="0" w:color="auto"/>
            <w:bottom w:val="none" w:sz="0" w:space="0" w:color="auto"/>
            <w:right w:val="none" w:sz="0" w:space="0" w:color="auto"/>
          </w:divBdr>
          <w:divsChild>
            <w:div w:id="1662655403">
              <w:marLeft w:val="75"/>
              <w:marRight w:val="0"/>
              <w:marTop w:val="0"/>
              <w:marBottom w:val="0"/>
              <w:divBdr>
                <w:top w:val="none" w:sz="0" w:space="0" w:color="auto"/>
                <w:left w:val="none" w:sz="0" w:space="0" w:color="auto"/>
                <w:bottom w:val="none" w:sz="0" w:space="0" w:color="auto"/>
                <w:right w:val="none" w:sz="0" w:space="0" w:color="auto"/>
              </w:divBdr>
              <w:divsChild>
                <w:div w:id="1026977332">
                  <w:marLeft w:val="0"/>
                  <w:marRight w:val="0"/>
                  <w:marTop w:val="0"/>
                  <w:marBottom w:val="0"/>
                  <w:divBdr>
                    <w:top w:val="none" w:sz="0" w:space="0" w:color="auto"/>
                    <w:left w:val="none" w:sz="0" w:space="0" w:color="auto"/>
                    <w:bottom w:val="none" w:sz="0" w:space="0" w:color="auto"/>
                    <w:right w:val="none" w:sz="0" w:space="0" w:color="auto"/>
                  </w:divBdr>
                  <w:divsChild>
                    <w:div w:id="729771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763549">
      <w:bodyDiv w:val="1"/>
      <w:marLeft w:val="0"/>
      <w:marRight w:val="0"/>
      <w:marTop w:val="0"/>
      <w:marBottom w:val="0"/>
      <w:divBdr>
        <w:top w:val="none" w:sz="0" w:space="0" w:color="auto"/>
        <w:left w:val="none" w:sz="0" w:space="0" w:color="auto"/>
        <w:bottom w:val="none" w:sz="0" w:space="0" w:color="auto"/>
        <w:right w:val="none" w:sz="0" w:space="0" w:color="auto"/>
      </w:divBdr>
    </w:div>
    <w:div w:id="1182545886">
      <w:bodyDiv w:val="1"/>
      <w:marLeft w:val="0"/>
      <w:marRight w:val="0"/>
      <w:marTop w:val="0"/>
      <w:marBottom w:val="0"/>
      <w:divBdr>
        <w:top w:val="none" w:sz="0" w:space="0" w:color="auto"/>
        <w:left w:val="none" w:sz="0" w:space="0" w:color="auto"/>
        <w:bottom w:val="none" w:sz="0" w:space="0" w:color="auto"/>
        <w:right w:val="none" w:sz="0" w:space="0" w:color="auto"/>
      </w:divBdr>
      <w:divsChild>
        <w:div w:id="202834280">
          <w:marLeft w:val="210"/>
          <w:marRight w:val="0"/>
          <w:marTop w:val="120"/>
          <w:marBottom w:val="0"/>
          <w:divBdr>
            <w:top w:val="none" w:sz="0" w:space="0" w:color="auto"/>
            <w:left w:val="none" w:sz="0" w:space="0" w:color="auto"/>
            <w:bottom w:val="none" w:sz="0" w:space="0" w:color="auto"/>
            <w:right w:val="none" w:sz="0" w:space="0" w:color="auto"/>
          </w:divBdr>
          <w:divsChild>
            <w:div w:id="1526288540">
              <w:marLeft w:val="0"/>
              <w:marRight w:val="0"/>
              <w:marTop w:val="0"/>
              <w:marBottom w:val="0"/>
              <w:divBdr>
                <w:top w:val="none" w:sz="0" w:space="0" w:color="auto"/>
                <w:left w:val="none" w:sz="0" w:space="0" w:color="auto"/>
                <w:bottom w:val="none" w:sz="0" w:space="0" w:color="auto"/>
                <w:right w:val="none" w:sz="0" w:space="0" w:color="auto"/>
              </w:divBdr>
              <w:divsChild>
                <w:div w:id="131930652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865022724">
          <w:marLeft w:val="0"/>
          <w:marRight w:val="0"/>
          <w:marTop w:val="0"/>
          <w:marBottom w:val="0"/>
          <w:divBdr>
            <w:top w:val="none" w:sz="0" w:space="0" w:color="auto"/>
            <w:left w:val="none" w:sz="0" w:space="0" w:color="auto"/>
            <w:bottom w:val="none" w:sz="0" w:space="0" w:color="auto"/>
            <w:right w:val="none" w:sz="0" w:space="0" w:color="auto"/>
          </w:divBdr>
          <w:divsChild>
            <w:div w:id="1488278488">
              <w:marLeft w:val="0"/>
              <w:marRight w:val="0"/>
              <w:marTop w:val="0"/>
              <w:marBottom w:val="0"/>
              <w:divBdr>
                <w:top w:val="none" w:sz="0" w:space="0" w:color="auto"/>
                <w:left w:val="none" w:sz="0" w:space="0" w:color="auto"/>
                <w:bottom w:val="none" w:sz="0" w:space="0" w:color="auto"/>
                <w:right w:val="none" w:sz="0" w:space="0" w:color="auto"/>
              </w:divBdr>
              <w:divsChild>
                <w:div w:id="869534987">
                  <w:marLeft w:val="0"/>
                  <w:marRight w:val="0"/>
                  <w:marTop w:val="0"/>
                  <w:marBottom w:val="0"/>
                  <w:divBdr>
                    <w:top w:val="none" w:sz="0" w:space="0" w:color="auto"/>
                    <w:left w:val="none" w:sz="0" w:space="0" w:color="auto"/>
                    <w:bottom w:val="none" w:sz="0" w:space="0" w:color="auto"/>
                    <w:right w:val="none" w:sz="0" w:space="0" w:color="auto"/>
                  </w:divBdr>
                  <w:divsChild>
                    <w:div w:id="976570144">
                      <w:marLeft w:val="210"/>
                      <w:marRight w:val="210"/>
                      <w:marTop w:val="0"/>
                      <w:marBottom w:val="0"/>
                      <w:divBdr>
                        <w:top w:val="none" w:sz="0" w:space="0" w:color="auto"/>
                        <w:left w:val="none" w:sz="0" w:space="0" w:color="auto"/>
                        <w:bottom w:val="none" w:sz="0" w:space="0" w:color="auto"/>
                        <w:right w:val="none" w:sz="0" w:space="0" w:color="auto"/>
                      </w:divBdr>
                      <w:divsChild>
                        <w:div w:id="1959139638">
                          <w:marLeft w:val="0"/>
                          <w:marRight w:val="30"/>
                          <w:marTop w:val="0"/>
                          <w:marBottom w:val="0"/>
                          <w:divBdr>
                            <w:top w:val="none" w:sz="0" w:space="0" w:color="auto"/>
                            <w:left w:val="none" w:sz="0" w:space="0" w:color="auto"/>
                            <w:bottom w:val="none" w:sz="0" w:space="0" w:color="auto"/>
                            <w:right w:val="none" w:sz="0" w:space="0" w:color="auto"/>
                          </w:divBdr>
                          <w:divsChild>
                            <w:div w:id="1930001790">
                              <w:marLeft w:val="0"/>
                              <w:marRight w:val="0"/>
                              <w:marTop w:val="0"/>
                              <w:marBottom w:val="0"/>
                              <w:divBdr>
                                <w:top w:val="none" w:sz="0" w:space="0" w:color="auto"/>
                                <w:left w:val="none" w:sz="0" w:space="0" w:color="auto"/>
                                <w:bottom w:val="none" w:sz="0" w:space="0" w:color="auto"/>
                                <w:right w:val="none" w:sz="0" w:space="0" w:color="auto"/>
                              </w:divBdr>
                              <w:divsChild>
                                <w:div w:id="1304501189">
                                  <w:marLeft w:val="0"/>
                                  <w:marRight w:val="0"/>
                                  <w:marTop w:val="0"/>
                                  <w:marBottom w:val="0"/>
                                  <w:divBdr>
                                    <w:top w:val="none" w:sz="0" w:space="0" w:color="auto"/>
                                    <w:left w:val="none" w:sz="0" w:space="0" w:color="auto"/>
                                    <w:bottom w:val="none" w:sz="0" w:space="0" w:color="auto"/>
                                    <w:right w:val="none" w:sz="0" w:space="0" w:color="auto"/>
                                  </w:divBdr>
                                  <w:divsChild>
                                    <w:div w:id="20027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33740">
      <w:bodyDiv w:val="1"/>
      <w:marLeft w:val="0"/>
      <w:marRight w:val="0"/>
      <w:marTop w:val="0"/>
      <w:marBottom w:val="0"/>
      <w:divBdr>
        <w:top w:val="none" w:sz="0" w:space="0" w:color="auto"/>
        <w:left w:val="none" w:sz="0" w:space="0" w:color="auto"/>
        <w:bottom w:val="none" w:sz="0" w:space="0" w:color="auto"/>
        <w:right w:val="none" w:sz="0" w:space="0" w:color="auto"/>
      </w:divBdr>
      <w:divsChild>
        <w:div w:id="718865190">
          <w:marLeft w:val="0"/>
          <w:marRight w:val="0"/>
          <w:marTop w:val="0"/>
          <w:marBottom w:val="0"/>
          <w:divBdr>
            <w:top w:val="none" w:sz="0" w:space="0" w:color="auto"/>
            <w:left w:val="none" w:sz="0" w:space="0" w:color="auto"/>
            <w:bottom w:val="none" w:sz="0" w:space="0" w:color="auto"/>
            <w:right w:val="none" w:sz="0" w:space="0" w:color="auto"/>
          </w:divBdr>
          <w:divsChild>
            <w:div w:id="544832759">
              <w:marLeft w:val="0"/>
              <w:marRight w:val="0"/>
              <w:marTop w:val="0"/>
              <w:marBottom w:val="0"/>
              <w:divBdr>
                <w:top w:val="none" w:sz="0" w:space="0" w:color="auto"/>
                <w:left w:val="none" w:sz="0" w:space="0" w:color="auto"/>
                <w:bottom w:val="none" w:sz="0" w:space="0" w:color="auto"/>
                <w:right w:val="none" w:sz="0" w:space="0" w:color="auto"/>
              </w:divBdr>
              <w:divsChild>
                <w:div w:id="1569998820">
                  <w:marLeft w:val="0"/>
                  <w:marRight w:val="0"/>
                  <w:marTop w:val="0"/>
                  <w:marBottom w:val="0"/>
                  <w:divBdr>
                    <w:top w:val="none" w:sz="0" w:space="0" w:color="auto"/>
                    <w:left w:val="none" w:sz="0" w:space="0" w:color="auto"/>
                    <w:bottom w:val="none" w:sz="0" w:space="0" w:color="auto"/>
                    <w:right w:val="none" w:sz="0" w:space="0" w:color="auto"/>
                  </w:divBdr>
                  <w:divsChild>
                    <w:div w:id="1258179018">
                      <w:marLeft w:val="0"/>
                      <w:marRight w:val="0"/>
                      <w:marTop w:val="0"/>
                      <w:marBottom w:val="0"/>
                      <w:divBdr>
                        <w:top w:val="none" w:sz="0" w:space="0" w:color="auto"/>
                        <w:left w:val="none" w:sz="0" w:space="0" w:color="auto"/>
                        <w:bottom w:val="none" w:sz="0" w:space="0" w:color="auto"/>
                        <w:right w:val="none" w:sz="0" w:space="0" w:color="auto"/>
                      </w:divBdr>
                      <w:divsChild>
                        <w:div w:id="1810972158">
                          <w:marLeft w:val="0"/>
                          <w:marRight w:val="0"/>
                          <w:marTop w:val="0"/>
                          <w:marBottom w:val="0"/>
                          <w:divBdr>
                            <w:top w:val="none" w:sz="0" w:space="0" w:color="auto"/>
                            <w:left w:val="none" w:sz="0" w:space="0" w:color="auto"/>
                            <w:bottom w:val="none" w:sz="0" w:space="0" w:color="auto"/>
                            <w:right w:val="none" w:sz="0" w:space="0" w:color="auto"/>
                          </w:divBdr>
                          <w:divsChild>
                            <w:div w:id="1327629765">
                              <w:marLeft w:val="0"/>
                              <w:marRight w:val="0"/>
                              <w:marTop w:val="0"/>
                              <w:marBottom w:val="0"/>
                              <w:divBdr>
                                <w:top w:val="none" w:sz="0" w:space="0" w:color="auto"/>
                                <w:left w:val="none" w:sz="0" w:space="0" w:color="auto"/>
                                <w:bottom w:val="none" w:sz="0" w:space="0" w:color="auto"/>
                                <w:right w:val="none" w:sz="0" w:space="0" w:color="auto"/>
                              </w:divBdr>
                              <w:divsChild>
                                <w:div w:id="1829785734">
                                  <w:marLeft w:val="0"/>
                                  <w:marRight w:val="0"/>
                                  <w:marTop w:val="0"/>
                                  <w:marBottom w:val="0"/>
                                  <w:divBdr>
                                    <w:top w:val="none" w:sz="0" w:space="0" w:color="auto"/>
                                    <w:left w:val="none" w:sz="0" w:space="0" w:color="auto"/>
                                    <w:bottom w:val="none" w:sz="0" w:space="0" w:color="auto"/>
                                    <w:right w:val="none" w:sz="0" w:space="0" w:color="auto"/>
                                  </w:divBdr>
                                  <w:divsChild>
                                    <w:div w:id="1035422271">
                                      <w:marLeft w:val="0"/>
                                      <w:marRight w:val="0"/>
                                      <w:marTop w:val="0"/>
                                      <w:marBottom w:val="0"/>
                                      <w:divBdr>
                                        <w:top w:val="none" w:sz="0" w:space="0" w:color="auto"/>
                                        <w:left w:val="none" w:sz="0" w:space="0" w:color="auto"/>
                                        <w:bottom w:val="none" w:sz="0" w:space="0" w:color="auto"/>
                                        <w:right w:val="none" w:sz="0" w:space="0" w:color="auto"/>
                                      </w:divBdr>
                                      <w:divsChild>
                                        <w:div w:id="1957592835">
                                          <w:marLeft w:val="0"/>
                                          <w:marRight w:val="0"/>
                                          <w:marTop w:val="0"/>
                                          <w:marBottom w:val="0"/>
                                          <w:divBdr>
                                            <w:top w:val="none" w:sz="0" w:space="0" w:color="auto"/>
                                            <w:left w:val="none" w:sz="0" w:space="0" w:color="auto"/>
                                            <w:bottom w:val="none" w:sz="0" w:space="0" w:color="auto"/>
                                            <w:right w:val="none" w:sz="0" w:space="0" w:color="auto"/>
                                          </w:divBdr>
                                          <w:divsChild>
                                            <w:div w:id="1914774807">
                                              <w:marLeft w:val="0"/>
                                              <w:marRight w:val="0"/>
                                              <w:marTop w:val="0"/>
                                              <w:marBottom w:val="0"/>
                                              <w:divBdr>
                                                <w:top w:val="none" w:sz="0" w:space="0" w:color="auto"/>
                                                <w:left w:val="none" w:sz="0" w:space="0" w:color="auto"/>
                                                <w:bottom w:val="none" w:sz="0" w:space="0" w:color="auto"/>
                                                <w:right w:val="none" w:sz="0" w:space="0" w:color="auto"/>
                                              </w:divBdr>
                                              <w:divsChild>
                                                <w:div w:id="1371606200">
                                                  <w:marLeft w:val="0"/>
                                                  <w:marRight w:val="0"/>
                                                  <w:marTop w:val="0"/>
                                                  <w:marBottom w:val="795"/>
                                                  <w:divBdr>
                                                    <w:top w:val="none" w:sz="0" w:space="0" w:color="auto"/>
                                                    <w:left w:val="none" w:sz="0" w:space="0" w:color="auto"/>
                                                    <w:bottom w:val="none" w:sz="0" w:space="0" w:color="auto"/>
                                                    <w:right w:val="none" w:sz="0" w:space="0" w:color="auto"/>
                                                  </w:divBdr>
                                                  <w:divsChild>
                                                    <w:div w:id="1707170517">
                                                      <w:marLeft w:val="0"/>
                                                      <w:marRight w:val="0"/>
                                                      <w:marTop w:val="0"/>
                                                      <w:marBottom w:val="0"/>
                                                      <w:divBdr>
                                                        <w:top w:val="none" w:sz="0" w:space="0" w:color="auto"/>
                                                        <w:left w:val="none" w:sz="0" w:space="0" w:color="auto"/>
                                                        <w:bottom w:val="none" w:sz="0" w:space="0" w:color="auto"/>
                                                        <w:right w:val="none" w:sz="0" w:space="0" w:color="auto"/>
                                                      </w:divBdr>
                                                      <w:divsChild>
                                                        <w:div w:id="843861807">
                                                          <w:marLeft w:val="0"/>
                                                          <w:marRight w:val="0"/>
                                                          <w:marTop w:val="0"/>
                                                          <w:marBottom w:val="0"/>
                                                          <w:divBdr>
                                                            <w:top w:val="single" w:sz="6" w:space="0" w:color="ABABAB"/>
                                                            <w:left w:val="single" w:sz="6" w:space="0" w:color="ABABAB"/>
                                                            <w:bottom w:val="none" w:sz="0" w:space="0" w:color="auto"/>
                                                            <w:right w:val="single" w:sz="6" w:space="0" w:color="ABABAB"/>
                                                          </w:divBdr>
                                                          <w:divsChild>
                                                            <w:div w:id="575945156">
                                                              <w:marLeft w:val="0"/>
                                                              <w:marRight w:val="0"/>
                                                              <w:marTop w:val="0"/>
                                                              <w:marBottom w:val="0"/>
                                                              <w:divBdr>
                                                                <w:top w:val="none" w:sz="0" w:space="0" w:color="auto"/>
                                                                <w:left w:val="none" w:sz="0" w:space="0" w:color="auto"/>
                                                                <w:bottom w:val="none" w:sz="0" w:space="0" w:color="auto"/>
                                                                <w:right w:val="none" w:sz="0" w:space="0" w:color="auto"/>
                                                              </w:divBdr>
                                                              <w:divsChild>
                                                                <w:div w:id="1347898714">
                                                                  <w:marLeft w:val="0"/>
                                                                  <w:marRight w:val="0"/>
                                                                  <w:marTop w:val="0"/>
                                                                  <w:marBottom w:val="0"/>
                                                                  <w:divBdr>
                                                                    <w:top w:val="none" w:sz="0" w:space="0" w:color="auto"/>
                                                                    <w:left w:val="none" w:sz="0" w:space="0" w:color="auto"/>
                                                                    <w:bottom w:val="none" w:sz="0" w:space="0" w:color="auto"/>
                                                                    <w:right w:val="none" w:sz="0" w:space="0" w:color="auto"/>
                                                                  </w:divBdr>
                                                                  <w:divsChild>
                                                                    <w:div w:id="832641204">
                                                                      <w:marLeft w:val="0"/>
                                                                      <w:marRight w:val="0"/>
                                                                      <w:marTop w:val="0"/>
                                                                      <w:marBottom w:val="0"/>
                                                                      <w:divBdr>
                                                                        <w:top w:val="none" w:sz="0" w:space="0" w:color="auto"/>
                                                                        <w:left w:val="none" w:sz="0" w:space="0" w:color="auto"/>
                                                                        <w:bottom w:val="none" w:sz="0" w:space="0" w:color="auto"/>
                                                                        <w:right w:val="none" w:sz="0" w:space="0" w:color="auto"/>
                                                                      </w:divBdr>
                                                                      <w:divsChild>
                                                                        <w:div w:id="1772243374">
                                                                          <w:marLeft w:val="0"/>
                                                                          <w:marRight w:val="0"/>
                                                                          <w:marTop w:val="0"/>
                                                                          <w:marBottom w:val="0"/>
                                                                          <w:divBdr>
                                                                            <w:top w:val="none" w:sz="0" w:space="0" w:color="auto"/>
                                                                            <w:left w:val="none" w:sz="0" w:space="0" w:color="auto"/>
                                                                            <w:bottom w:val="none" w:sz="0" w:space="0" w:color="auto"/>
                                                                            <w:right w:val="none" w:sz="0" w:space="0" w:color="auto"/>
                                                                          </w:divBdr>
                                                                          <w:divsChild>
                                                                            <w:div w:id="480004234">
                                                                              <w:marLeft w:val="0"/>
                                                                              <w:marRight w:val="0"/>
                                                                              <w:marTop w:val="0"/>
                                                                              <w:marBottom w:val="0"/>
                                                                              <w:divBdr>
                                                                                <w:top w:val="none" w:sz="0" w:space="0" w:color="auto"/>
                                                                                <w:left w:val="none" w:sz="0" w:space="0" w:color="auto"/>
                                                                                <w:bottom w:val="none" w:sz="0" w:space="0" w:color="auto"/>
                                                                                <w:right w:val="none" w:sz="0" w:space="0" w:color="auto"/>
                                                                              </w:divBdr>
                                                                              <w:divsChild>
                                                                                <w:div w:id="1658462314">
                                                                                  <w:marLeft w:val="0"/>
                                                                                  <w:marRight w:val="0"/>
                                                                                  <w:marTop w:val="0"/>
                                                                                  <w:marBottom w:val="0"/>
                                                                                  <w:divBdr>
                                                                                    <w:top w:val="none" w:sz="0" w:space="0" w:color="auto"/>
                                                                                    <w:left w:val="none" w:sz="0" w:space="0" w:color="auto"/>
                                                                                    <w:bottom w:val="none" w:sz="0" w:space="0" w:color="auto"/>
                                                                                    <w:right w:val="none" w:sz="0" w:space="0" w:color="auto"/>
                                                                                  </w:divBdr>
                                                                                  <w:divsChild>
                                                                                    <w:div w:id="1433548743">
                                                                                      <w:marLeft w:val="0"/>
                                                                                      <w:marRight w:val="0"/>
                                                                                      <w:marTop w:val="0"/>
                                                                                      <w:marBottom w:val="0"/>
                                                                                      <w:divBdr>
                                                                                        <w:top w:val="none" w:sz="0" w:space="0" w:color="auto"/>
                                                                                        <w:left w:val="none" w:sz="0" w:space="0" w:color="auto"/>
                                                                                        <w:bottom w:val="none" w:sz="0" w:space="0" w:color="auto"/>
                                                                                        <w:right w:val="none" w:sz="0" w:space="0" w:color="auto"/>
                                                                                      </w:divBdr>
                                                                                      <w:divsChild>
                                                                                        <w:div w:id="327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93488">
      <w:bodyDiv w:val="1"/>
      <w:marLeft w:val="0"/>
      <w:marRight w:val="0"/>
      <w:marTop w:val="0"/>
      <w:marBottom w:val="0"/>
      <w:divBdr>
        <w:top w:val="none" w:sz="0" w:space="0" w:color="auto"/>
        <w:left w:val="none" w:sz="0" w:space="0" w:color="auto"/>
        <w:bottom w:val="none" w:sz="0" w:space="0" w:color="auto"/>
        <w:right w:val="none" w:sz="0" w:space="0" w:color="auto"/>
      </w:divBdr>
    </w:div>
    <w:div w:id="1533105084">
      <w:bodyDiv w:val="1"/>
      <w:marLeft w:val="0"/>
      <w:marRight w:val="0"/>
      <w:marTop w:val="0"/>
      <w:marBottom w:val="0"/>
      <w:divBdr>
        <w:top w:val="none" w:sz="0" w:space="0" w:color="auto"/>
        <w:left w:val="none" w:sz="0" w:space="0" w:color="auto"/>
        <w:bottom w:val="none" w:sz="0" w:space="0" w:color="auto"/>
        <w:right w:val="none" w:sz="0" w:space="0" w:color="auto"/>
      </w:divBdr>
    </w:div>
    <w:div w:id="1538659537">
      <w:bodyDiv w:val="1"/>
      <w:marLeft w:val="0"/>
      <w:marRight w:val="0"/>
      <w:marTop w:val="0"/>
      <w:marBottom w:val="0"/>
      <w:divBdr>
        <w:top w:val="none" w:sz="0" w:space="0" w:color="auto"/>
        <w:left w:val="none" w:sz="0" w:space="0" w:color="auto"/>
        <w:bottom w:val="none" w:sz="0" w:space="0" w:color="auto"/>
        <w:right w:val="none" w:sz="0" w:space="0" w:color="auto"/>
      </w:divBdr>
    </w:div>
    <w:div w:id="1723945341">
      <w:bodyDiv w:val="1"/>
      <w:marLeft w:val="0"/>
      <w:marRight w:val="0"/>
      <w:marTop w:val="0"/>
      <w:marBottom w:val="0"/>
      <w:divBdr>
        <w:top w:val="none" w:sz="0" w:space="0" w:color="auto"/>
        <w:left w:val="none" w:sz="0" w:space="0" w:color="auto"/>
        <w:bottom w:val="none" w:sz="0" w:space="0" w:color="auto"/>
        <w:right w:val="none" w:sz="0" w:space="0" w:color="auto"/>
      </w:divBdr>
    </w:div>
    <w:div w:id="1882135301">
      <w:bodyDiv w:val="1"/>
      <w:marLeft w:val="0"/>
      <w:marRight w:val="0"/>
      <w:marTop w:val="0"/>
      <w:marBottom w:val="0"/>
      <w:divBdr>
        <w:top w:val="none" w:sz="0" w:space="0" w:color="auto"/>
        <w:left w:val="none" w:sz="0" w:space="0" w:color="auto"/>
        <w:bottom w:val="none" w:sz="0" w:space="0" w:color="auto"/>
        <w:right w:val="none" w:sz="0" w:space="0" w:color="auto"/>
      </w:divBdr>
    </w:div>
    <w:div w:id="21142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mi.org/people/leah-louis-prescott/"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https://rmi.org/people/mike-henchen/" TargetMode="External"/><Relationship Id="rId12" Type="http://schemas.openxmlformats.org/officeDocument/2006/relationships/hyperlink" Target="http://www.pbvillage.com/Mobile_Home_Park_Star_Ratings.pdf" TargetMode="External"/><Relationship Id="rId2" Type="http://schemas.openxmlformats.org/officeDocument/2006/relationships/hyperlink" Target="https://www.cpuc.ca.gov/General.aspx?id=6442461039" TargetMode="External"/><Relationship Id="rId1" Type="http://schemas.openxmlformats.org/officeDocument/2006/relationships/hyperlink" Target="https://www.hud.gov/sites/documents/FRNOTICE2916.PDF" TargetMode="External"/><Relationship Id="rId6" Type="http://schemas.openxmlformats.org/officeDocument/2006/relationships/hyperlink" Target="https://rmi.org/people/leia-guccione/" TargetMode="External"/><Relationship Id="rId11" Type="http://schemas.openxmlformats.org/officeDocument/2006/relationships/hyperlink" Target="https://www.pge.com/pge_global/common/pdfs/for-our-business-partners/interconnection-renewables/Unit-Cost-Guide.pdf" TargetMode="External"/><Relationship Id="rId5" Type="http://schemas.openxmlformats.org/officeDocument/2006/relationships/hyperlink" Target="https://rmi.org/people/sherri-billimoria/" TargetMode="External"/><Relationship Id="rId10" Type="http://schemas.openxmlformats.org/officeDocument/2006/relationships/hyperlink" Target="https://www.forbes.com/sites/energyinnovation/2019/07/22/as-cities-begin-banning-natural-gas-states-must-embrace-building-electrification-with-smart-policy/?hcb=1&amp;sh=dbee346ce6fa" TargetMode="External"/><Relationship Id="rId4" Type="http://schemas.openxmlformats.org/officeDocument/2006/relationships/hyperlink" Target="http://femahomesforsale.com" TargetMode="External"/><Relationship Id="rId9" Type="http://schemas.openxmlformats.org/officeDocument/2006/relationships/hyperlink" Target="https://rmi.org/insight/the-economics-of-electrifying-buil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235EDFC1A084495E54239C0B02BAA" ma:contentTypeVersion="4" ma:contentTypeDescription="Create a new document." ma:contentTypeScope="" ma:versionID="7dccbf3eb89d26d97b982388026acdcf">
  <xsd:schema xmlns:xsd="http://www.w3.org/2001/XMLSchema" xmlns:xs="http://www.w3.org/2001/XMLSchema" xmlns:p="http://schemas.microsoft.com/office/2006/metadata/properties" xmlns:ns2="90f4557e-16e7-4ad4-9248-b950eb894e33" xmlns:ns3="2c7220a4-f1fe-4ad2-8dd7-a066dda6a6aa" targetNamespace="http://schemas.microsoft.com/office/2006/metadata/properties" ma:root="true" ma:fieldsID="d23f65d4a82604dc6f811a1cb2649fe7" ns2:_="" ns3:_="">
    <xsd:import namespace="90f4557e-16e7-4ad4-9248-b950eb894e33"/>
    <xsd:import namespace="2c7220a4-f1fe-4ad2-8dd7-a066dda6a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4557e-16e7-4ad4-9248-b950eb89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220a4-f1fe-4ad2-8dd7-a066dda6a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08FC-C145-4FAF-90B2-6692456DEE63}">
  <ds:schemaRefs>
    <ds:schemaRef ds:uri="http://schemas.microsoft.com/sharepoint/v3/contenttype/forms"/>
  </ds:schemaRefs>
</ds:datastoreItem>
</file>

<file path=customXml/itemProps2.xml><?xml version="1.0" encoding="utf-8"?>
<ds:datastoreItem xmlns:ds="http://schemas.openxmlformats.org/officeDocument/2006/customXml" ds:itemID="{84590EB7-F75E-4EED-AF43-CA0838A67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4C2A0-6C66-468E-A84C-C2B7D4122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4557e-16e7-4ad4-9248-b950eb894e33"/>
    <ds:schemaRef ds:uri="2c7220a4-f1fe-4ad2-8dd7-a066dda6a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DB538-91D0-4423-AC3B-F2FF6370142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64</ap:Pages>
  <ap:Words>16386</ap:Words>
  <ap:Characters>93402</ap:Characters>
  <ap:Application>Microsoft Office Word</ap:Application>
  <ap:DocSecurity>0</ap:DocSecurity>
  <ap:Lines>778</ap:Lines>
  <ap:Paragraphs>219</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109569</ap:CharactersWithSpaces>
  <ap:SharedDoc>false</ap:SharedDoc>
  <ap:HLinks>
    <vt:vector baseType="variant" size="78">
      <vt:variant>
        <vt:i4>3080313</vt:i4>
      </vt:variant>
      <vt:variant>
        <vt:i4>36</vt:i4>
      </vt:variant>
      <vt:variant>
        <vt:i4>0</vt:i4>
      </vt:variant>
      <vt:variant>
        <vt:i4>5</vt:i4>
      </vt:variant>
      <vt:variant>
        <vt:lpwstr>about:blank</vt:lpwstr>
      </vt:variant>
      <vt:variant>
        <vt:lpwstr/>
      </vt:variant>
      <vt:variant>
        <vt:i4>2818149</vt:i4>
      </vt:variant>
      <vt:variant>
        <vt:i4>33</vt:i4>
      </vt:variant>
      <vt:variant>
        <vt:i4>0</vt:i4>
      </vt:variant>
      <vt:variant>
        <vt:i4>5</vt:i4>
      </vt:variant>
      <vt:variant>
        <vt:lpwstr>http://www.pbvillage.com/Mobile_Home_Park_Star_Ratings.pdf</vt:lpwstr>
      </vt:variant>
      <vt:variant>
        <vt:lpwstr/>
      </vt:variant>
      <vt:variant>
        <vt:i4>6029414</vt:i4>
      </vt:variant>
      <vt:variant>
        <vt:i4>30</vt:i4>
      </vt:variant>
      <vt:variant>
        <vt:i4>0</vt:i4>
      </vt:variant>
      <vt:variant>
        <vt:i4>5</vt:i4>
      </vt:variant>
      <vt:variant>
        <vt:lpwstr>https://www.pge.com/pge_global/common/pdfs/for-our-business-partners/interconnection-renewables/Unit-Cost-Guide.pdf</vt:lpwstr>
      </vt:variant>
      <vt:variant>
        <vt:lpwstr/>
      </vt:variant>
      <vt:variant>
        <vt:i4>7536754</vt:i4>
      </vt:variant>
      <vt:variant>
        <vt:i4>27</vt:i4>
      </vt:variant>
      <vt:variant>
        <vt:i4>0</vt:i4>
      </vt:variant>
      <vt:variant>
        <vt:i4>5</vt:i4>
      </vt:variant>
      <vt:variant>
        <vt:lpwstr>https://www.forbes.com/sites/energyinnovation/2019/07/22/as-cities-begin-banning-natural-gas-states-must-embrace-building-electrification-with-smart-policy/?hcb=1&amp;sh=dbee346ce6fa</vt:lpwstr>
      </vt:variant>
      <vt:variant>
        <vt:lpwstr/>
      </vt:variant>
      <vt:variant>
        <vt:i4>6094865</vt:i4>
      </vt:variant>
      <vt:variant>
        <vt:i4>24</vt:i4>
      </vt:variant>
      <vt:variant>
        <vt:i4>0</vt:i4>
      </vt:variant>
      <vt:variant>
        <vt:i4>5</vt:i4>
      </vt:variant>
      <vt:variant>
        <vt:lpwstr>https://rmi.org/insight/the-economics-of-electrifying-buildings/</vt:lpwstr>
      </vt:variant>
      <vt:variant>
        <vt:lpwstr/>
      </vt:variant>
      <vt:variant>
        <vt:i4>7209066</vt:i4>
      </vt:variant>
      <vt:variant>
        <vt:i4>21</vt:i4>
      </vt:variant>
      <vt:variant>
        <vt:i4>0</vt:i4>
      </vt:variant>
      <vt:variant>
        <vt:i4>5</vt:i4>
      </vt:variant>
      <vt:variant>
        <vt:lpwstr>https://rmi.org/people/leah-louis-prescott/</vt:lpwstr>
      </vt:variant>
      <vt:variant>
        <vt:lpwstr/>
      </vt:variant>
      <vt:variant>
        <vt:i4>1572867</vt:i4>
      </vt:variant>
      <vt:variant>
        <vt:i4>18</vt:i4>
      </vt:variant>
      <vt:variant>
        <vt:i4>0</vt:i4>
      </vt:variant>
      <vt:variant>
        <vt:i4>5</vt:i4>
      </vt:variant>
      <vt:variant>
        <vt:lpwstr>https://rmi.org/people/mike-henchen/</vt:lpwstr>
      </vt:variant>
      <vt:variant>
        <vt:lpwstr/>
      </vt:variant>
      <vt:variant>
        <vt:i4>4915208</vt:i4>
      </vt:variant>
      <vt:variant>
        <vt:i4>15</vt:i4>
      </vt:variant>
      <vt:variant>
        <vt:i4>0</vt:i4>
      </vt:variant>
      <vt:variant>
        <vt:i4>5</vt:i4>
      </vt:variant>
      <vt:variant>
        <vt:lpwstr>https://rmi.org/people/leia-guccione/</vt:lpwstr>
      </vt:variant>
      <vt:variant>
        <vt:lpwstr/>
      </vt:variant>
      <vt:variant>
        <vt:i4>5046301</vt:i4>
      </vt:variant>
      <vt:variant>
        <vt:i4>12</vt:i4>
      </vt:variant>
      <vt:variant>
        <vt:i4>0</vt:i4>
      </vt:variant>
      <vt:variant>
        <vt:i4>5</vt:i4>
      </vt:variant>
      <vt:variant>
        <vt:lpwstr>https://rmi.org/people/sherri-billimoria/</vt:lpwstr>
      </vt:variant>
      <vt:variant>
        <vt:lpwstr/>
      </vt:variant>
      <vt:variant>
        <vt:i4>4718617</vt:i4>
      </vt:variant>
      <vt:variant>
        <vt:i4>9</vt:i4>
      </vt:variant>
      <vt:variant>
        <vt:i4>0</vt:i4>
      </vt:variant>
      <vt:variant>
        <vt:i4>5</vt:i4>
      </vt:variant>
      <vt:variant>
        <vt:lpwstr>http://femahomesforsale.com/</vt:lpwstr>
      </vt:variant>
      <vt:variant>
        <vt:lpwstr/>
      </vt:variant>
      <vt:variant>
        <vt:i4>3080313</vt:i4>
      </vt:variant>
      <vt:variant>
        <vt:i4>6</vt:i4>
      </vt:variant>
      <vt:variant>
        <vt:i4>0</vt:i4>
      </vt:variant>
      <vt:variant>
        <vt:i4>5</vt:i4>
      </vt:variant>
      <vt:variant>
        <vt:lpwstr>about:blank</vt:lpwstr>
      </vt:variant>
      <vt:variant>
        <vt:lpwstr/>
      </vt:variant>
      <vt:variant>
        <vt:i4>8323169</vt:i4>
      </vt:variant>
      <vt:variant>
        <vt:i4>3</vt:i4>
      </vt:variant>
      <vt:variant>
        <vt:i4>0</vt:i4>
      </vt:variant>
      <vt:variant>
        <vt:i4>5</vt:i4>
      </vt:variant>
      <vt:variant>
        <vt:lpwstr>https://www.cpuc.ca.gov/General.aspx?id=6442461039</vt:lpwstr>
      </vt:variant>
      <vt:variant>
        <vt:lpwstr/>
      </vt:variant>
      <vt:variant>
        <vt:i4>6029320</vt:i4>
      </vt:variant>
      <vt:variant>
        <vt:i4>0</vt:i4>
      </vt:variant>
      <vt:variant>
        <vt:i4>0</vt:i4>
      </vt:variant>
      <vt:variant>
        <vt:i4>5</vt:i4>
      </vt:variant>
      <vt:variant>
        <vt:lpwstr>https://www.hud.gov/sites/documents/FRNOTICE2916.PDF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2019-10-03T18:21:00Z</cp:lastPrinted>
  <dcterms:created xsi:type="dcterms:W3CDTF">2021-05-25T14:12:11Z</dcterms:created>
  <dcterms:modified xsi:type="dcterms:W3CDTF">2021-05-25T14:12:11Z</dcterms:modified>
</cp:coreProperties>
</file>