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387" w:rsidP="00C062E1" w:rsidRDefault="00D55A9C" w14:paraId="5B3D9781" w14:textId="11E9A28D">
      <w:pPr>
        <w:tabs>
          <w:tab w:val="center" w:pos="4410"/>
          <w:tab w:val="right" w:pos="9360"/>
        </w:tabs>
        <w:spacing w:line="240" w:lineRule="auto"/>
        <w:ind w:firstLine="0"/>
        <w:rPr>
          <w:b/>
          <w:bCs/>
        </w:rPr>
      </w:pPr>
      <w:r>
        <w:t>COM</w:t>
      </w:r>
      <w:r w:rsidR="00DA7B5D">
        <w:t>/</w:t>
      </w:r>
      <w:r>
        <w:t>MBL</w:t>
      </w:r>
      <w:r w:rsidR="00DA7B5D">
        <w:t>/</w:t>
      </w:r>
      <w:r>
        <w:t>mph</w:t>
      </w:r>
      <w:r w:rsidR="007E0FEE">
        <w:tab/>
      </w:r>
      <w:r w:rsidR="00C062E1">
        <w:tab/>
      </w:r>
      <w:r w:rsidRPr="00C062E1" w:rsidR="00C062E1">
        <w:rPr>
          <w:b/>
          <w:bCs/>
        </w:rPr>
        <w:t>Date of Issuance 6/7/2021</w:t>
      </w:r>
    </w:p>
    <w:p w:rsidRPr="00EE4315" w:rsidR="006C2D78" w:rsidP="00C062E1" w:rsidRDefault="006C2D78" w14:paraId="4B0DC686" w14:textId="77777777">
      <w:pPr>
        <w:tabs>
          <w:tab w:val="center" w:pos="4410"/>
          <w:tab w:val="right" w:pos="9360"/>
        </w:tabs>
        <w:spacing w:line="240" w:lineRule="auto"/>
        <w:ind w:firstLine="0"/>
        <w:rPr>
          <w:b/>
        </w:rPr>
      </w:pPr>
    </w:p>
    <w:p w:rsidR="00DA7B5D" w:rsidP="008F0116" w:rsidRDefault="00DA7B5D" w14:paraId="17748E56" w14:textId="77777777">
      <w:pPr>
        <w:ind w:firstLine="0"/>
      </w:pPr>
    </w:p>
    <w:p w:rsidR="00DA7B5D" w:rsidP="00AE310D" w:rsidRDefault="00DA7B5D" w14:paraId="6D852958" w14:textId="08AF5DA0">
      <w:pPr>
        <w:spacing w:line="240" w:lineRule="auto"/>
        <w:ind w:left="1080" w:hanging="1080"/>
      </w:pPr>
      <w:r>
        <w:t xml:space="preserve">Decision </w:t>
      </w:r>
      <w:r w:rsidR="00C062E1">
        <w:t>21-06-</w:t>
      </w:r>
      <w:proofErr w:type="gramStart"/>
      <w:r w:rsidR="00C062E1">
        <w:t>013  June</w:t>
      </w:r>
      <w:proofErr w:type="gramEnd"/>
      <w:r w:rsidR="00C062E1">
        <w:t xml:space="preserve"> 3, 2021</w:t>
      </w:r>
    </w:p>
    <w:p w:rsidRPr="00AE310D" w:rsidR="006C2D78" w:rsidP="00AE310D" w:rsidRDefault="006C2D78" w14:paraId="4AA77A0C" w14:textId="77777777">
      <w:pPr>
        <w:spacing w:line="240" w:lineRule="auto"/>
        <w:ind w:left="1080" w:hanging="1080"/>
        <w:rPr>
          <w:b/>
          <w:bCs/>
        </w:rPr>
      </w:pPr>
    </w:p>
    <w:p w:rsidR="00DA7B5D" w:rsidP="00BB0243" w:rsidRDefault="00DA7B5D" w14:paraId="28900656" w14:textId="77777777">
      <w:pPr>
        <w:spacing w:line="240" w:lineRule="auto"/>
        <w:jc w:val="center"/>
        <w:rPr>
          <w:u w:val="single"/>
        </w:rPr>
      </w:pPr>
    </w:p>
    <w:p w:rsidR="00DA7B5D" w:rsidP="00BB0243" w:rsidRDefault="00DA7B5D" w14:paraId="384FE457"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BF7A1F0"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51BFD681"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D55A9C" w14:paraId="160C6735" w14:textId="05016AF8">
            <w:pPr>
              <w:spacing w:line="240" w:lineRule="auto"/>
              <w:ind w:firstLine="0"/>
              <w:rPr>
                <w:rFonts w:cs="Arial"/>
                <w:szCs w:val="26"/>
              </w:rPr>
            </w:pPr>
            <w:r w:rsidRPr="007665E9">
              <w:t>Order Instituting Rulemaking to Consider Revisions to Electric Rule 20 and Related Matters.</w:t>
            </w:r>
            <w:r w:rsidRPr="00DA7B5D" w:rsidR="00DA7B5D">
              <w:rPr>
                <w:rFonts w:cs="Arial"/>
                <w:szCs w:val="26"/>
              </w:rPr>
              <w:br/>
            </w:r>
          </w:p>
        </w:tc>
        <w:tc>
          <w:tcPr>
            <w:tcW w:w="5040" w:type="dxa"/>
            <w:tcBorders>
              <w:top w:val="nil"/>
              <w:left w:val="single" w:color="auto" w:sz="4" w:space="0"/>
              <w:bottom w:val="nil"/>
              <w:right w:val="nil"/>
            </w:tcBorders>
            <w:vAlign w:val="center"/>
          </w:tcPr>
          <w:p w:rsidR="00DA7B5D" w:rsidP="00412C83" w:rsidRDefault="00D55A9C" w14:paraId="0E02646F" w14:textId="69D16B76">
            <w:pPr>
              <w:spacing w:line="240" w:lineRule="auto"/>
              <w:ind w:firstLine="0"/>
              <w:jc w:val="center"/>
              <w:rPr>
                <w:rFonts w:cs="Arial"/>
                <w:szCs w:val="26"/>
              </w:rPr>
            </w:pPr>
            <w:r>
              <w:rPr>
                <w:rFonts w:cs="Arial"/>
                <w:szCs w:val="26"/>
              </w:rPr>
              <w:t>Rulemaking 17-05-010</w:t>
            </w:r>
          </w:p>
          <w:p w:rsidRPr="00DA7B5D" w:rsidR="00D55A9C" w:rsidP="00412C83" w:rsidRDefault="00D55A9C" w14:paraId="74E008D5" w14:textId="560B63D9">
            <w:pPr>
              <w:spacing w:line="240" w:lineRule="auto"/>
              <w:ind w:firstLine="0"/>
              <w:jc w:val="center"/>
              <w:rPr>
                <w:rFonts w:cs="Arial"/>
                <w:szCs w:val="26"/>
              </w:rPr>
            </w:pPr>
          </w:p>
        </w:tc>
      </w:tr>
    </w:tbl>
    <w:p w:rsidR="00DA7B5D" w:rsidP="008F0116" w:rsidRDefault="00DA7B5D" w14:paraId="4794E7E8" w14:textId="77777777">
      <w:pPr>
        <w:spacing w:line="240" w:lineRule="auto"/>
        <w:ind w:firstLine="0"/>
        <w:rPr>
          <w:rFonts w:ascii="Arial" w:hAnsi="Arial" w:cs="Arial"/>
          <w:sz w:val="24"/>
          <w:szCs w:val="24"/>
        </w:rPr>
      </w:pPr>
    </w:p>
    <w:p w:rsidR="00DA7B5D" w:rsidP="008F0116" w:rsidRDefault="00DA7B5D" w14:paraId="36918F57" w14:textId="77777777">
      <w:pPr>
        <w:spacing w:line="240" w:lineRule="auto"/>
        <w:ind w:firstLine="0"/>
        <w:rPr>
          <w:rFonts w:ascii="Arial" w:hAnsi="Arial" w:cs="Arial"/>
          <w:sz w:val="24"/>
          <w:szCs w:val="24"/>
        </w:rPr>
      </w:pPr>
    </w:p>
    <w:p w:rsidRPr="00DE6B1D" w:rsidR="00F92385" w:rsidP="00DE6B1D" w:rsidRDefault="00D55A9C" w14:paraId="0934D134" w14:textId="274F3311">
      <w:pPr>
        <w:pStyle w:val="main0"/>
        <w:sectPr w:rsidRPr="00DE6B1D" w:rsidR="00F92385" w:rsidSect="00864772">
          <w:footerReference w:type="first" r:id="rId8"/>
          <w:pgSz w:w="12240" w:h="15840"/>
          <w:pgMar w:top="1440" w:right="1440" w:bottom="1440" w:left="1440" w:header="720" w:footer="720" w:gutter="0"/>
          <w:pgNumType w:start="1"/>
          <w:cols w:space="720"/>
          <w:titlePg/>
          <w:docGrid w:linePitch="360"/>
        </w:sectPr>
      </w:pPr>
      <w:bookmarkStart w:name="_Toc30488457" w:id="0"/>
      <w:bookmarkStart w:name="_Toc73945831" w:id="1"/>
      <w:r w:rsidRPr="00DE6B1D">
        <w:t xml:space="preserve">PHASE 1 DECISION </w:t>
      </w:r>
      <w:bookmarkEnd w:id="0"/>
      <w:r w:rsidRPr="00DE6B1D">
        <w:t xml:space="preserve">REVISING ELECTRIC RULE 20 AND </w:t>
      </w:r>
      <w:r w:rsidRPr="00DE6B1D">
        <w:br/>
        <w:t>ENHANCING PROGRAM OVERSIGHT</w:t>
      </w:r>
      <w:bookmarkEnd w:id="1"/>
    </w:p>
    <w:p w:rsidRPr="001E2A62" w:rsidR="00D50119" w:rsidP="00F76650" w:rsidRDefault="00D50119" w14:paraId="4A4A6E23"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2470220A"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B51688" w:rsidRDefault="00E937DD" w14:paraId="01D0D0E8" w14:textId="008C80F6">
          <w:pPr>
            <w:pStyle w:val="TOC1"/>
            <w:tabs>
              <w:tab w:val="right" w:leader="dot" w:pos="9350"/>
            </w:tabs>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"2-6" \h \z \t "Heading 1,1,Title,1,main,1,mainex,1,dummy,1" </w:instrText>
          </w:r>
          <w:r>
            <w:rPr>
              <w:rFonts w:asciiTheme="minorHAnsi" w:hAnsiTheme="minorHAnsi"/>
              <w:sz w:val="22"/>
            </w:rPr>
            <w:fldChar w:fldCharType="separate"/>
          </w:r>
          <w:hyperlink w:history="1" w:anchor="_Toc73945831">
            <w:r w:rsidRPr="00A873D8" w:rsidR="00B51688">
              <w:rPr>
                <w:rStyle w:val="Hyperlink"/>
                <w:noProof/>
              </w:rPr>
              <w:t>PHASE 1 DECISION REVISING ELECTRIC RULE 20 AND  ENHANCING PROGRAM OVERSIGHT</w:t>
            </w:r>
            <w:r w:rsidR="00B51688">
              <w:rPr>
                <w:noProof/>
                <w:webHidden/>
              </w:rPr>
              <w:tab/>
            </w:r>
            <w:r w:rsidR="00B51688">
              <w:rPr>
                <w:noProof/>
                <w:webHidden/>
              </w:rPr>
              <w:fldChar w:fldCharType="begin"/>
            </w:r>
            <w:r w:rsidR="00B51688">
              <w:rPr>
                <w:noProof/>
                <w:webHidden/>
              </w:rPr>
              <w:instrText xml:space="preserve"> PAGEREF _Toc73945831 \h </w:instrText>
            </w:r>
            <w:r w:rsidR="00B51688">
              <w:rPr>
                <w:noProof/>
                <w:webHidden/>
              </w:rPr>
            </w:r>
            <w:r w:rsidR="00B51688">
              <w:rPr>
                <w:noProof/>
                <w:webHidden/>
              </w:rPr>
              <w:fldChar w:fldCharType="separate"/>
            </w:r>
            <w:r w:rsidR="00B51688">
              <w:rPr>
                <w:noProof/>
                <w:webHidden/>
              </w:rPr>
              <w:t>1</w:t>
            </w:r>
            <w:r w:rsidR="00B51688">
              <w:rPr>
                <w:noProof/>
                <w:webHidden/>
              </w:rPr>
              <w:fldChar w:fldCharType="end"/>
            </w:r>
          </w:hyperlink>
        </w:p>
        <w:p w:rsidR="00B51688" w:rsidRDefault="00D3337E" w14:paraId="42EB1492" w14:textId="6980D1CD">
          <w:pPr>
            <w:pStyle w:val="TOC1"/>
            <w:tabs>
              <w:tab w:val="right" w:leader="dot" w:pos="9350"/>
            </w:tabs>
            <w:rPr>
              <w:rFonts w:asciiTheme="minorHAnsi" w:hAnsiTheme="minorHAnsi" w:cstheme="minorBidi"/>
              <w:noProof/>
              <w:sz w:val="22"/>
            </w:rPr>
          </w:pPr>
          <w:hyperlink w:history="1" w:anchor="_Toc73945832">
            <w:r w:rsidRPr="00A873D8" w:rsidR="00B51688">
              <w:rPr>
                <w:rStyle w:val="Hyperlink"/>
                <w:noProof/>
              </w:rPr>
              <w:t>1.</w:t>
            </w:r>
            <w:r w:rsidR="00B51688">
              <w:rPr>
                <w:rFonts w:asciiTheme="minorHAnsi" w:hAnsiTheme="minorHAnsi" w:cstheme="minorBidi"/>
                <w:noProof/>
                <w:sz w:val="22"/>
              </w:rPr>
              <w:tab/>
            </w:r>
            <w:r w:rsidRPr="00A873D8" w:rsidR="00B51688">
              <w:rPr>
                <w:rStyle w:val="Hyperlink"/>
                <w:noProof/>
              </w:rPr>
              <w:t>Procedural Background</w:t>
            </w:r>
            <w:r w:rsidR="00B51688">
              <w:rPr>
                <w:noProof/>
                <w:webHidden/>
              </w:rPr>
              <w:tab/>
            </w:r>
            <w:r w:rsidR="00B51688">
              <w:rPr>
                <w:noProof/>
                <w:webHidden/>
              </w:rPr>
              <w:fldChar w:fldCharType="begin"/>
            </w:r>
            <w:r w:rsidR="00B51688">
              <w:rPr>
                <w:noProof/>
                <w:webHidden/>
              </w:rPr>
              <w:instrText xml:space="preserve"> PAGEREF _Toc73945832 \h </w:instrText>
            </w:r>
            <w:r w:rsidR="00B51688">
              <w:rPr>
                <w:noProof/>
                <w:webHidden/>
              </w:rPr>
            </w:r>
            <w:r w:rsidR="00B51688">
              <w:rPr>
                <w:noProof/>
                <w:webHidden/>
              </w:rPr>
              <w:fldChar w:fldCharType="separate"/>
            </w:r>
            <w:r w:rsidR="00B51688">
              <w:rPr>
                <w:noProof/>
                <w:webHidden/>
              </w:rPr>
              <w:t>2</w:t>
            </w:r>
            <w:r w:rsidR="00B51688">
              <w:rPr>
                <w:noProof/>
                <w:webHidden/>
              </w:rPr>
              <w:fldChar w:fldCharType="end"/>
            </w:r>
          </w:hyperlink>
        </w:p>
        <w:p w:rsidR="00B51688" w:rsidP="00B51688" w:rsidRDefault="00D3337E" w14:paraId="4F80F909" w14:textId="4B39A251">
          <w:pPr>
            <w:pStyle w:val="TOC1"/>
            <w:tabs>
              <w:tab w:val="right" w:leader="dot" w:pos="9350"/>
            </w:tabs>
            <w:ind w:left="0" w:firstLine="0"/>
            <w:rPr>
              <w:rFonts w:asciiTheme="minorHAnsi" w:hAnsiTheme="minorHAnsi" w:cstheme="minorBidi"/>
              <w:noProof/>
              <w:sz w:val="22"/>
            </w:rPr>
          </w:pPr>
          <w:hyperlink w:history="1" w:anchor="_Toc73945833">
            <w:r w:rsidRPr="00A873D8" w:rsidR="00B51688">
              <w:rPr>
                <w:rStyle w:val="Hyperlink"/>
                <w:noProof/>
              </w:rPr>
              <w:t>2.</w:t>
            </w:r>
            <w:r w:rsidR="00B51688">
              <w:rPr>
                <w:rFonts w:asciiTheme="minorHAnsi" w:hAnsiTheme="minorHAnsi" w:cstheme="minorBidi"/>
                <w:noProof/>
                <w:sz w:val="22"/>
              </w:rPr>
              <w:tab/>
            </w:r>
            <w:r w:rsidRPr="00A873D8" w:rsidR="00B51688">
              <w:rPr>
                <w:rStyle w:val="Hyperlink"/>
                <w:noProof/>
              </w:rPr>
              <w:t>Program Background</w:t>
            </w:r>
            <w:r w:rsidR="00B51688">
              <w:rPr>
                <w:noProof/>
                <w:webHidden/>
              </w:rPr>
              <w:tab/>
            </w:r>
            <w:r w:rsidR="00B51688">
              <w:rPr>
                <w:noProof/>
                <w:webHidden/>
              </w:rPr>
              <w:fldChar w:fldCharType="begin"/>
            </w:r>
            <w:r w:rsidR="00B51688">
              <w:rPr>
                <w:noProof/>
                <w:webHidden/>
              </w:rPr>
              <w:instrText xml:space="preserve"> PAGEREF _Toc73945833 \h </w:instrText>
            </w:r>
            <w:r w:rsidR="00B51688">
              <w:rPr>
                <w:noProof/>
                <w:webHidden/>
              </w:rPr>
            </w:r>
            <w:r w:rsidR="00B51688">
              <w:rPr>
                <w:noProof/>
                <w:webHidden/>
              </w:rPr>
              <w:fldChar w:fldCharType="separate"/>
            </w:r>
            <w:r w:rsidR="00B51688">
              <w:rPr>
                <w:noProof/>
                <w:webHidden/>
              </w:rPr>
              <w:t>6</w:t>
            </w:r>
            <w:r w:rsidR="00B51688">
              <w:rPr>
                <w:noProof/>
                <w:webHidden/>
              </w:rPr>
              <w:fldChar w:fldCharType="end"/>
            </w:r>
          </w:hyperlink>
        </w:p>
        <w:p w:rsidR="00B51688" w:rsidRDefault="00D3337E" w14:paraId="21DEB081" w14:textId="7D8E04B2">
          <w:pPr>
            <w:pStyle w:val="TOC2"/>
            <w:tabs>
              <w:tab w:val="right" w:leader="dot" w:pos="9350"/>
            </w:tabs>
            <w:rPr>
              <w:rFonts w:asciiTheme="minorHAnsi" w:hAnsiTheme="minorHAnsi" w:cstheme="minorBidi"/>
              <w:noProof/>
              <w:sz w:val="22"/>
            </w:rPr>
          </w:pPr>
          <w:hyperlink w:history="1" w:anchor="_Toc73945834">
            <w:r w:rsidRPr="00A873D8" w:rsidR="00B51688">
              <w:rPr>
                <w:rStyle w:val="Hyperlink"/>
                <w:noProof/>
              </w:rPr>
              <w:t>2.1.</w:t>
            </w:r>
            <w:r w:rsidR="00B51688">
              <w:rPr>
                <w:rFonts w:asciiTheme="minorHAnsi" w:hAnsiTheme="minorHAnsi" w:cstheme="minorBidi"/>
                <w:noProof/>
                <w:sz w:val="22"/>
              </w:rPr>
              <w:tab/>
            </w:r>
            <w:r w:rsidRPr="00A873D8" w:rsidR="00B51688">
              <w:rPr>
                <w:rStyle w:val="Hyperlink"/>
                <w:noProof/>
              </w:rPr>
              <w:t>History and Program Design</w:t>
            </w:r>
            <w:r w:rsidR="00B51688">
              <w:rPr>
                <w:noProof/>
                <w:webHidden/>
              </w:rPr>
              <w:tab/>
            </w:r>
            <w:r w:rsidR="00B51688">
              <w:rPr>
                <w:noProof/>
                <w:webHidden/>
              </w:rPr>
              <w:fldChar w:fldCharType="begin"/>
            </w:r>
            <w:r w:rsidR="00B51688">
              <w:rPr>
                <w:noProof/>
                <w:webHidden/>
              </w:rPr>
              <w:instrText xml:space="preserve"> PAGEREF _Toc73945834 \h </w:instrText>
            </w:r>
            <w:r w:rsidR="00B51688">
              <w:rPr>
                <w:noProof/>
                <w:webHidden/>
              </w:rPr>
            </w:r>
            <w:r w:rsidR="00B51688">
              <w:rPr>
                <w:noProof/>
                <w:webHidden/>
              </w:rPr>
              <w:fldChar w:fldCharType="separate"/>
            </w:r>
            <w:r w:rsidR="00B51688">
              <w:rPr>
                <w:noProof/>
                <w:webHidden/>
              </w:rPr>
              <w:t>6</w:t>
            </w:r>
            <w:r w:rsidR="00B51688">
              <w:rPr>
                <w:noProof/>
                <w:webHidden/>
              </w:rPr>
              <w:fldChar w:fldCharType="end"/>
            </w:r>
          </w:hyperlink>
        </w:p>
        <w:p w:rsidR="00B51688" w:rsidRDefault="00D3337E" w14:paraId="7725FD5B" w14:textId="22E5C6A3">
          <w:pPr>
            <w:pStyle w:val="TOC2"/>
            <w:tabs>
              <w:tab w:val="right" w:leader="dot" w:pos="9350"/>
            </w:tabs>
            <w:rPr>
              <w:rFonts w:asciiTheme="minorHAnsi" w:hAnsiTheme="minorHAnsi" w:cstheme="minorBidi"/>
              <w:noProof/>
              <w:sz w:val="22"/>
            </w:rPr>
          </w:pPr>
          <w:hyperlink w:history="1" w:anchor="_Toc73945835">
            <w:r w:rsidRPr="00A873D8" w:rsidR="00B51688">
              <w:rPr>
                <w:rStyle w:val="Hyperlink"/>
                <w:noProof/>
              </w:rPr>
              <w:t>2.2.</w:t>
            </w:r>
            <w:r w:rsidR="00B51688">
              <w:rPr>
                <w:rFonts w:asciiTheme="minorHAnsi" w:hAnsiTheme="minorHAnsi" w:cstheme="minorBidi"/>
                <w:noProof/>
                <w:sz w:val="22"/>
              </w:rPr>
              <w:tab/>
            </w:r>
            <w:r w:rsidRPr="00A873D8" w:rsidR="00B51688">
              <w:rPr>
                <w:rStyle w:val="Hyperlink"/>
                <w:noProof/>
              </w:rPr>
              <w:t>Program Challenges</w:t>
            </w:r>
            <w:r w:rsidR="00B51688">
              <w:rPr>
                <w:noProof/>
                <w:webHidden/>
              </w:rPr>
              <w:tab/>
            </w:r>
            <w:r w:rsidR="00B51688">
              <w:rPr>
                <w:noProof/>
                <w:webHidden/>
              </w:rPr>
              <w:fldChar w:fldCharType="begin"/>
            </w:r>
            <w:r w:rsidR="00B51688">
              <w:rPr>
                <w:noProof/>
                <w:webHidden/>
              </w:rPr>
              <w:instrText xml:space="preserve"> PAGEREF _Toc73945835 \h </w:instrText>
            </w:r>
            <w:r w:rsidR="00B51688">
              <w:rPr>
                <w:noProof/>
                <w:webHidden/>
              </w:rPr>
            </w:r>
            <w:r w:rsidR="00B51688">
              <w:rPr>
                <w:noProof/>
                <w:webHidden/>
              </w:rPr>
              <w:fldChar w:fldCharType="separate"/>
            </w:r>
            <w:r w:rsidR="00B51688">
              <w:rPr>
                <w:noProof/>
                <w:webHidden/>
              </w:rPr>
              <w:t>9</w:t>
            </w:r>
            <w:r w:rsidR="00B51688">
              <w:rPr>
                <w:noProof/>
                <w:webHidden/>
              </w:rPr>
              <w:fldChar w:fldCharType="end"/>
            </w:r>
          </w:hyperlink>
        </w:p>
        <w:p w:rsidR="00B51688" w:rsidRDefault="00D3337E" w14:paraId="07758A9E" w14:textId="7A046982">
          <w:pPr>
            <w:pStyle w:val="TOC1"/>
            <w:tabs>
              <w:tab w:val="right" w:leader="dot" w:pos="9350"/>
            </w:tabs>
            <w:rPr>
              <w:rFonts w:asciiTheme="minorHAnsi" w:hAnsiTheme="minorHAnsi" w:cstheme="minorBidi"/>
              <w:noProof/>
              <w:sz w:val="22"/>
            </w:rPr>
          </w:pPr>
          <w:hyperlink w:history="1" w:anchor="_Toc73945836">
            <w:r w:rsidRPr="00A873D8" w:rsidR="00B51688">
              <w:rPr>
                <w:rStyle w:val="Hyperlink"/>
                <w:noProof/>
              </w:rPr>
              <w:t>3.</w:t>
            </w:r>
            <w:r w:rsidR="00B51688">
              <w:rPr>
                <w:rFonts w:asciiTheme="minorHAnsi" w:hAnsiTheme="minorHAnsi" w:cstheme="minorBidi"/>
                <w:noProof/>
                <w:sz w:val="22"/>
              </w:rPr>
              <w:tab/>
            </w:r>
            <w:r w:rsidRPr="00A873D8" w:rsidR="00B51688">
              <w:rPr>
                <w:rStyle w:val="Hyperlink"/>
                <w:noProof/>
              </w:rPr>
              <w:t>Issues Before the Commission</w:t>
            </w:r>
            <w:r w:rsidR="00B51688">
              <w:rPr>
                <w:noProof/>
                <w:webHidden/>
              </w:rPr>
              <w:tab/>
            </w:r>
            <w:r w:rsidR="00B51688">
              <w:rPr>
                <w:noProof/>
                <w:webHidden/>
              </w:rPr>
              <w:fldChar w:fldCharType="begin"/>
            </w:r>
            <w:r w:rsidR="00B51688">
              <w:rPr>
                <w:noProof/>
                <w:webHidden/>
              </w:rPr>
              <w:instrText xml:space="preserve"> PAGEREF _Toc73945836 \h </w:instrText>
            </w:r>
            <w:r w:rsidR="00B51688">
              <w:rPr>
                <w:noProof/>
                <w:webHidden/>
              </w:rPr>
            </w:r>
            <w:r w:rsidR="00B51688">
              <w:rPr>
                <w:noProof/>
                <w:webHidden/>
              </w:rPr>
              <w:fldChar w:fldCharType="separate"/>
            </w:r>
            <w:r w:rsidR="00B51688">
              <w:rPr>
                <w:noProof/>
                <w:webHidden/>
              </w:rPr>
              <w:t>11</w:t>
            </w:r>
            <w:r w:rsidR="00B51688">
              <w:rPr>
                <w:noProof/>
                <w:webHidden/>
              </w:rPr>
              <w:fldChar w:fldCharType="end"/>
            </w:r>
          </w:hyperlink>
        </w:p>
        <w:p w:rsidR="00B51688" w:rsidRDefault="00D3337E" w14:paraId="43537AEF" w14:textId="12720E7E">
          <w:pPr>
            <w:pStyle w:val="TOC1"/>
            <w:tabs>
              <w:tab w:val="right" w:leader="dot" w:pos="9350"/>
            </w:tabs>
            <w:rPr>
              <w:rFonts w:asciiTheme="minorHAnsi" w:hAnsiTheme="minorHAnsi" w:cstheme="minorBidi"/>
              <w:noProof/>
              <w:sz w:val="22"/>
            </w:rPr>
          </w:pPr>
          <w:hyperlink w:history="1" w:anchor="_Toc73945837">
            <w:r w:rsidRPr="00A873D8" w:rsidR="00B51688">
              <w:rPr>
                <w:rStyle w:val="Hyperlink"/>
                <w:noProof/>
              </w:rPr>
              <w:t>4.</w:t>
            </w:r>
            <w:r w:rsidR="00B51688">
              <w:rPr>
                <w:rFonts w:asciiTheme="minorHAnsi" w:hAnsiTheme="minorHAnsi" w:cstheme="minorBidi"/>
                <w:noProof/>
                <w:sz w:val="22"/>
              </w:rPr>
              <w:tab/>
            </w:r>
            <w:r w:rsidRPr="00A873D8" w:rsidR="00B51688">
              <w:rPr>
                <w:rStyle w:val="Hyperlink"/>
                <w:noProof/>
              </w:rPr>
              <w:t>Whether to Modify, Replace or Discontinue the  Rule 20A Program</w:t>
            </w:r>
            <w:r w:rsidR="00B51688">
              <w:rPr>
                <w:noProof/>
                <w:webHidden/>
              </w:rPr>
              <w:tab/>
            </w:r>
            <w:r w:rsidR="00B51688">
              <w:rPr>
                <w:noProof/>
                <w:webHidden/>
              </w:rPr>
              <w:fldChar w:fldCharType="begin"/>
            </w:r>
            <w:r w:rsidR="00B51688">
              <w:rPr>
                <w:noProof/>
                <w:webHidden/>
              </w:rPr>
              <w:instrText xml:space="preserve"> PAGEREF _Toc73945837 \h </w:instrText>
            </w:r>
            <w:r w:rsidR="00B51688">
              <w:rPr>
                <w:noProof/>
                <w:webHidden/>
              </w:rPr>
            </w:r>
            <w:r w:rsidR="00B51688">
              <w:rPr>
                <w:noProof/>
                <w:webHidden/>
              </w:rPr>
              <w:fldChar w:fldCharType="separate"/>
            </w:r>
            <w:r w:rsidR="00B51688">
              <w:rPr>
                <w:noProof/>
                <w:webHidden/>
              </w:rPr>
              <w:t>12</w:t>
            </w:r>
            <w:r w:rsidR="00B51688">
              <w:rPr>
                <w:noProof/>
                <w:webHidden/>
              </w:rPr>
              <w:fldChar w:fldCharType="end"/>
            </w:r>
          </w:hyperlink>
        </w:p>
        <w:p w:rsidR="00B51688" w:rsidRDefault="00D3337E" w14:paraId="749FEAC1" w14:textId="53B45D4F">
          <w:pPr>
            <w:pStyle w:val="TOC2"/>
            <w:tabs>
              <w:tab w:val="right" w:leader="dot" w:pos="9350"/>
            </w:tabs>
            <w:rPr>
              <w:rFonts w:asciiTheme="minorHAnsi" w:hAnsiTheme="minorHAnsi" w:cstheme="minorBidi"/>
              <w:noProof/>
              <w:sz w:val="22"/>
            </w:rPr>
          </w:pPr>
          <w:hyperlink w:history="1" w:anchor="_Toc73945838">
            <w:r w:rsidRPr="00A873D8" w:rsidR="00B51688">
              <w:rPr>
                <w:rStyle w:val="Hyperlink"/>
                <w:noProof/>
              </w:rPr>
              <w:t>4.1</w:t>
            </w:r>
            <w:r w:rsidR="00B51688">
              <w:rPr>
                <w:rFonts w:asciiTheme="minorHAnsi" w:hAnsiTheme="minorHAnsi" w:cstheme="minorBidi"/>
                <w:noProof/>
                <w:sz w:val="22"/>
              </w:rPr>
              <w:tab/>
            </w:r>
            <w:r w:rsidRPr="00A873D8" w:rsidR="00B51688">
              <w:rPr>
                <w:rStyle w:val="Hyperlink"/>
                <w:noProof/>
              </w:rPr>
              <w:t>Project Eligibility Criteria</w:t>
            </w:r>
            <w:r w:rsidR="00B51688">
              <w:rPr>
                <w:noProof/>
                <w:webHidden/>
              </w:rPr>
              <w:tab/>
            </w:r>
            <w:r w:rsidR="00B51688">
              <w:rPr>
                <w:noProof/>
                <w:webHidden/>
              </w:rPr>
              <w:fldChar w:fldCharType="begin"/>
            </w:r>
            <w:r w:rsidR="00B51688">
              <w:rPr>
                <w:noProof/>
                <w:webHidden/>
              </w:rPr>
              <w:instrText xml:space="preserve"> PAGEREF _Toc73945838 \h </w:instrText>
            </w:r>
            <w:r w:rsidR="00B51688">
              <w:rPr>
                <w:noProof/>
                <w:webHidden/>
              </w:rPr>
            </w:r>
            <w:r w:rsidR="00B51688">
              <w:rPr>
                <w:noProof/>
                <w:webHidden/>
              </w:rPr>
              <w:fldChar w:fldCharType="separate"/>
            </w:r>
            <w:r w:rsidR="00B51688">
              <w:rPr>
                <w:noProof/>
                <w:webHidden/>
              </w:rPr>
              <w:t>12</w:t>
            </w:r>
            <w:r w:rsidR="00B51688">
              <w:rPr>
                <w:noProof/>
                <w:webHidden/>
              </w:rPr>
              <w:fldChar w:fldCharType="end"/>
            </w:r>
          </w:hyperlink>
        </w:p>
        <w:p w:rsidR="00B51688" w:rsidRDefault="00D3337E" w14:paraId="35FDD657" w14:textId="48A24C2C">
          <w:pPr>
            <w:pStyle w:val="TOC2"/>
            <w:tabs>
              <w:tab w:val="right" w:leader="dot" w:pos="9350"/>
            </w:tabs>
            <w:rPr>
              <w:rFonts w:asciiTheme="minorHAnsi" w:hAnsiTheme="minorHAnsi" w:cstheme="minorBidi"/>
              <w:noProof/>
              <w:sz w:val="22"/>
            </w:rPr>
          </w:pPr>
          <w:hyperlink w:history="1" w:anchor="_Toc73945839">
            <w:r w:rsidRPr="00A873D8" w:rsidR="00B51688">
              <w:rPr>
                <w:rStyle w:val="Hyperlink"/>
                <w:noProof/>
              </w:rPr>
              <w:t xml:space="preserve">4.2 </w:t>
            </w:r>
            <w:r w:rsidR="00B51688">
              <w:rPr>
                <w:rFonts w:asciiTheme="minorHAnsi" w:hAnsiTheme="minorHAnsi" w:cstheme="minorBidi"/>
                <w:noProof/>
                <w:sz w:val="22"/>
              </w:rPr>
              <w:tab/>
            </w:r>
            <w:r w:rsidRPr="00A873D8" w:rsidR="00B51688">
              <w:rPr>
                <w:rStyle w:val="Hyperlink"/>
                <w:noProof/>
              </w:rPr>
              <w:t>Inequitable Usage of Ratepayer Funds</w:t>
            </w:r>
            <w:r w:rsidR="00B51688">
              <w:rPr>
                <w:noProof/>
                <w:webHidden/>
              </w:rPr>
              <w:tab/>
            </w:r>
            <w:r w:rsidR="00B51688">
              <w:rPr>
                <w:noProof/>
                <w:webHidden/>
              </w:rPr>
              <w:fldChar w:fldCharType="begin"/>
            </w:r>
            <w:r w:rsidR="00B51688">
              <w:rPr>
                <w:noProof/>
                <w:webHidden/>
              </w:rPr>
              <w:instrText xml:space="preserve"> PAGEREF _Toc73945839 \h </w:instrText>
            </w:r>
            <w:r w:rsidR="00B51688">
              <w:rPr>
                <w:noProof/>
                <w:webHidden/>
              </w:rPr>
            </w:r>
            <w:r w:rsidR="00B51688">
              <w:rPr>
                <w:noProof/>
                <w:webHidden/>
              </w:rPr>
              <w:fldChar w:fldCharType="separate"/>
            </w:r>
            <w:r w:rsidR="00B51688">
              <w:rPr>
                <w:noProof/>
                <w:webHidden/>
              </w:rPr>
              <w:t>16</w:t>
            </w:r>
            <w:r w:rsidR="00B51688">
              <w:rPr>
                <w:noProof/>
                <w:webHidden/>
              </w:rPr>
              <w:fldChar w:fldCharType="end"/>
            </w:r>
          </w:hyperlink>
        </w:p>
        <w:p w:rsidR="00B51688" w:rsidRDefault="00D3337E" w14:paraId="6614948E" w14:textId="44F737E9">
          <w:pPr>
            <w:pStyle w:val="TOC2"/>
            <w:tabs>
              <w:tab w:val="right" w:leader="dot" w:pos="9350"/>
            </w:tabs>
            <w:rPr>
              <w:rFonts w:asciiTheme="minorHAnsi" w:hAnsiTheme="minorHAnsi" w:cstheme="minorBidi"/>
              <w:noProof/>
              <w:sz w:val="22"/>
            </w:rPr>
          </w:pPr>
          <w:hyperlink w:history="1" w:anchor="_Toc73945840">
            <w:r w:rsidRPr="00A873D8" w:rsidR="00B51688">
              <w:rPr>
                <w:rStyle w:val="Hyperlink"/>
                <w:noProof/>
              </w:rPr>
              <w:t xml:space="preserve">4.3 </w:t>
            </w:r>
            <w:r w:rsidR="00B51688">
              <w:rPr>
                <w:rFonts w:asciiTheme="minorHAnsi" w:hAnsiTheme="minorHAnsi" w:cstheme="minorBidi"/>
                <w:noProof/>
                <w:sz w:val="22"/>
              </w:rPr>
              <w:tab/>
            </w:r>
            <w:r w:rsidRPr="00A873D8" w:rsidR="00B51688">
              <w:rPr>
                <w:rStyle w:val="Hyperlink"/>
                <w:noProof/>
              </w:rPr>
              <w:t>Rule 20A Work Credit System</w:t>
            </w:r>
            <w:r w:rsidR="00B51688">
              <w:rPr>
                <w:noProof/>
                <w:webHidden/>
              </w:rPr>
              <w:tab/>
            </w:r>
            <w:r w:rsidR="00B51688">
              <w:rPr>
                <w:noProof/>
                <w:webHidden/>
              </w:rPr>
              <w:fldChar w:fldCharType="begin"/>
            </w:r>
            <w:r w:rsidR="00B51688">
              <w:rPr>
                <w:noProof/>
                <w:webHidden/>
              </w:rPr>
              <w:instrText xml:space="preserve"> PAGEREF _Toc73945840 \h </w:instrText>
            </w:r>
            <w:r w:rsidR="00B51688">
              <w:rPr>
                <w:noProof/>
                <w:webHidden/>
              </w:rPr>
            </w:r>
            <w:r w:rsidR="00B51688">
              <w:rPr>
                <w:noProof/>
                <w:webHidden/>
              </w:rPr>
              <w:fldChar w:fldCharType="separate"/>
            </w:r>
            <w:r w:rsidR="00B51688">
              <w:rPr>
                <w:noProof/>
                <w:webHidden/>
              </w:rPr>
              <w:t>17</w:t>
            </w:r>
            <w:r w:rsidR="00B51688">
              <w:rPr>
                <w:noProof/>
                <w:webHidden/>
              </w:rPr>
              <w:fldChar w:fldCharType="end"/>
            </w:r>
          </w:hyperlink>
        </w:p>
        <w:p w:rsidR="00B51688" w:rsidRDefault="00D3337E" w14:paraId="3E93FA55" w14:textId="4DB797E0">
          <w:pPr>
            <w:pStyle w:val="TOC1"/>
            <w:tabs>
              <w:tab w:val="right" w:leader="dot" w:pos="9350"/>
            </w:tabs>
            <w:rPr>
              <w:rFonts w:asciiTheme="minorHAnsi" w:hAnsiTheme="minorHAnsi" w:cstheme="minorBidi"/>
              <w:noProof/>
              <w:sz w:val="22"/>
            </w:rPr>
          </w:pPr>
          <w:hyperlink w:history="1" w:anchor="_Toc73945841">
            <w:r w:rsidRPr="00A873D8" w:rsidR="00B51688">
              <w:rPr>
                <w:rStyle w:val="Hyperlink"/>
                <w:noProof/>
              </w:rPr>
              <w:t>5.</w:t>
            </w:r>
            <w:r w:rsidR="00B51688">
              <w:rPr>
                <w:rFonts w:asciiTheme="minorHAnsi" w:hAnsiTheme="minorHAnsi" w:cstheme="minorBidi"/>
                <w:noProof/>
                <w:sz w:val="22"/>
              </w:rPr>
              <w:tab/>
            </w:r>
            <w:r w:rsidRPr="00A873D8" w:rsidR="00B51688">
              <w:rPr>
                <w:rStyle w:val="Hyperlink"/>
                <w:noProof/>
              </w:rPr>
              <w:t>Whether to Modify Program Management Requirements or Enhance Oversight of the Rule 20A Program.</w:t>
            </w:r>
            <w:r w:rsidR="00B51688">
              <w:rPr>
                <w:noProof/>
                <w:webHidden/>
              </w:rPr>
              <w:tab/>
            </w:r>
            <w:r w:rsidR="00B51688">
              <w:rPr>
                <w:noProof/>
                <w:webHidden/>
              </w:rPr>
              <w:fldChar w:fldCharType="begin"/>
            </w:r>
            <w:r w:rsidR="00B51688">
              <w:rPr>
                <w:noProof/>
                <w:webHidden/>
              </w:rPr>
              <w:instrText xml:space="preserve"> PAGEREF _Toc73945841 \h </w:instrText>
            </w:r>
            <w:r w:rsidR="00B51688">
              <w:rPr>
                <w:noProof/>
                <w:webHidden/>
              </w:rPr>
            </w:r>
            <w:r w:rsidR="00B51688">
              <w:rPr>
                <w:noProof/>
                <w:webHidden/>
              </w:rPr>
              <w:fldChar w:fldCharType="separate"/>
            </w:r>
            <w:r w:rsidR="00B51688">
              <w:rPr>
                <w:noProof/>
                <w:webHidden/>
              </w:rPr>
              <w:t>23</w:t>
            </w:r>
            <w:r w:rsidR="00B51688">
              <w:rPr>
                <w:noProof/>
                <w:webHidden/>
              </w:rPr>
              <w:fldChar w:fldCharType="end"/>
            </w:r>
          </w:hyperlink>
        </w:p>
        <w:p w:rsidR="00B51688" w:rsidRDefault="00D3337E" w14:paraId="4DF75430" w14:textId="7D2607E4">
          <w:pPr>
            <w:pStyle w:val="TOC2"/>
            <w:tabs>
              <w:tab w:val="right" w:leader="dot" w:pos="9350"/>
            </w:tabs>
            <w:rPr>
              <w:rFonts w:asciiTheme="minorHAnsi" w:hAnsiTheme="minorHAnsi" w:cstheme="minorBidi"/>
              <w:noProof/>
              <w:sz w:val="22"/>
            </w:rPr>
          </w:pPr>
          <w:hyperlink w:history="1" w:anchor="_Toc73945842">
            <w:r w:rsidRPr="00A873D8" w:rsidR="00B51688">
              <w:rPr>
                <w:rStyle w:val="Hyperlink"/>
                <w:noProof/>
              </w:rPr>
              <w:t>5.1</w:t>
            </w:r>
            <w:r w:rsidR="00B51688">
              <w:rPr>
                <w:rFonts w:asciiTheme="minorHAnsi" w:hAnsiTheme="minorHAnsi" w:cstheme="minorBidi"/>
                <w:noProof/>
                <w:sz w:val="22"/>
              </w:rPr>
              <w:tab/>
            </w:r>
            <w:r w:rsidRPr="00A873D8" w:rsidR="00B51688">
              <w:rPr>
                <w:rStyle w:val="Hyperlink"/>
                <w:noProof/>
              </w:rPr>
              <w:t>PG&amp;E Audit Report</w:t>
            </w:r>
            <w:r w:rsidR="00B51688">
              <w:rPr>
                <w:noProof/>
                <w:webHidden/>
              </w:rPr>
              <w:tab/>
            </w:r>
            <w:r w:rsidR="00B51688">
              <w:rPr>
                <w:noProof/>
                <w:webHidden/>
              </w:rPr>
              <w:fldChar w:fldCharType="begin"/>
            </w:r>
            <w:r w:rsidR="00B51688">
              <w:rPr>
                <w:noProof/>
                <w:webHidden/>
              </w:rPr>
              <w:instrText xml:space="preserve"> PAGEREF _Toc73945842 \h </w:instrText>
            </w:r>
            <w:r w:rsidR="00B51688">
              <w:rPr>
                <w:noProof/>
                <w:webHidden/>
              </w:rPr>
            </w:r>
            <w:r w:rsidR="00B51688">
              <w:rPr>
                <w:noProof/>
                <w:webHidden/>
              </w:rPr>
              <w:fldChar w:fldCharType="separate"/>
            </w:r>
            <w:r w:rsidR="00B51688">
              <w:rPr>
                <w:noProof/>
                <w:webHidden/>
              </w:rPr>
              <w:t>23</w:t>
            </w:r>
            <w:r w:rsidR="00B51688">
              <w:rPr>
                <w:noProof/>
                <w:webHidden/>
              </w:rPr>
              <w:fldChar w:fldCharType="end"/>
            </w:r>
          </w:hyperlink>
        </w:p>
        <w:p w:rsidR="00B51688" w:rsidRDefault="00D3337E" w14:paraId="24658FF4" w14:textId="5877329E">
          <w:pPr>
            <w:pStyle w:val="TOC2"/>
            <w:tabs>
              <w:tab w:val="right" w:leader="dot" w:pos="9350"/>
            </w:tabs>
            <w:rPr>
              <w:rFonts w:asciiTheme="minorHAnsi" w:hAnsiTheme="minorHAnsi" w:cstheme="minorBidi"/>
              <w:noProof/>
              <w:sz w:val="22"/>
            </w:rPr>
          </w:pPr>
          <w:hyperlink w:history="1" w:anchor="_Toc73945843">
            <w:r w:rsidRPr="00A873D8" w:rsidR="00B51688">
              <w:rPr>
                <w:rStyle w:val="Hyperlink"/>
                <w:noProof/>
              </w:rPr>
              <w:t>5.2</w:t>
            </w:r>
            <w:r w:rsidR="00B51688">
              <w:rPr>
                <w:rFonts w:asciiTheme="minorHAnsi" w:hAnsiTheme="minorHAnsi" w:cstheme="minorBidi"/>
                <w:noProof/>
                <w:sz w:val="22"/>
              </w:rPr>
              <w:tab/>
            </w:r>
            <w:r w:rsidRPr="00A873D8" w:rsidR="00B51688">
              <w:rPr>
                <w:rStyle w:val="Hyperlink"/>
                <w:noProof/>
              </w:rPr>
              <w:t>Rule 20 Program Improvements</w:t>
            </w:r>
            <w:r w:rsidR="00B51688">
              <w:rPr>
                <w:noProof/>
                <w:webHidden/>
              </w:rPr>
              <w:tab/>
            </w:r>
            <w:r w:rsidR="00B51688">
              <w:rPr>
                <w:noProof/>
                <w:webHidden/>
              </w:rPr>
              <w:fldChar w:fldCharType="begin"/>
            </w:r>
            <w:r w:rsidR="00B51688">
              <w:rPr>
                <w:noProof/>
                <w:webHidden/>
              </w:rPr>
              <w:instrText xml:space="preserve"> PAGEREF _Toc73945843 \h </w:instrText>
            </w:r>
            <w:r w:rsidR="00B51688">
              <w:rPr>
                <w:noProof/>
                <w:webHidden/>
              </w:rPr>
            </w:r>
            <w:r w:rsidR="00B51688">
              <w:rPr>
                <w:noProof/>
                <w:webHidden/>
              </w:rPr>
              <w:fldChar w:fldCharType="separate"/>
            </w:r>
            <w:r w:rsidR="00B51688">
              <w:rPr>
                <w:noProof/>
                <w:webHidden/>
              </w:rPr>
              <w:t>24</w:t>
            </w:r>
            <w:r w:rsidR="00B51688">
              <w:rPr>
                <w:noProof/>
                <w:webHidden/>
              </w:rPr>
              <w:fldChar w:fldCharType="end"/>
            </w:r>
          </w:hyperlink>
        </w:p>
        <w:p w:rsidR="00B51688" w:rsidRDefault="00D3337E" w14:paraId="6750474C" w14:textId="3615FD3E">
          <w:pPr>
            <w:pStyle w:val="TOC1"/>
            <w:tabs>
              <w:tab w:val="right" w:leader="dot" w:pos="9350"/>
            </w:tabs>
            <w:rPr>
              <w:rFonts w:asciiTheme="minorHAnsi" w:hAnsiTheme="minorHAnsi" w:cstheme="minorBidi"/>
              <w:noProof/>
              <w:sz w:val="22"/>
            </w:rPr>
          </w:pPr>
          <w:hyperlink w:history="1" w:anchor="_Toc73945844">
            <w:r w:rsidRPr="00A873D8" w:rsidR="00B51688">
              <w:rPr>
                <w:rStyle w:val="Hyperlink"/>
                <w:noProof/>
              </w:rPr>
              <w:t>6.</w:t>
            </w:r>
            <w:r w:rsidR="00B51688">
              <w:rPr>
                <w:rFonts w:asciiTheme="minorHAnsi" w:hAnsiTheme="minorHAnsi" w:cstheme="minorBidi"/>
                <w:noProof/>
                <w:sz w:val="22"/>
              </w:rPr>
              <w:tab/>
            </w:r>
            <w:r w:rsidRPr="00A873D8" w:rsidR="00B51688">
              <w:rPr>
                <w:rStyle w:val="Hyperlink"/>
                <w:noProof/>
              </w:rPr>
              <w:t>Phase 2 Issues and Extension of Statutory Deadline</w:t>
            </w:r>
            <w:r w:rsidR="00B51688">
              <w:rPr>
                <w:noProof/>
                <w:webHidden/>
              </w:rPr>
              <w:tab/>
            </w:r>
            <w:r w:rsidR="00B51688">
              <w:rPr>
                <w:noProof/>
                <w:webHidden/>
              </w:rPr>
              <w:fldChar w:fldCharType="begin"/>
            </w:r>
            <w:r w:rsidR="00B51688">
              <w:rPr>
                <w:noProof/>
                <w:webHidden/>
              </w:rPr>
              <w:instrText xml:space="preserve"> PAGEREF _Toc73945844 \h </w:instrText>
            </w:r>
            <w:r w:rsidR="00B51688">
              <w:rPr>
                <w:noProof/>
                <w:webHidden/>
              </w:rPr>
            </w:r>
            <w:r w:rsidR="00B51688">
              <w:rPr>
                <w:noProof/>
                <w:webHidden/>
              </w:rPr>
              <w:fldChar w:fldCharType="separate"/>
            </w:r>
            <w:r w:rsidR="00B51688">
              <w:rPr>
                <w:noProof/>
                <w:webHidden/>
              </w:rPr>
              <w:t>31</w:t>
            </w:r>
            <w:r w:rsidR="00B51688">
              <w:rPr>
                <w:noProof/>
                <w:webHidden/>
              </w:rPr>
              <w:fldChar w:fldCharType="end"/>
            </w:r>
          </w:hyperlink>
        </w:p>
        <w:p w:rsidR="00B51688" w:rsidRDefault="00D3337E" w14:paraId="0DCC2FA4" w14:textId="5B6195EA">
          <w:pPr>
            <w:pStyle w:val="TOC1"/>
            <w:tabs>
              <w:tab w:val="right" w:leader="dot" w:pos="9350"/>
            </w:tabs>
            <w:rPr>
              <w:rFonts w:asciiTheme="minorHAnsi" w:hAnsiTheme="minorHAnsi" w:cstheme="minorBidi"/>
              <w:noProof/>
              <w:sz w:val="22"/>
            </w:rPr>
          </w:pPr>
          <w:hyperlink w:history="1" w:anchor="_Toc73945845">
            <w:r w:rsidRPr="00A873D8" w:rsidR="00B51688">
              <w:rPr>
                <w:rStyle w:val="Hyperlink"/>
                <w:noProof/>
              </w:rPr>
              <w:t>7.</w:t>
            </w:r>
            <w:r w:rsidR="00B51688">
              <w:rPr>
                <w:rFonts w:asciiTheme="minorHAnsi" w:hAnsiTheme="minorHAnsi" w:cstheme="minorBidi"/>
                <w:noProof/>
                <w:sz w:val="22"/>
              </w:rPr>
              <w:tab/>
            </w:r>
            <w:r w:rsidRPr="00A873D8" w:rsidR="00B51688">
              <w:rPr>
                <w:rStyle w:val="Hyperlink"/>
                <w:noProof/>
              </w:rPr>
              <w:t>Comments on Proposed Decision</w:t>
            </w:r>
            <w:r w:rsidR="00B51688">
              <w:rPr>
                <w:noProof/>
                <w:webHidden/>
              </w:rPr>
              <w:tab/>
            </w:r>
            <w:r w:rsidR="00B51688">
              <w:rPr>
                <w:noProof/>
                <w:webHidden/>
              </w:rPr>
              <w:fldChar w:fldCharType="begin"/>
            </w:r>
            <w:r w:rsidR="00B51688">
              <w:rPr>
                <w:noProof/>
                <w:webHidden/>
              </w:rPr>
              <w:instrText xml:space="preserve"> PAGEREF _Toc73945845 \h </w:instrText>
            </w:r>
            <w:r w:rsidR="00B51688">
              <w:rPr>
                <w:noProof/>
                <w:webHidden/>
              </w:rPr>
            </w:r>
            <w:r w:rsidR="00B51688">
              <w:rPr>
                <w:noProof/>
                <w:webHidden/>
              </w:rPr>
              <w:fldChar w:fldCharType="separate"/>
            </w:r>
            <w:r w:rsidR="00B51688">
              <w:rPr>
                <w:noProof/>
                <w:webHidden/>
              </w:rPr>
              <w:t>32</w:t>
            </w:r>
            <w:r w:rsidR="00B51688">
              <w:rPr>
                <w:noProof/>
                <w:webHidden/>
              </w:rPr>
              <w:fldChar w:fldCharType="end"/>
            </w:r>
          </w:hyperlink>
        </w:p>
        <w:p w:rsidR="00B51688" w:rsidRDefault="00D3337E" w14:paraId="6D4C51CF" w14:textId="67BB7BB3">
          <w:pPr>
            <w:pStyle w:val="TOC1"/>
            <w:tabs>
              <w:tab w:val="right" w:leader="dot" w:pos="9350"/>
            </w:tabs>
            <w:rPr>
              <w:rFonts w:asciiTheme="minorHAnsi" w:hAnsiTheme="minorHAnsi" w:cstheme="minorBidi"/>
              <w:noProof/>
              <w:sz w:val="22"/>
            </w:rPr>
          </w:pPr>
          <w:hyperlink w:history="1" w:anchor="_Toc73945846">
            <w:r w:rsidRPr="00A873D8" w:rsidR="00B51688">
              <w:rPr>
                <w:rStyle w:val="Hyperlink"/>
                <w:noProof/>
              </w:rPr>
              <w:t>8.</w:t>
            </w:r>
            <w:r w:rsidR="00B51688">
              <w:rPr>
                <w:rFonts w:asciiTheme="minorHAnsi" w:hAnsiTheme="minorHAnsi" w:cstheme="minorBidi"/>
                <w:noProof/>
                <w:sz w:val="22"/>
              </w:rPr>
              <w:tab/>
            </w:r>
            <w:r w:rsidRPr="00A873D8" w:rsidR="00B51688">
              <w:rPr>
                <w:rStyle w:val="Hyperlink"/>
                <w:noProof/>
              </w:rPr>
              <w:t>Assignment of Proceeding</w:t>
            </w:r>
            <w:r w:rsidR="00B51688">
              <w:rPr>
                <w:noProof/>
                <w:webHidden/>
              </w:rPr>
              <w:tab/>
            </w:r>
            <w:r w:rsidR="00B51688">
              <w:rPr>
                <w:noProof/>
                <w:webHidden/>
              </w:rPr>
              <w:fldChar w:fldCharType="begin"/>
            </w:r>
            <w:r w:rsidR="00B51688">
              <w:rPr>
                <w:noProof/>
                <w:webHidden/>
              </w:rPr>
              <w:instrText xml:space="preserve"> PAGEREF _Toc73945846 \h </w:instrText>
            </w:r>
            <w:r w:rsidR="00B51688">
              <w:rPr>
                <w:noProof/>
                <w:webHidden/>
              </w:rPr>
            </w:r>
            <w:r w:rsidR="00B51688">
              <w:rPr>
                <w:noProof/>
                <w:webHidden/>
              </w:rPr>
              <w:fldChar w:fldCharType="separate"/>
            </w:r>
            <w:r w:rsidR="00B51688">
              <w:rPr>
                <w:noProof/>
                <w:webHidden/>
              </w:rPr>
              <w:t>33</w:t>
            </w:r>
            <w:r w:rsidR="00B51688">
              <w:rPr>
                <w:noProof/>
                <w:webHidden/>
              </w:rPr>
              <w:fldChar w:fldCharType="end"/>
            </w:r>
          </w:hyperlink>
        </w:p>
        <w:p w:rsidR="00B51688" w:rsidRDefault="00D3337E" w14:paraId="23EB6AFC" w14:textId="2F7568D9">
          <w:pPr>
            <w:pStyle w:val="TOC1"/>
            <w:tabs>
              <w:tab w:val="right" w:leader="dot" w:pos="9350"/>
            </w:tabs>
            <w:rPr>
              <w:rFonts w:asciiTheme="minorHAnsi" w:hAnsiTheme="minorHAnsi" w:cstheme="minorBidi"/>
              <w:noProof/>
              <w:sz w:val="22"/>
            </w:rPr>
          </w:pPr>
          <w:hyperlink w:history="1" w:anchor="_Toc73945847">
            <w:r w:rsidRPr="00A873D8" w:rsidR="00B51688">
              <w:rPr>
                <w:rStyle w:val="Hyperlink"/>
                <w:noProof/>
              </w:rPr>
              <w:t>Findings of Fact</w:t>
            </w:r>
            <w:r w:rsidR="00B51688">
              <w:rPr>
                <w:noProof/>
                <w:webHidden/>
              </w:rPr>
              <w:tab/>
            </w:r>
            <w:r w:rsidR="00B51688">
              <w:rPr>
                <w:noProof/>
                <w:webHidden/>
              </w:rPr>
              <w:fldChar w:fldCharType="begin"/>
            </w:r>
            <w:r w:rsidR="00B51688">
              <w:rPr>
                <w:noProof/>
                <w:webHidden/>
              </w:rPr>
              <w:instrText xml:space="preserve"> PAGEREF _Toc73945847 \h </w:instrText>
            </w:r>
            <w:r w:rsidR="00B51688">
              <w:rPr>
                <w:noProof/>
                <w:webHidden/>
              </w:rPr>
            </w:r>
            <w:r w:rsidR="00B51688">
              <w:rPr>
                <w:noProof/>
                <w:webHidden/>
              </w:rPr>
              <w:fldChar w:fldCharType="separate"/>
            </w:r>
            <w:r w:rsidR="00B51688">
              <w:rPr>
                <w:noProof/>
                <w:webHidden/>
              </w:rPr>
              <w:t>33</w:t>
            </w:r>
            <w:r w:rsidR="00B51688">
              <w:rPr>
                <w:noProof/>
                <w:webHidden/>
              </w:rPr>
              <w:fldChar w:fldCharType="end"/>
            </w:r>
          </w:hyperlink>
        </w:p>
        <w:p w:rsidR="00B51688" w:rsidRDefault="00D3337E" w14:paraId="197417E5" w14:textId="7A1D2494">
          <w:pPr>
            <w:pStyle w:val="TOC1"/>
            <w:tabs>
              <w:tab w:val="right" w:leader="dot" w:pos="9350"/>
            </w:tabs>
            <w:rPr>
              <w:rFonts w:asciiTheme="minorHAnsi" w:hAnsiTheme="minorHAnsi" w:cstheme="minorBidi"/>
              <w:noProof/>
              <w:sz w:val="22"/>
            </w:rPr>
          </w:pPr>
          <w:hyperlink w:history="1" w:anchor="_Toc73945848">
            <w:r w:rsidRPr="00A873D8" w:rsidR="00B51688">
              <w:rPr>
                <w:rStyle w:val="Hyperlink"/>
                <w:noProof/>
              </w:rPr>
              <w:t>Conclusions of Law</w:t>
            </w:r>
            <w:r w:rsidR="00B51688">
              <w:rPr>
                <w:noProof/>
                <w:webHidden/>
              </w:rPr>
              <w:tab/>
            </w:r>
            <w:r w:rsidR="00B51688">
              <w:rPr>
                <w:noProof/>
                <w:webHidden/>
              </w:rPr>
              <w:fldChar w:fldCharType="begin"/>
            </w:r>
            <w:r w:rsidR="00B51688">
              <w:rPr>
                <w:noProof/>
                <w:webHidden/>
              </w:rPr>
              <w:instrText xml:space="preserve"> PAGEREF _Toc73945848 \h </w:instrText>
            </w:r>
            <w:r w:rsidR="00B51688">
              <w:rPr>
                <w:noProof/>
                <w:webHidden/>
              </w:rPr>
            </w:r>
            <w:r w:rsidR="00B51688">
              <w:rPr>
                <w:noProof/>
                <w:webHidden/>
              </w:rPr>
              <w:fldChar w:fldCharType="separate"/>
            </w:r>
            <w:r w:rsidR="00B51688">
              <w:rPr>
                <w:noProof/>
                <w:webHidden/>
              </w:rPr>
              <w:t>35</w:t>
            </w:r>
            <w:r w:rsidR="00B51688">
              <w:rPr>
                <w:noProof/>
                <w:webHidden/>
              </w:rPr>
              <w:fldChar w:fldCharType="end"/>
            </w:r>
          </w:hyperlink>
        </w:p>
        <w:p w:rsidR="00B51688" w:rsidRDefault="00D3337E" w14:paraId="15C57792" w14:textId="1F55BE5F">
          <w:pPr>
            <w:pStyle w:val="TOC1"/>
            <w:tabs>
              <w:tab w:val="right" w:leader="dot" w:pos="9350"/>
            </w:tabs>
            <w:rPr>
              <w:rFonts w:asciiTheme="minorHAnsi" w:hAnsiTheme="minorHAnsi" w:cstheme="minorBidi"/>
              <w:noProof/>
              <w:sz w:val="22"/>
            </w:rPr>
          </w:pPr>
          <w:hyperlink w:history="1" w:anchor="_Toc73945849">
            <w:r w:rsidRPr="00A873D8" w:rsidR="00B51688">
              <w:rPr>
                <w:rStyle w:val="Hyperlink"/>
                <w:noProof/>
              </w:rPr>
              <w:t>ORDER</w:t>
            </w:r>
            <w:r w:rsidR="00B51688">
              <w:rPr>
                <w:noProof/>
                <w:webHidden/>
              </w:rPr>
              <w:tab/>
            </w:r>
            <w:r w:rsidR="00B51688">
              <w:rPr>
                <w:noProof/>
                <w:webHidden/>
              </w:rPr>
              <w:fldChar w:fldCharType="begin"/>
            </w:r>
            <w:r w:rsidR="00B51688">
              <w:rPr>
                <w:noProof/>
                <w:webHidden/>
              </w:rPr>
              <w:instrText xml:space="preserve"> PAGEREF _Toc73945849 \h </w:instrText>
            </w:r>
            <w:r w:rsidR="00B51688">
              <w:rPr>
                <w:noProof/>
                <w:webHidden/>
              </w:rPr>
            </w:r>
            <w:r w:rsidR="00B51688">
              <w:rPr>
                <w:noProof/>
                <w:webHidden/>
              </w:rPr>
              <w:fldChar w:fldCharType="separate"/>
            </w:r>
            <w:r w:rsidR="00B51688">
              <w:rPr>
                <w:noProof/>
                <w:webHidden/>
              </w:rPr>
              <w:t>40</w:t>
            </w:r>
            <w:r w:rsidR="00B51688">
              <w:rPr>
                <w:noProof/>
                <w:webHidden/>
              </w:rPr>
              <w:fldChar w:fldCharType="end"/>
            </w:r>
          </w:hyperlink>
        </w:p>
        <w:p w:rsidR="00D82A43" w:rsidP="00E937DD" w:rsidRDefault="00E937DD" w14:paraId="6F9CDC1E" w14:textId="5388EB8A">
          <w:pPr>
            <w:pStyle w:val="TOC1"/>
            <w:tabs>
              <w:tab w:val="right" w:leader="dot" w:pos="9350"/>
            </w:tabs>
          </w:pPr>
          <w:r>
            <w:rPr>
              <w:rFonts w:asciiTheme="minorHAnsi" w:hAnsiTheme="minorHAnsi"/>
              <w:sz w:val="22"/>
            </w:rPr>
            <w:fldChar w:fldCharType="end"/>
          </w:r>
        </w:p>
      </w:sdtContent>
    </w:sdt>
    <w:p w:rsidRPr="007004F3" w:rsidR="007004F3" w:rsidP="00D44DB6" w:rsidRDefault="007004F3" w14:paraId="75D20AEB" w14:textId="493FC762">
      <w:pPr>
        <w:spacing w:line="240" w:lineRule="auto"/>
        <w:ind w:firstLine="0"/>
        <w:rPr>
          <w:rFonts w:cs="Arial"/>
          <w:iCs/>
          <w:szCs w:val="26"/>
        </w:rPr>
      </w:pPr>
      <w:r>
        <w:rPr>
          <w:rFonts w:cs="Arial"/>
          <w:iCs/>
          <w:szCs w:val="26"/>
        </w:rPr>
        <w:t>Attachment A</w:t>
      </w:r>
    </w:p>
    <w:p w:rsidRPr="001E796D" w:rsidR="00D44DB6" w:rsidP="00D44DB6" w:rsidRDefault="001E796D" w14:paraId="5E6DC0EA" w14:textId="08C68217">
      <w:pPr>
        <w:spacing w:line="240" w:lineRule="auto"/>
        <w:ind w:firstLine="0"/>
        <w:rPr>
          <w:rFonts w:cs="Arial"/>
          <w:iCs/>
          <w:szCs w:val="26"/>
        </w:rPr>
        <w:sectPr w:rsidRPr="001E796D" w:rsidR="00D44DB6" w:rsidSect="00D44DB6">
          <w:headerReference w:type="default" r:id="rId9"/>
          <w:footerReference w:type="default" r:id="rId10"/>
          <w:pgSz w:w="12240" w:h="15840"/>
          <w:pgMar w:top="1728" w:right="1440" w:bottom="1440" w:left="1440" w:header="720" w:footer="720" w:gutter="0"/>
          <w:pgNumType w:fmt="lowerRoman" w:start="1"/>
          <w:cols w:space="720"/>
          <w:docGrid w:linePitch="360"/>
        </w:sectPr>
      </w:pPr>
      <w:r>
        <w:rPr>
          <w:rFonts w:cs="Arial"/>
          <w:iCs/>
          <w:szCs w:val="26"/>
        </w:rPr>
        <w:t>Attachment B</w:t>
      </w:r>
    </w:p>
    <w:p w:rsidR="0098655A" w:rsidP="005F0A1D" w:rsidRDefault="00D55A9C" w14:paraId="338ECB24" w14:textId="649DE96B">
      <w:pPr>
        <w:pStyle w:val="Dummy"/>
        <w:jc w:val="center"/>
      </w:pPr>
      <w:r>
        <w:lastRenderedPageBreak/>
        <w:t xml:space="preserve">PHASE 1 </w:t>
      </w:r>
      <w:r w:rsidRPr="0002351A">
        <w:t xml:space="preserve">DECISION </w:t>
      </w:r>
      <w:r>
        <w:t xml:space="preserve">REVISING ELECTRIC RULE 20 AND </w:t>
      </w:r>
      <w:r>
        <w:br/>
        <w:t>ENHANCING PROGRAM OVERSIGHT</w:t>
      </w:r>
    </w:p>
    <w:p w:rsidR="005A148C" w:rsidP="00BB2CB6" w:rsidRDefault="005A148C" w14:paraId="081400C5" w14:textId="77777777">
      <w:pPr>
        <w:pStyle w:val="Dummy"/>
      </w:pPr>
      <w:bookmarkStart w:name="_Toc8123714" w:id="2"/>
      <w:r w:rsidRPr="00BB2CB6">
        <w:t>Summary</w:t>
      </w:r>
      <w:bookmarkEnd w:id="2"/>
    </w:p>
    <w:p w:rsidR="00D55A9C" w:rsidP="00BB2CB6" w:rsidRDefault="00D55A9C" w14:paraId="2DA1275A" w14:textId="77777777">
      <w:pPr>
        <w:pStyle w:val="Standard"/>
      </w:pPr>
      <w:r w:rsidRPr="004C3081">
        <w:t xml:space="preserve">Electric Rule 20 </w:t>
      </w:r>
      <w:r w:rsidRPr="00BB2CB6">
        <w:t>defines</w:t>
      </w:r>
      <w:r w:rsidRPr="004C3081">
        <w:t xml:space="preserve"> policies and procedures for </w:t>
      </w:r>
      <w:r>
        <w:t xml:space="preserve">electric utilities to </w:t>
      </w:r>
      <w:r w:rsidRPr="004C3081">
        <w:t>convert overhead power lines and other equipment to underground facilities</w:t>
      </w:r>
      <w:r>
        <w:t xml:space="preserve"> at the request of a city, unincorporated county, or private applicant</w:t>
      </w:r>
      <w:r w:rsidRPr="004C3081">
        <w:t>.</w:t>
      </w:r>
      <w:r w:rsidRPr="00CF6600">
        <w:t xml:space="preserve">  </w:t>
      </w:r>
      <w:r>
        <w:t xml:space="preserve">Electric Rule 20A is a subprogram of Electric Rule 20 that allocates ratepayer-funded work credits to cities and unincorporated counties for projects that meet specific project eligibility criteria. </w:t>
      </w:r>
    </w:p>
    <w:p w:rsidR="00D55A9C" w:rsidP="00BB2CB6" w:rsidRDefault="00D55A9C" w14:paraId="1A6F607E" w14:textId="77777777">
      <w:pPr>
        <w:pStyle w:val="Standard"/>
      </w:pPr>
      <w:r w:rsidRPr="00C12684">
        <w:t xml:space="preserve">This </w:t>
      </w:r>
      <w:r>
        <w:t xml:space="preserve">Phase 1 </w:t>
      </w:r>
      <w:r w:rsidRPr="00C12684">
        <w:t xml:space="preserve">decision </w:t>
      </w:r>
      <w:r>
        <w:t>revises Electric Rule 20 as follows: (a) discontinues new work credit allocations for Electric Rule 20A projects, (b) clarifies Electric Rule 20A project eligibility criteria and work credit transfer rules, and (c) enhances program oversight. This decision also extends the statutory deadline to consider additional changes to the Electric Rule 20 program.</w:t>
      </w:r>
    </w:p>
    <w:p w:rsidRPr="001D754F" w:rsidR="00D55A9C" w:rsidP="00BA3C52" w:rsidRDefault="00D55A9C" w14:paraId="3DD58F79" w14:textId="610F2C69">
      <w:pPr>
        <w:pStyle w:val="Heading1"/>
        <w:ind w:hanging="720"/>
      </w:pPr>
      <w:bookmarkStart w:name="_Toc73945832" w:id="3"/>
      <w:r w:rsidRPr="006B3C9D">
        <w:t>Procedural</w:t>
      </w:r>
      <w:r w:rsidRPr="001D754F">
        <w:t xml:space="preserve"> Background</w:t>
      </w:r>
      <w:bookmarkEnd w:id="3"/>
    </w:p>
    <w:p w:rsidR="00D55A9C" w:rsidP="0024171A" w:rsidRDefault="00D55A9C" w14:paraId="44EDFCA8" w14:textId="302AE890">
      <w:pPr>
        <w:pStyle w:val="Standard"/>
      </w:pPr>
      <w:r w:rsidRPr="00C12684">
        <w:t>On</w:t>
      </w:r>
      <w:r>
        <w:t xml:space="preserve"> May 11, 2017, the California Public Utilities Commission (Commission) issued the Order Instituting Rulemaking to Consider Revisions to Electric </w:t>
      </w:r>
      <w:r w:rsidR="008B794F">
        <w:br/>
      </w:r>
      <w:r>
        <w:t xml:space="preserve">Rule 20 and Related Matters (OIR). </w:t>
      </w:r>
      <w:r w:rsidR="00BB2CB6">
        <w:t xml:space="preserve"> </w:t>
      </w:r>
      <w:r>
        <w:t>The OIR named certain electric utilities and communications providers as respondents to the rulemaking.</w:t>
      </w:r>
      <w:r>
        <w:rPr>
          <w:rStyle w:val="FootnoteReference"/>
        </w:rPr>
        <w:footnoteReference w:id="2"/>
      </w:r>
      <w:r w:rsidRPr="00974F07">
        <w:t xml:space="preserve"> </w:t>
      </w:r>
      <w:r>
        <w:t xml:space="preserve"> The OIR </w:t>
      </w:r>
      <w:r>
        <w:lastRenderedPageBreak/>
        <w:t xml:space="preserve">described the long procedural history of the program, dating back to 1967.  </w:t>
      </w:r>
      <w:r w:rsidRPr="00C22EFF">
        <w:t xml:space="preserve">The Commission </w:t>
      </w:r>
      <w:r w:rsidRPr="0024171A">
        <w:t>received</w:t>
      </w:r>
      <w:r w:rsidRPr="00C22EFF">
        <w:t xml:space="preserve"> 16 sets of comments </w:t>
      </w:r>
      <w:r>
        <w:t>in response to the</w:t>
      </w:r>
      <w:r w:rsidRPr="00C22EFF">
        <w:t xml:space="preserve"> OIR.</w:t>
      </w:r>
      <w:r>
        <w:rPr>
          <w:rStyle w:val="FootnoteReference"/>
        </w:rPr>
        <w:footnoteReference w:id="3"/>
      </w:r>
      <w:r w:rsidRPr="00C22EFF">
        <w:t xml:space="preserve"> </w:t>
      </w:r>
    </w:p>
    <w:p w:rsidR="00D55A9C" w:rsidP="0024171A" w:rsidRDefault="00D55A9C" w14:paraId="7902A1DA" w14:textId="34C651E1">
      <w:pPr>
        <w:pStyle w:val="Standard"/>
      </w:pPr>
      <w:r w:rsidRPr="00C22EFF">
        <w:t>The assigned Administrative Law Judge (ALJ) held a prehearing conference (PHC) on September 11, 2017, to discuss the issues and the schedule for resolving the</w:t>
      </w:r>
      <w:r>
        <w:t xml:space="preserve"> rulemaking</w:t>
      </w:r>
      <w:r w:rsidRPr="00C22EFF">
        <w:t xml:space="preserve">. </w:t>
      </w:r>
      <w:r w:rsidR="00D92A6E">
        <w:t xml:space="preserve"> </w:t>
      </w:r>
      <w:r>
        <w:t xml:space="preserve">On November 9, 2018, the assigned Commissioner issued a scoping memo and ruling outlining the issues and schedule for the first phase of the proceeding, noting that an additional phase of the proceeding may be required. </w:t>
      </w:r>
      <w:r w:rsidR="00D92A6E">
        <w:t xml:space="preserve"> </w:t>
      </w:r>
      <w:r>
        <w:t xml:space="preserve">Parties </w:t>
      </w:r>
      <w:r w:rsidRPr="00C22EFF">
        <w:t>filed comments and proposals in response to the scoping memo on January 11, 2019.</w:t>
      </w:r>
      <w:r w:rsidRPr="00C22EFF">
        <w:rPr>
          <w:rStyle w:val="FootnoteReference"/>
        </w:rPr>
        <w:footnoteReference w:id="4"/>
      </w:r>
    </w:p>
    <w:p w:rsidR="00D55A9C" w:rsidP="00D92A6E" w:rsidRDefault="00D55A9C" w14:paraId="75082CD1" w14:textId="77777777">
      <w:pPr>
        <w:pStyle w:val="Standard"/>
      </w:pPr>
      <w:r>
        <w:t xml:space="preserve">On </w:t>
      </w:r>
      <w:r w:rsidRPr="00D92A6E">
        <w:t>March</w:t>
      </w:r>
      <w:r>
        <w:t xml:space="preserve"> 6, 2019, the assigned AL</w:t>
      </w:r>
      <w:r w:rsidRPr="00BA397B">
        <w:t>J issued a ruling to address comments on the scope of issues, notice a workshop, and direct certain</w:t>
      </w:r>
      <w:r>
        <w:t xml:space="preserve"> electric</w:t>
      </w:r>
      <w:r w:rsidRPr="00BA397B">
        <w:t xml:space="preserve"> utilities</w:t>
      </w:r>
      <w:r w:rsidRPr="00BA397B">
        <w:rPr>
          <w:rStyle w:val="FootnoteReference"/>
        </w:rPr>
        <w:footnoteReference w:id="5"/>
      </w:r>
      <w:r w:rsidRPr="00BA397B">
        <w:t xml:space="preserve"> to serve the latest version of their</w:t>
      </w:r>
      <w:r>
        <w:t xml:space="preserve"> </w:t>
      </w:r>
      <w:r w:rsidRPr="00BA397B">
        <w:t xml:space="preserve">guidebooks or any other guiding documents for their </w:t>
      </w:r>
      <w:r>
        <w:t xml:space="preserve">Electric </w:t>
      </w:r>
      <w:r w:rsidRPr="00BA397B">
        <w:t>Rule 20</w:t>
      </w:r>
      <w:r>
        <w:t xml:space="preserve"> (Rule 20)</w:t>
      </w:r>
      <w:r w:rsidRPr="00BA397B">
        <w:t xml:space="preserve"> programs.</w:t>
      </w:r>
      <w:r>
        <w:t xml:space="preserve"> </w:t>
      </w:r>
    </w:p>
    <w:p w:rsidR="00D55A9C" w:rsidP="00D92A6E" w:rsidRDefault="00D55A9C" w14:paraId="55AC3B3F" w14:textId="77777777">
      <w:pPr>
        <w:pStyle w:val="Standard"/>
      </w:pPr>
      <w:r w:rsidRPr="6A159AA5">
        <w:lastRenderedPageBreak/>
        <w:t xml:space="preserve">On </w:t>
      </w:r>
      <w:r>
        <w:t xml:space="preserve">April 22 and 23, 2019, </w:t>
      </w:r>
      <w:r w:rsidRPr="6A159AA5">
        <w:t>the</w:t>
      </w:r>
      <w:r>
        <w:t xml:space="preserve"> Commission’s staff </w:t>
      </w:r>
      <w:r w:rsidRPr="6A159AA5">
        <w:t>hosted two days of workshops on the Rule 20 programs to present and review data and findings from staff’s data request to the utilities on program outcomes and performance.</w:t>
      </w:r>
      <w:r>
        <w:rPr>
          <w:rStyle w:val="FootnoteReference"/>
        </w:rPr>
        <w:footnoteReference w:id="6"/>
      </w:r>
      <w:r>
        <w:t xml:space="preserve"> </w:t>
      </w:r>
    </w:p>
    <w:p w:rsidR="00D55A9C" w:rsidP="00D92A6E" w:rsidRDefault="00D55A9C" w14:paraId="4B69BA53" w14:textId="373FFC1B">
      <w:pPr>
        <w:pStyle w:val="Standard"/>
        <w:rPr>
          <w:sz w:val="24"/>
          <w:szCs w:val="24"/>
        </w:rPr>
      </w:pPr>
      <w:r>
        <w:t xml:space="preserve">On June 6, 2019, the assigned ALJ issued a ruling to suspend the electric utility audit requirements of Ordering Paragraph 4 of the OIR. </w:t>
      </w:r>
      <w:r w:rsidR="00D92A6E">
        <w:t xml:space="preserve"> </w:t>
      </w:r>
      <w:r>
        <w:t>This ruling did not modify the audit requirements for Pacific Gas &amp; Electric Company (PG&amp;E) established in Decision (D.) 17-05-013.</w:t>
      </w:r>
    </w:p>
    <w:p w:rsidR="00D55A9C" w:rsidP="00D92A6E" w:rsidRDefault="00D55A9C" w14:paraId="321DE535" w14:textId="135F0CB0">
      <w:pPr>
        <w:pStyle w:val="Standard"/>
      </w:pPr>
      <w:r>
        <w:t xml:space="preserve">On October 3, 2019, the assigned ALJ issued a ruling to enter into the record responses of PG&amp;E to data requests by the Commission’s Energy Division. </w:t>
      </w:r>
      <w:r w:rsidR="00D92A6E">
        <w:t xml:space="preserve"> </w:t>
      </w:r>
      <w:r>
        <w:t xml:space="preserve">On December 16, 2019, the assigned ALJ issued a ruling to direct electric utilities to serve </w:t>
      </w:r>
      <w:r w:rsidRPr="007B696F">
        <w:t>updated data request responses.</w:t>
      </w:r>
      <w:r>
        <w:t xml:space="preserve"> </w:t>
      </w:r>
      <w:r w:rsidR="00D92A6E">
        <w:t xml:space="preserve"> </w:t>
      </w:r>
      <w:r w:rsidRPr="00C00940">
        <w:t>Southern California Edison Company (SCE)</w:t>
      </w:r>
      <w:r>
        <w:t xml:space="preserve"> and</w:t>
      </w:r>
      <w:r w:rsidRPr="00C00940">
        <w:t xml:space="preserve"> San Diego Gas &amp; Electric Company (SDG&amp;E) </w:t>
      </w:r>
      <w:r>
        <w:t xml:space="preserve">filed updated data request responses in April 2020. </w:t>
      </w:r>
    </w:p>
    <w:p w:rsidR="00D55A9C" w:rsidP="00D92A6E" w:rsidRDefault="00D55A9C" w14:paraId="3FEF010A" w14:textId="77777777">
      <w:pPr>
        <w:pStyle w:val="Standard"/>
      </w:pPr>
      <w:r>
        <w:t>On December 20, 2019, the assigned ALJ issued a ruling to enter the audit report of PG&amp;E’s Rule 20A program (PG&amp;E Audit Report) into the record.</w:t>
      </w:r>
    </w:p>
    <w:p w:rsidR="00D55A9C" w:rsidP="00D92A6E" w:rsidRDefault="00D55A9C" w14:paraId="4F07ADDB" w14:textId="77777777">
      <w:pPr>
        <w:pStyle w:val="Standard"/>
      </w:pPr>
      <w:r>
        <w:t xml:space="preserve">On February 13, 2020, the assigned ALJ issued a ruling to enter a staff proposal for improving the Rule 20 program (February Staff Proposal) into the record and </w:t>
      </w:r>
      <w:r w:rsidRPr="002D1E2F">
        <w:t>request comments.</w:t>
      </w:r>
      <w:r>
        <w:rPr>
          <w:rStyle w:val="FootnoteReference"/>
        </w:rPr>
        <w:footnoteReference w:id="7"/>
      </w:r>
      <w:r>
        <w:t xml:space="preserve"> </w:t>
      </w:r>
    </w:p>
    <w:p w:rsidR="00D55A9C" w:rsidP="00D92A6E" w:rsidRDefault="00D55A9C" w14:paraId="74A58080" w14:textId="77777777">
      <w:pPr>
        <w:pStyle w:val="Standard"/>
      </w:pPr>
      <w:r>
        <w:t>On March 3, 2020, the Commission’s Energy Division hosted a workshop to discuss the February Staff Proposal.</w:t>
      </w:r>
      <w:r>
        <w:rPr>
          <w:rStyle w:val="FootnoteReference"/>
        </w:rPr>
        <w:footnoteReference w:id="8"/>
      </w:r>
      <w:r>
        <w:t xml:space="preserve"> </w:t>
      </w:r>
    </w:p>
    <w:p w:rsidR="00D55A9C" w:rsidP="00D92A6E" w:rsidRDefault="00D55A9C" w14:paraId="0C3F9574" w14:textId="40767DCD">
      <w:pPr>
        <w:pStyle w:val="Standard"/>
      </w:pPr>
      <w:r>
        <w:lastRenderedPageBreak/>
        <w:t>Parties</w:t>
      </w:r>
      <w:r>
        <w:rPr>
          <w:rStyle w:val="FootnoteReference"/>
        </w:rPr>
        <w:footnoteReference w:id="9"/>
      </w:r>
      <w:r>
        <w:t xml:space="preserve"> filed comments on the February Staff Proposal and the PG&amp;E Audit Report in March and April 2020, and parties</w:t>
      </w:r>
      <w:r>
        <w:rPr>
          <w:rStyle w:val="FootnoteReference"/>
        </w:rPr>
        <w:footnoteReference w:id="10"/>
      </w:r>
      <w:r>
        <w:t xml:space="preserve"> filed reply comments in </w:t>
      </w:r>
      <w:r w:rsidR="00D92A6E">
        <w:br/>
      </w:r>
      <w:r>
        <w:t>May 2020.</w:t>
      </w:r>
    </w:p>
    <w:p w:rsidR="00D55A9C" w:rsidP="00D92A6E" w:rsidRDefault="00D55A9C" w14:paraId="7E554CCB" w14:textId="77777777">
      <w:pPr>
        <w:pStyle w:val="Standard"/>
      </w:pPr>
      <w:r>
        <w:t>On May 7, 2020, the Commission issued D.</w:t>
      </w:r>
      <w:r w:rsidRPr="000A4199">
        <w:t>20-05-026</w:t>
      </w:r>
      <w:r>
        <w:t xml:space="preserve"> to extend the statutory deadline for the proceeding until April 10, 2021.</w:t>
      </w:r>
    </w:p>
    <w:p w:rsidR="00D55A9C" w:rsidP="00D92A6E" w:rsidRDefault="00D55A9C" w14:paraId="296FF6CB" w14:textId="5CF3AD0C">
      <w:pPr>
        <w:pStyle w:val="Standard"/>
      </w:pPr>
      <w:r>
        <w:t>On September 3, 2020, t</w:t>
      </w:r>
      <w:r w:rsidRPr="0061694A">
        <w:t>he assigned ALJ issued a ruling to request comments on certain policy questions, a supplement to the PG&amp;E Audit Report (PG&amp;E Audit Supplement),</w:t>
      </w:r>
      <w:r>
        <w:t xml:space="preserve"> and a staff proposal for winding down the Rule 20A program and establishing budgets for Rule 20B and Rule 20C (September Staff Proposal).</w:t>
      </w:r>
      <w:r>
        <w:rPr>
          <w:rStyle w:val="FootnoteReference"/>
        </w:rPr>
        <w:footnoteReference w:id="11"/>
      </w:r>
      <w:r>
        <w:t xml:space="preserve"> </w:t>
      </w:r>
      <w:r w:rsidR="00D92A6E">
        <w:t xml:space="preserve"> </w:t>
      </w:r>
      <w:r>
        <w:t>Parties filed comments</w:t>
      </w:r>
      <w:r>
        <w:rPr>
          <w:rStyle w:val="FootnoteReference"/>
        </w:rPr>
        <w:footnoteReference w:id="12"/>
      </w:r>
      <w:r>
        <w:t xml:space="preserve"> and reply comments</w:t>
      </w:r>
      <w:r>
        <w:rPr>
          <w:rStyle w:val="FootnoteReference"/>
        </w:rPr>
        <w:footnoteReference w:id="13"/>
      </w:r>
      <w:r>
        <w:t xml:space="preserve"> in October 2020.</w:t>
      </w:r>
    </w:p>
    <w:p w:rsidR="00547DAE" w:rsidP="00D92A6E" w:rsidRDefault="00547DAE" w14:paraId="0B429096" w14:textId="5688F3D8">
      <w:pPr>
        <w:pStyle w:val="Standard"/>
      </w:pPr>
      <w:r>
        <w:lastRenderedPageBreak/>
        <w:t xml:space="preserve">On May 24, 2021, the Commission issued </w:t>
      </w:r>
      <w:r w:rsidR="00AA1DEE">
        <w:t>D.21-03-046 to extend the statutory deadline for the proceeding to August 10, 2021.</w:t>
      </w:r>
    </w:p>
    <w:p w:rsidR="000463AB" w:rsidP="00BA3C52" w:rsidRDefault="00D55A9C" w14:paraId="44C133A7" w14:textId="77777777">
      <w:pPr>
        <w:pStyle w:val="Heading1"/>
        <w:ind w:hanging="720"/>
      </w:pPr>
      <w:bookmarkStart w:name="_Toc73945833" w:id="4"/>
      <w:bookmarkStart w:name="_Toc30488462" w:id="5"/>
      <w:r>
        <w:t xml:space="preserve">Program </w:t>
      </w:r>
      <w:r w:rsidRPr="00823E85">
        <w:t>Background</w:t>
      </w:r>
      <w:bookmarkEnd w:id="4"/>
    </w:p>
    <w:p w:rsidRPr="00E96109" w:rsidR="00D55A9C" w:rsidP="00BA3C52" w:rsidRDefault="00BA3C52" w14:paraId="1CFF3873" w14:textId="4501957C">
      <w:pPr>
        <w:pStyle w:val="Heading2"/>
        <w:numPr>
          <w:ilvl w:val="0"/>
          <w:numId w:val="0"/>
        </w:numPr>
        <w:ind w:left="720"/>
      </w:pPr>
      <w:bookmarkStart w:name="_Toc73945834" w:id="6"/>
      <w:r>
        <w:t>2.1.</w:t>
      </w:r>
      <w:r>
        <w:tab/>
      </w:r>
      <w:r w:rsidRPr="00E96109" w:rsidR="00D55A9C">
        <w:t>History and Program Design</w:t>
      </w:r>
      <w:bookmarkEnd w:id="6"/>
    </w:p>
    <w:p w:rsidRPr="006A037A" w:rsidR="00D55A9C" w:rsidP="00823E85" w:rsidRDefault="00D55A9C" w14:paraId="062550B3" w14:textId="3F3C32E2">
      <w:pPr>
        <w:pStyle w:val="Standard"/>
      </w:pPr>
      <w:r w:rsidRPr="006A037A">
        <w:t xml:space="preserve">Since the late </w:t>
      </w:r>
      <w:r w:rsidRPr="00823E85">
        <w:t>1960s</w:t>
      </w:r>
      <w:r w:rsidRPr="006A037A">
        <w:t xml:space="preserve">, most new electric distribution facilities have been designed and installed underground. </w:t>
      </w:r>
      <w:r w:rsidR="00823E85">
        <w:t xml:space="preserve"> </w:t>
      </w:r>
      <w:r w:rsidRPr="006A037A">
        <w:t xml:space="preserve">For communities developed prior to the late 1960s, most electric distribution infrastructure is overhead. Converting an overhead system to underground, known as “undergrounding,” is typically more expensive than </w:t>
      </w:r>
      <w:r>
        <w:t xml:space="preserve">maintaining </w:t>
      </w:r>
      <w:r w:rsidRPr="006A037A">
        <w:t>overhead lines, so most existing overhead systems in California remain above ground.</w:t>
      </w:r>
      <w:r w:rsidRPr="006A037A">
        <w:rPr>
          <w:rStyle w:val="FootnoteReference"/>
        </w:rPr>
        <w:footnoteReference w:id="14"/>
      </w:r>
    </w:p>
    <w:p w:rsidRPr="006A037A" w:rsidR="00D55A9C" w:rsidP="00823E85" w:rsidRDefault="00D55A9C" w14:paraId="609589FD" w14:textId="77777777">
      <w:pPr>
        <w:pStyle w:val="Standard"/>
      </w:pPr>
      <w:r w:rsidRPr="006A037A">
        <w:t xml:space="preserve">In 1967, the Commission </w:t>
      </w:r>
      <w:r>
        <w:t xml:space="preserve">issued </w:t>
      </w:r>
      <w:r w:rsidRPr="006A037A">
        <w:t>D.73078</w:t>
      </w:r>
      <w:r>
        <w:t xml:space="preserve">, which </w:t>
      </w:r>
      <w:r w:rsidRPr="006A037A">
        <w:t>adopt</w:t>
      </w:r>
      <w:r>
        <w:t>ed</w:t>
      </w:r>
      <w:r w:rsidRPr="006A037A">
        <w:t xml:space="preserve"> the </w:t>
      </w:r>
      <w:r>
        <w:t>Rule 20</w:t>
      </w:r>
      <w:r w:rsidRPr="006A037A">
        <w:t xml:space="preserve"> program primarily for aesthetic purposes. The Rule 20 program facilitates municipality-driven and private applicant-driven underground conversion projects in a consistent manner throughout the territories of California’s electric investor-owned utilities.  Electric utilities under the Commission’s jurisdiction manage and perform underground conversion projects under electric tariffs filed with the Commission.</w:t>
      </w:r>
    </w:p>
    <w:p w:rsidRPr="006A037A" w:rsidR="00D55A9C" w:rsidP="00823E85" w:rsidRDefault="00D55A9C" w14:paraId="63DB9A21" w14:textId="0378CC5E">
      <w:pPr>
        <w:pStyle w:val="Standard"/>
      </w:pPr>
      <w:r w:rsidRPr="006A037A">
        <w:t xml:space="preserve">In 2001, the Commission issued D.01-12-009, noting that “with very few exceptions, the public favors undergrounding for safety, reliability, aesthetic benefits, and property value increases.”  The Commission authorized incremental updates to the </w:t>
      </w:r>
      <w:r>
        <w:t xml:space="preserve">Rule 20 </w:t>
      </w:r>
      <w:r w:rsidRPr="006A037A">
        <w:t xml:space="preserve">program in D.01-12-009, including expanding Rule 20A criteria to include arterial streets and major collectors, and allowing cities to “mortgage” Rule 20A allocations for up to five years (instead of the </w:t>
      </w:r>
      <w:r w:rsidR="00823E85">
        <w:br/>
      </w:r>
      <w:r w:rsidRPr="006A037A">
        <w:t>then-current three years).</w:t>
      </w:r>
      <w:r w:rsidRPr="006A037A">
        <w:rPr>
          <w:rStyle w:val="FootnoteReference"/>
        </w:rPr>
        <w:t xml:space="preserve"> </w:t>
      </w:r>
    </w:p>
    <w:p w:rsidRPr="006A037A" w:rsidR="00D55A9C" w:rsidP="00B36A3A" w:rsidRDefault="00D55A9C" w14:paraId="7AB4E16A" w14:textId="77777777">
      <w:pPr>
        <w:pStyle w:val="Standard"/>
      </w:pPr>
      <w:r w:rsidRPr="006A037A">
        <w:lastRenderedPageBreak/>
        <w:t>The Rule 20 program is</w:t>
      </w:r>
      <w:r>
        <w:t xml:space="preserve"> currently</w:t>
      </w:r>
      <w:r w:rsidRPr="006A037A">
        <w:t xml:space="preserve"> divided into four subprograms that provide diminishing levels of ratepayer contributions to projects</w:t>
      </w:r>
      <w:r>
        <w:t>, as follows:</w:t>
      </w:r>
      <w:r w:rsidRPr="006A037A">
        <w:t xml:space="preserve"> </w:t>
      </w:r>
    </w:p>
    <w:p w:rsidRPr="006A037A" w:rsidR="00D55A9C" w:rsidP="00B36A3A" w:rsidRDefault="00D55A9C" w14:paraId="0838A243" w14:textId="77777777">
      <w:pPr>
        <w:pStyle w:val="standard0"/>
        <w:numPr>
          <w:ilvl w:val="0"/>
          <w:numId w:val="21"/>
        </w:numPr>
        <w:spacing w:after="120" w:line="240" w:lineRule="auto"/>
        <w:ind w:right="1440"/>
        <w:rPr>
          <w:rFonts w:ascii="Book Antiqua" w:hAnsi="Book Antiqua"/>
          <w:szCs w:val="26"/>
        </w:rPr>
      </w:pPr>
      <w:r w:rsidRPr="003A3331">
        <w:rPr>
          <w:rFonts w:ascii="Book Antiqua" w:hAnsi="Book Antiqua"/>
          <w:b/>
          <w:bCs/>
          <w:szCs w:val="26"/>
        </w:rPr>
        <w:t>Rule 20A</w:t>
      </w:r>
      <w:r w:rsidRPr="006A037A">
        <w:rPr>
          <w:rFonts w:ascii="Book Antiqua" w:hAnsi="Book Antiqua"/>
          <w:szCs w:val="26"/>
        </w:rPr>
        <w:t xml:space="preserve"> projects are </w:t>
      </w:r>
      <w:r>
        <w:rPr>
          <w:rFonts w:ascii="Book Antiqua" w:hAnsi="Book Antiqua"/>
          <w:szCs w:val="26"/>
        </w:rPr>
        <w:t>100 percent</w:t>
      </w:r>
      <w:r w:rsidRPr="006A037A">
        <w:rPr>
          <w:rFonts w:ascii="Book Antiqua" w:hAnsi="Book Antiqua"/>
          <w:szCs w:val="26"/>
        </w:rPr>
        <w:t xml:space="preserve"> ratepayer-funded but must meet public interest criteria. The utilities annually allocate Rule 20A work credits (or “work credits”) to</w:t>
      </w:r>
      <w:r>
        <w:rPr>
          <w:rFonts w:ascii="Book Antiqua" w:hAnsi="Book Antiqua"/>
          <w:szCs w:val="26"/>
        </w:rPr>
        <w:t xml:space="preserve"> cities and unincorporated counties (hereafter,</w:t>
      </w:r>
      <w:r w:rsidRPr="006A037A">
        <w:rPr>
          <w:rFonts w:ascii="Book Antiqua" w:hAnsi="Book Antiqua"/>
          <w:szCs w:val="26"/>
        </w:rPr>
        <w:t xml:space="preserve"> </w:t>
      </w:r>
      <w:r>
        <w:rPr>
          <w:rFonts w:ascii="Book Antiqua" w:hAnsi="Book Antiqua"/>
          <w:szCs w:val="26"/>
        </w:rPr>
        <w:t>“</w:t>
      </w:r>
      <w:r w:rsidRPr="006A037A">
        <w:rPr>
          <w:rFonts w:ascii="Book Antiqua" w:hAnsi="Book Antiqua"/>
          <w:szCs w:val="26"/>
        </w:rPr>
        <w:t>communities</w:t>
      </w:r>
      <w:r>
        <w:rPr>
          <w:rFonts w:ascii="Book Antiqua" w:hAnsi="Book Antiqua"/>
          <w:szCs w:val="26"/>
        </w:rPr>
        <w:t>”)</w:t>
      </w:r>
      <w:r w:rsidRPr="006A037A">
        <w:rPr>
          <w:rFonts w:ascii="Book Antiqua" w:hAnsi="Book Antiqua"/>
          <w:szCs w:val="26"/>
        </w:rPr>
        <w:t xml:space="preserve"> to redeem for their undergrounding project costs. Under Rule 20A Section 2, 50 percent of the </w:t>
      </w:r>
      <w:r>
        <w:rPr>
          <w:rFonts w:ascii="Book Antiqua" w:hAnsi="Book Antiqua"/>
          <w:szCs w:val="26"/>
        </w:rPr>
        <w:t xml:space="preserve">work credit </w:t>
      </w:r>
      <w:r w:rsidRPr="006A037A">
        <w:rPr>
          <w:rFonts w:ascii="Book Antiqua" w:hAnsi="Book Antiqua"/>
          <w:szCs w:val="26"/>
        </w:rPr>
        <w:t>allocation is based on the ratio of overhead meters in a community relative to the total utility overhead meters. The other 50 percent is based on the ratio of total meters (both overhead and underground-served meters) relative to the utility total system meters.</w:t>
      </w:r>
      <w:r w:rsidRPr="006A037A">
        <w:rPr>
          <w:rStyle w:val="FootnoteReference"/>
          <w:rFonts w:ascii="Book Antiqua" w:hAnsi="Book Antiqua"/>
        </w:rPr>
        <w:footnoteReference w:id="15"/>
      </w:r>
      <w:r w:rsidRPr="006A037A">
        <w:rPr>
          <w:rFonts w:ascii="Book Antiqua" w:hAnsi="Book Antiqua"/>
          <w:szCs w:val="26"/>
        </w:rPr>
        <w:t xml:space="preserve">  Rule 20A work credit allocations are established through the electric utilities’ General Rate Cases.</w:t>
      </w:r>
      <w:r w:rsidRPr="006A037A">
        <w:rPr>
          <w:rStyle w:val="FootnoteReference"/>
          <w:rFonts w:ascii="Book Antiqua" w:hAnsi="Book Antiqua"/>
        </w:rPr>
        <w:footnoteReference w:id="16"/>
      </w:r>
      <w:r>
        <w:rPr>
          <w:rFonts w:ascii="Book Antiqua" w:hAnsi="Book Antiqua"/>
          <w:szCs w:val="26"/>
        </w:rPr>
        <w:t xml:space="preserve">  A community may “borrow” up to five years of future work credits to fund an undergrounding project.</w:t>
      </w:r>
    </w:p>
    <w:p w:rsidRPr="006A037A" w:rsidR="00D55A9C" w:rsidP="00B36A3A" w:rsidRDefault="00D55A9C" w14:paraId="7FB59677" w14:textId="77777777">
      <w:pPr>
        <w:pStyle w:val="standard0"/>
        <w:numPr>
          <w:ilvl w:val="0"/>
          <w:numId w:val="21"/>
        </w:numPr>
        <w:spacing w:after="120" w:line="240" w:lineRule="auto"/>
        <w:ind w:right="1440"/>
        <w:rPr>
          <w:rFonts w:ascii="Book Antiqua" w:hAnsi="Book Antiqua"/>
          <w:szCs w:val="26"/>
        </w:rPr>
      </w:pPr>
      <w:r w:rsidRPr="003A3331">
        <w:rPr>
          <w:rFonts w:ascii="Book Antiqua" w:hAnsi="Book Antiqua"/>
          <w:b/>
          <w:bCs/>
          <w:szCs w:val="26"/>
        </w:rPr>
        <w:t>Rule 20B</w:t>
      </w:r>
      <w:r w:rsidRPr="006A037A">
        <w:rPr>
          <w:rFonts w:ascii="Book Antiqua" w:hAnsi="Book Antiqua"/>
          <w:szCs w:val="26"/>
        </w:rPr>
        <w:t xml:space="preserve"> projects may be for any undergrounding purpose but must consist of a minimum of 600 feet. </w:t>
      </w:r>
      <w:r>
        <w:rPr>
          <w:rFonts w:ascii="Book Antiqua" w:hAnsi="Book Antiqua"/>
          <w:szCs w:val="26"/>
        </w:rPr>
        <w:t>R</w:t>
      </w:r>
      <w:r w:rsidRPr="006A037A">
        <w:rPr>
          <w:rFonts w:ascii="Book Antiqua" w:hAnsi="Book Antiqua"/>
          <w:szCs w:val="26"/>
        </w:rPr>
        <w:t>atepayer</w:t>
      </w:r>
      <w:r>
        <w:rPr>
          <w:rFonts w:ascii="Book Antiqua" w:hAnsi="Book Antiqua"/>
          <w:szCs w:val="26"/>
        </w:rPr>
        <w:t>s</w:t>
      </w:r>
      <w:r w:rsidRPr="006A037A">
        <w:rPr>
          <w:rFonts w:ascii="Book Antiqua" w:hAnsi="Book Antiqua"/>
          <w:szCs w:val="26"/>
        </w:rPr>
        <w:t xml:space="preserve"> </w:t>
      </w:r>
      <w:r>
        <w:rPr>
          <w:rFonts w:ascii="Book Antiqua" w:hAnsi="Book Antiqua"/>
          <w:szCs w:val="26"/>
        </w:rPr>
        <w:t xml:space="preserve">fund around </w:t>
      </w:r>
      <w:r w:rsidRPr="006A037A">
        <w:rPr>
          <w:rFonts w:ascii="Book Antiqua" w:hAnsi="Book Antiqua"/>
          <w:szCs w:val="26"/>
        </w:rPr>
        <w:t>20 to 40 percent</w:t>
      </w:r>
      <w:r>
        <w:rPr>
          <w:rFonts w:ascii="Book Antiqua" w:hAnsi="Book Antiqua"/>
          <w:szCs w:val="26"/>
        </w:rPr>
        <w:t xml:space="preserve"> of the costs of these projects.  The applicant bears the balance of the project cost.  Local government a</w:t>
      </w:r>
      <w:r w:rsidRPr="006A037A">
        <w:rPr>
          <w:rFonts w:ascii="Book Antiqua" w:hAnsi="Book Antiqua"/>
          <w:szCs w:val="26"/>
        </w:rPr>
        <w:t>pplicants may request the utility initially fund their Rule 20B project's engineering and design costs and reimburse the utility later provided that the project goes forward.</w:t>
      </w:r>
      <w:r w:rsidRPr="006A037A">
        <w:rPr>
          <w:rStyle w:val="FootnoteReference"/>
          <w:rFonts w:ascii="Book Antiqua" w:hAnsi="Book Antiqua"/>
        </w:rPr>
        <w:footnoteReference w:id="17"/>
      </w:r>
      <w:r w:rsidRPr="006A037A">
        <w:rPr>
          <w:rFonts w:ascii="Book Antiqua" w:hAnsi="Book Antiqua"/>
          <w:szCs w:val="26"/>
        </w:rPr>
        <w:t xml:space="preserve"> </w:t>
      </w:r>
    </w:p>
    <w:p w:rsidRPr="006A037A" w:rsidR="00D55A9C" w:rsidP="00B36A3A" w:rsidRDefault="00D55A9C" w14:paraId="745A40EC" w14:textId="77777777">
      <w:pPr>
        <w:pStyle w:val="standard0"/>
        <w:numPr>
          <w:ilvl w:val="0"/>
          <w:numId w:val="21"/>
        </w:numPr>
        <w:spacing w:after="120" w:line="240" w:lineRule="auto"/>
        <w:ind w:right="1440"/>
        <w:rPr>
          <w:rFonts w:ascii="Book Antiqua" w:hAnsi="Book Antiqua"/>
          <w:szCs w:val="26"/>
        </w:rPr>
      </w:pPr>
      <w:r w:rsidRPr="006A037A">
        <w:rPr>
          <w:rFonts w:ascii="Book Antiqua" w:hAnsi="Book Antiqua"/>
          <w:szCs w:val="26"/>
        </w:rPr>
        <w:t xml:space="preserve">For </w:t>
      </w:r>
      <w:r w:rsidRPr="003A3331">
        <w:rPr>
          <w:rFonts w:ascii="Book Antiqua" w:hAnsi="Book Antiqua"/>
          <w:b/>
          <w:bCs/>
          <w:szCs w:val="26"/>
        </w:rPr>
        <w:t>Rule 20C</w:t>
      </w:r>
      <w:r w:rsidRPr="006A037A">
        <w:rPr>
          <w:rFonts w:ascii="Book Antiqua" w:hAnsi="Book Antiqua"/>
          <w:szCs w:val="26"/>
        </w:rPr>
        <w:t xml:space="preserve"> projects, the applicant – often an individual property owner or developer – pays for the full cost of undergrounding, less the cost of the estimated salvage value and depreciation of the removed overhead electrical facilities.</w:t>
      </w:r>
      <w:r w:rsidRPr="006A037A">
        <w:rPr>
          <w:rStyle w:val="FootnoteReference"/>
          <w:rFonts w:ascii="Book Antiqua" w:hAnsi="Book Antiqua"/>
        </w:rPr>
        <w:footnoteReference w:id="18"/>
      </w:r>
    </w:p>
    <w:p w:rsidRPr="006A037A" w:rsidR="00D55A9C" w:rsidP="00B36A3A" w:rsidRDefault="00D55A9C" w14:paraId="45799AF1" w14:textId="77777777">
      <w:pPr>
        <w:pStyle w:val="standard0"/>
        <w:numPr>
          <w:ilvl w:val="0"/>
          <w:numId w:val="21"/>
        </w:numPr>
        <w:spacing w:after="120" w:line="240" w:lineRule="auto"/>
        <w:ind w:right="1440"/>
        <w:rPr>
          <w:rFonts w:ascii="Book Antiqua" w:hAnsi="Book Antiqua"/>
          <w:szCs w:val="26"/>
        </w:rPr>
      </w:pPr>
      <w:r w:rsidRPr="003A3331">
        <w:rPr>
          <w:rFonts w:ascii="Book Antiqua" w:hAnsi="Book Antiqua"/>
          <w:b/>
          <w:bCs/>
          <w:szCs w:val="26"/>
        </w:rPr>
        <w:lastRenderedPageBreak/>
        <w:t>Rule 20D</w:t>
      </w:r>
      <w:r w:rsidRPr="006A037A">
        <w:rPr>
          <w:rFonts w:ascii="Book Antiqua" w:hAnsi="Book Antiqua"/>
          <w:szCs w:val="26"/>
        </w:rPr>
        <w:t xml:space="preserve"> is currently only available in SDG&amp;E’s service territory. It applies specifically to undergrounding where it is deemed by SDG&amp;E to be a preferred method for wildfire mitigation. Rule 20D has been in existence since 2014 and SDG&amp;E has not started or completed a single project to date through this program.</w:t>
      </w:r>
      <w:r w:rsidRPr="006A037A">
        <w:rPr>
          <w:rStyle w:val="FootnoteReference"/>
          <w:rFonts w:ascii="Book Antiqua" w:hAnsi="Book Antiqua"/>
        </w:rPr>
        <w:footnoteReference w:id="19"/>
      </w:r>
      <w:r w:rsidRPr="006A037A">
        <w:rPr>
          <w:rFonts w:ascii="Book Antiqua" w:hAnsi="Book Antiqua"/>
          <w:szCs w:val="26"/>
        </w:rPr>
        <w:t xml:space="preserve"> </w:t>
      </w:r>
    </w:p>
    <w:p w:rsidRPr="006A037A" w:rsidR="00D55A9C" w:rsidP="00B47519" w:rsidRDefault="00D55A9C" w14:paraId="6539D71B" w14:textId="61A23AA1">
      <w:pPr>
        <w:pStyle w:val="Standard"/>
      </w:pPr>
      <w:r w:rsidRPr="006A037A">
        <w:t xml:space="preserve">Related to the Rule 20 program, telecommunications entities have a program that closely resembles the Rule 20 program. </w:t>
      </w:r>
      <w:r w:rsidR="00B47519">
        <w:t xml:space="preserve"> </w:t>
      </w:r>
      <w:r w:rsidRPr="006A037A">
        <w:t>The telecommunications program</w:t>
      </w:r>
      <w:r>
        <w:t>s</w:t>
      </w:r>
      <w:r w:rsidRPr="006A037A">
        <w:t xml:space="preserve"> </w:t>
      </w:r>
      <w:r>
        <w:t>are</w:t>
      </w:r>
      <w:r w:rsidRPr="006A037A">
        <w:t xml:space="preserve"> specific to the undergrounding of telecommunications facilities</w:t>
      </w:r>
      <w:r>
        <w:t>.</w:t>
      </w:r>
      <w:r w:rsidRPr="006A037A">
        <w:t xml:space="preserve"> </w:t>
      </w:r>
      <w:r w:rsidR="00A04F93">
        <w:t xml:space="preserve">The telecommunications undergrounding program is </w:t>
      </w:r>
      <w:r>
        <w:t>not ratepayer funded</w:t>
      </w:r>
      <w:r w:rsidRPr="006A037A">
        <w:t xml:space="preserve">.  </w:t>
      </w:r>
    </w:p>
    <w:p w:rsidRPr="006A037A" w:rsidR="00D55A9C" w:rsidP="00B47519" w:rsidRDefault="00D55A9C" w14:paraId="76FE128D" w14:textId="5C120516">
      <w:pPr>
        <w:pStyle w:val="Standard"/>
      </w:pPr>
      <w:r w:rsidRPr="006A037A">
        <w:t xml:space="preserve">The City of San Diego also has a separate undergrounding program in partnership with SDG&amp;E </w:t>
      </w:r>
      <w:r>
        <w:t xml:space="preserve">that is not subsidized by the general ratepayer. </w:t>
      </w:r>
      <w:r w:rsidR="00B47519">
        <w:t xml:space="preserve"> </w:t>
      </w:r>
      <w:r>
        <w:t xml:space="preserve">For </w:t>
      </w:r>
      <w:r w:rsidRPr="006A037A">
        <w:t xml:space="preserve">that </w:t>
      </w:r>
      <w:r>
        <w:t xml:space="preserve">program, SDG&amp;E </w:t>
      </w:r>
      <w:r w:rsidRPr="006A037A">
        <w:t xml:space="preserve">submits semi-annual reports to the Commission. </w:t>
      </w:r>
      <w:r w:rsidR="00B47519">
        <w:t xml:space="preserve"> </w:t>
      </w:r>
      <w:r w:rsidRPr="006A037A">
        <w:t>In December 2002, the Commission issued Resolution E-3788 to authorize SDG&amp;E to collect a 3.53</w:t>
      </w:r>
      <w:r>
        <w:t xml:space="preserve"> percent</w:t>
      </w:r>
      <w:r w:rsidRPr="006A037A">
        <w:t xml:space="preserve"> franchise fee surcharge within the City of San Diego for undergrounding work separate from Rule 20. </w:t>
      </w:r>
      <w:r w:rsidR="00B47519">
        <w:t xml:space="preserve"> </w:t>
      </w:r>
      <w:r w:rsidRPr="006A037A">
        <w:t xml:space="preserve">By using this surcharge program to augment the Rule 20 program, the City of San Diego </w:t>
      </w:r>
      <w:r>
        <w:t>converted</w:t>
      </w:r>
      <w:r w:rsidRPr="006A037A">
        <w:t xml:space="preserve"> 429 miles of overhead electrical facilities</w:t>
      </w:r>
      <w:r>
        <w:t xml:space="preserve"> to underground facilities</w:t>
      </w:r>
      <w:r w:rsidRPr="006A037A">
        <w:t xml:space="preserve"> </w:t>
      </w:r>
      <w:r>
        <w:t xml:space="preserve">and </w:t>
      </w:r>
      <w:r w:rsidRPr="006A037A">
        <w:t>1,238</w:t>
      </w:r>
      <w:r>
        <w:t xml:space="preserve"> miles remain</w:t>
      </w:r>
      <w:r w:rsidRPr="006A037A">
        <w:t xml:space="preserve"> as of July 2019.</w:t>
      </w:r>
      <w:r w:rsidRPr="006A037A">
        <w:rPr>
          <w:rStyle w:val="FootnoteReference"/>
        </w:rPr>
        <w:footnoteReference w:id="20"/>
      </w:r>
      <w:r w:rsidRPr="006A037A">
        <w:t xml:space="preserve"> </w:t>
      </w:r>
    </w:p>
    <w:p w:rsidRPr="006A037A" w:rsidR="00D55A9C" w:rsidP="00B47519" w:rsidRDefault="00D55A9C" w14:paraId="0C1AB312" w14:textId="2C784BD9">
      <w:pPr>
        <w:pStyle w:val="Standard"/>
      </w:pPr>
      <w:r w:rsidRPr="006A037A">
        <w:t xml:space="preserve">In comparison, since 1967, the February Staff Proposal estimates that the Rule 20A program has funded conversion of around 2,500 out of 147,000 miles (0.017%) of overhead utility lines in California. In recent years, the utilities have collectively completed on average 50 projects per year, equal to approximately 20-25 miles in length under Rule 20A at a cost ranging from $1.85 million to </w:t>
      </w:r>
      <w:r w:rsidR="00B47519">
        <w:br/>
      </w:r>
      <w:r w:rsidRPr="006A037A">
        <w:t xml:space="preserve">$6.1 million per mile. </w:t>
      </w:r>
      <w:r w:rsidR="00B47519">
        <w:t xml:space="preserve"> </w:t>
      </w:r>
      <w:r w:rsidRPr="006A037A">
        <w:t xml:space="preserve">The Rule 20B and 20C programs together facilitate </w:t>
      </w:r>
      <w:r w:rsidRPr="006A037A">
        <w:lastRenderedPageBreak/>
        <w:t>undergrounding of 15 to 20 miles of lines per year.</w:t>
      </w:r>
      <w:r w:rsidRPr="006A037A">
        <w:rPr>
          <w:rStyle w:val="FootnoteReference"/>
        </w:rPr>
        <w:footnoteReference w:id="21"/>
      </w:r>
      <w:r w:rsidRPr="006A037A">
        <w:t xml:space="preserve">  From 1968 to 2015, the Rule 20 undergrounding program spent approximately $3.4 billion</w:t>
      </w:r>
      <w:r>
        <w:t xml:space="preserve"> </w:t>
      </w:r>
      <w:r w:rsidRPr="006A037A">
        <w:t>in all service territories.</w:t>
      </w:r>
      <w:r w:rsidRPr="006A037A">
        <w:rPr>
          <w:rStyle w:val="FootnoteReference"/>
        </w:rPr>
        <w:footnoteReference w:id="22"/>
      </w:r>
    </w:p>
    <w:p w:rsidRPr="006A037A" w:rsidR="00D55A9C" w:rsidP="00013029" w:rsidRDefault="00D55A9C" w14:paraId="77547926" w14:textId="58AFE068">
      <w:pPr>
        <w:pStyle w:val="Standard"/>
      </w:pPr>
      <w:r w:rsidRPr="006A037A">
        <w:t>In D.17-05-013, the Commission identified $153 million in unspent and unaccounted for PG&amp;E Rule 20A funds and ordered an audit of PG&amp;E’s Rule 20A program.</w:t>
      </w:r>
      <w:r w:rsidRPr="006A037A">
        <w:rPr>
          <w:rStyle w:val="FootnoteReference"/>
        </w:rPr>
        <w:footnoteReference w:id="23"/>
      </w:r>
      <w:r w:rsidRPr="006A037A">
        <w:t xml:space="preserve"> </w:t>
      </w:r>
      <w:r w:rsidR="00013029">
        <w:t xml:space="preserve"> </w:t>
      </w:r>
      <w:r w:rsidRPr="006A037A">
        <w:t>The Commission adopted criteria for this audit in D.18-03-022.</w:t>
      </w:r>
    </w:p>
    <w:p w:rsidRPr="006A037A" w:rsidR="00D55A9C" w:rsidP="00013029" w:rsidRDefault="00D55A9C" w14:paraId="7EB8AF2C" w14:textId="6E40D1DE">
      <w:pPr>
        <w:pStyle w:val="Standard"/>
      </w:pPr>
      <w:r w:rsidRPr="006A037A">
        <w:t xml:space="preserve">In D.17-05-013, the Commission also directed PG&amp;E to establish a </w:t>
      </w:r>
      <w:r w:rsidR="00013029">
        <w:br/>
      </w:r>
      <w:r w:rsidRPr="006A037A">
        <w:t>Rule 20A one-way balancing account.</w:t>
      </w:r>
      <w:r w:rsidRPr="006A037A">
        <w:rPr>
          <w:rStyle w:val="FootnoteReference"/>
        </w:rPr>
        <w:t xml:space="preserve"> </w:t>
      </w:r>
      <w:r w:rsidRPr="006A037A">
        <w:rPr>
          <w:rStyle w:val="FootnoteReference"/>
        </w:rPr>
        <w:footnoteReference w:id="24"/>
      </w:r>
      <w:r w:rsidRPr="006A037A">
        <w:t xml:space="preserve">  In D.20-12-005, the Commission continued the authorization of the one-way balancing account for PG&amp;E’s Rule 20A program.</w:t>
      </w:r>
      <w:r w:rsidRPr="006A037A">
        <w:rPr>
          <w:rStyle w:val="FootnoteReference"/>
        </w:rPr>
        <w:footnoteReference w:id="25"/>
      </w:r>
    </w:p>
    <w:p w:rsidRPr="003176D8" w:rsidR="00D55A9C" w:rsidP="007A5BDA" w:rsidRDefault="00D55A9C" w14:paraId="0E251B4E" w14:textId="6026DE6D">
      <w:pPr>
        <w:pStyle w:val="Heading2"/>
        <w:numPr>
          <w:ilvl w:val="1"/>
          <w:numId w:val="49"/>
        </w:numPr>
      </w:pPr>
      <w:bookmarkStart w:name="_Toc73945835" w:id="7"/>
      <w:r w:rsidRPr="003176D8">
        <w:t xml:space="preserve">Program </w:t>
      </w:r>
      <w:r>
        <w:t>Challenges</w:t>
      </w:r>
      <w:bookmarkEnd w:id="7"/>
    </w:p>
    <w:p w:rsidR="00D55A9C" w:rsidP="00013029" w:rsidRDefault="00D55A9C" w14:paraId="40953D9A" w14:textId="77777777">
      <w:pPr>
        <w:pStyle w:val="Standard"/>
      </w:pPr>
      <w:r>
        <w:t xml:space="preserve">The February Staff Proposal identified </w:t>
      </w:r>
      <w:proofErr w:type="gramStart"/>
      <w:r>
        <w:t>a number of</w:t>
      </w:r>
      <w:proofErr w:type="gramEnd"/>
      <w:r>
        <w:t xml:space="preserve"> significant challenges with the existing Rule 20 program, including the following:</w:t>
      </w:r>
    </w:p>
    <w:p w:rsidRPr="00013029" w:rsidR="00D55A9C" w:rsidP="00013029" w:rsidRDefault="00D55A9C" w14:paraId="3869149D" w14:textId="77777777">
      <w:pPr>
        <w:pStyle w:val="standard0"/>
        <w:numPr>
          <w:ilvl w:val="0"/>
          <w:numId w:val="22"/>
        </w:numPr>
        <w:spacing w:after="120" w:line="240" w:lineRule="auto"/>
        <w:ind w:right="1440"/>
        <w:rPr>
          <w:rFonts w:ascii="Book Antiqua" w:hAnsi="Book Antiqua"/>
        </w:rPr>
      </w:pPr>
      <w:r w:rsidRPr="00013029">
        <w:rPr>
          <w:rFonts w:ascii="Book Antiqua" w:hAnsi="Book Antiqua"/>
          <w:b/>
          <w:bCs/>
        </w:rPr>
        <w:t>Inequitable Usage of Ratepayer Funds</w:t>
      </w:r>
      <w:r w:rsidRPr="00013029">
        <w:rPr>
          <w:rFonts w:ascii="Book Antiqua" w:hAnsi="Book Antiqua"/>
        </w:rPr>
        <w:t>. The February Staff Proposal flags the inequitable distribution of Rule 20A funds. A handful of communities have completed projects worth hundreds of millions of dollars funded by ratepayer contributions. On the other hand, 82 out of 503 communities have not completed a single project since 2005. The program's design challenges coupled with the different sizes of communities hinders program participation and project completion.</w:t>
      </w:r>
    </w:p>
    <w:p w:rsidRPr="00013029" w:rsidR="00D55A9C" w:rsidP="00013029" w:rsidRDefault="00D55A9C" w14:paraId="32489271" w14:textId="77777777">
      <w:pPr>
        <w:pStyle w:val="standard0"/>
        <w:numPr>
          <w:ilvl w:val="0"/>
          <w:numId w:val="22"/>
        </w:numPr>
        <w:spacing w:after="120" w:line="240" w:lineRule="auto"/>
        <w:ind w:right="1440"/>
        <w:rPr>
          <w:rFonts w:ascii="Book Antiqua" w:hAnsi="Book Antiqua"/>
        </w:rPr>
      </w:pPr>
      <w:r w:rsidRPr="00013029">
        <w:rPr>
          <w:rFonts w:ascii="Book Antiqua" w:hAnsi="Book Antiqua"/>
          <w:b/>
          <w:bCs/>
        </w:rPr>
        <w:t>Outdated Program Eligibility Criteria</w:t>
      </w:r>
      <w:r w:rsidRPr="00013029">
        <w:rPr>
          <w:rFonts w:ascii="Book Antiqua" w:hAnsi="Book Antiqua"/>
        </w:rPr>
        <w:t xml:space="preserve">. Numerous communities expressed eagerness to update Rule 20A </w:t>
      </w:r>
      <w:r w:rsidRPr="00013029">
        <w:rPr>
          <w:rFonts w:ascii="Book Antiqua" w:hAnsi="Book Antiqua"/>
        </w:rPr>
        <w:lastRenderedPageBreak/>
        <w:t xml:space="preserve">so that they can leverage the program to support wildfire mitigation and meet other community safety and reliability objectives rather than maintain the program’s focus on </w:t>
      </w:r>
      <w:r w:rsidRPr="008A4411">
        <w:rPr>
          <w:rFonts w:ascii="Book Antiqua" w:hAnsi="Book Antiqua"/>
        </w:rPr>
        <w:t>aesthetic enhancement</w:t>
      </w:r>
      <w:r w:rsidRPr="00013029">
        <w:rPr>
          <w:rFonts w:ascii="Book Antiqua" w:hAnsi="Book Antiqua"/>
        </w:rPr>
        <w:t>.</w:t>
      </w:r>
    </w:p>
    <w:p w:rsidRPr="00013029" w:rsidR="00D55A9C" w:rsidP="00013029" w:rsidRDefault="00D55A9C" w14:paraId="2526D6DD" w14:textId="38983C89">
      <w:pPr>
        <w:pStyle w:val="standard0"/>
        <w:numPr>
          <w:ilvl w:val="0"/>
          <w:numId w:val="22"/>
        </w:numPr>
        <w:spacing w:after="120" w:line="240" w:lineRule="auto"/>
        <w:ind w:right="1440"/>
        <w:rPr>
          <w:rFonts w:ascii="Book Antiqua" w:hAnsi="Book Antiqua"/>
        </w:rPr>
      </w:pPr>
      <w:r w:rsidRPr="00013029">
        <w:rPr>
          <w:rFonts w:ascii="Book Antiqua" w:hAnsi="Book Antiqua"/>
          <w:b/>
          <w:bCs/>
        </w:rPr>
        <w:t>Flawed Work Credits System</w:t>
      </w:r>
      <w:r w:rsidRPr="00013029">
        <w:rPr>
          <w:rFonts w:ascii="Book Antiqua" w:hAnsi="Book Antiqua"/>
        </w:rPr>
        <w:t xml:space="preserve">. The February Staff Proposal describes the numerous flaws of the program's system of allocating ratepayer-funded “work credits” to communities.  Insufficient work credits and ever-increasing project cost estimates prevents communities from starting and completing projects. In the February Staff Proposal, staff estimated that at least $489 million in unused and un-committed Rule 20A work credits remain outstanding among the communities served by the electric utilities. After reviewing additional data, the Commission’s Energy Division determined that the value of unused and un-committed Rule 20A work credits across all electric utility service territories is over $1.56 billion as of January 2021.  Except for PG&amp;E and SCE, the utilities do not currently have one-way balancing accounts to ensure that any funds collected from ratepayers for Rule 20 programs will exclusively be available for future projects on which communities seek to use their work credit balance. Additionally, </w:t>
      </w:r>
      <w:r w:rsidR="00971F57">
        <w:rPr>
          <w:rFonts w:ascii="Book Antiqua" w:hAnsi="Book Antiqua"/>
        </w:rPr>
        <w:br/>
      </w:r>
      <w:r w:rsidR="00E500F3">
        <w:rPr>
          <w:rFonts w:ascii="Book Antiqua" w:hAnsi="Book Antiqua"/>
        </w:rPr>
        <w:t>5</w:t>
      </w:r>
      <w:r w:rsidRPr="07B3FB49" w:rsidR="5F16A4E3">
        <w:rPr>
          <w:rFonts w:ascii="Book Antiqua" w:hAnsi="Book Antiqua"/>
        </w:rPr>
        <w:t>8</w:t>
      </w:r>
      <w:r w:rsidRPr="00013029">
        <w:rPr>
          <w:rFonts w:ascii="Book Antiqua" w:hAnsi="Book Antiqua"/>
        </w:rPr>
        <w:t xml:space="preserve"> communities completed undergrounding projects using work credits borrowed beyond the </w:t>
      </w:r>
      <w:r w:rsidRPr="07B3FB49" w:rsidR="6CB16E4A">
        <w:rPr>
          <w:rFonts w:ascii="Book Antiqua" w:hAnsi="Book Antiqua"/>
        </w:rPr>
        <w:t xml:space="preserve">tariff specified </w:t>
      </w:r>
      <w:r w:rsidRPr="00013029">
        <w:rPr>
          <w:rFonts w:ascii="Book Antiqua" w:hAnsi="Book Antiqua"/>
        </w:rPr>
        <w:t>5-year forward limit</w:t>
      </w:r>
      <w:r w:rsidR="00E500F3">
        <w:rPr>
          <w:rFonts w:ascii="Book Antiqua" w:hAnsi="Book Antiqua"/>
        </w:rPr>
        <w:t>,</w:t>
      </w:r>
      <w:r w:rsidRPr="00013029">
        <w:rPr>
          <w:rFonts w:ascii="Book Antiqua" w:hAnsi="Book Antiqua"/>
        </w:rPr>
        <w:t xml:space="preserve"> placing them in “work credit debt.” </w:t>
      </w:r>
      <w:r w:rsidR="00493C02">
        <w:rPr>
          <w:rFonts w:ascii="Book Antiqua" w:hAnsi="Book Antiqua"/>
        </w:rPr>
        <w:t xml:space="preserve">At </w:t>
      </w:r>
      <w:r w:rsidRPr="07B3FB49" w:rsidR="4E750431">
        <w:rPr>
          <w:rFonts w:ascii="Book Antiqua" w:hAnsi="Book Antiqua"/>
        </w:rPr>
        <w:t xml:space="preserve">least </w:t>
      </w:r>
      <w:r w:rsidRPr="07B3FB49" w:rsidR="22C80B1A">
        <w:rPr>
          <w:rFonts w:ascii="Book Antiqua" w:hAnsi="Book Antiqua"/>
        </w:rPr>
        <w:t>20</w:t>
      </w:r>
      <w:r w:rsidRPr="07B3FB49" w:rsidR="4E750431">
        <w:rPr>
          <w:rFonts w:ascii="Book Antiqua" w:hAnsi="Book Antiqua"/>
        </w:rPr>
        <w:t xml:space="preserve"> </w:t>
      </w:r>
      <w:r w:rsidRPr="07B3FB49" w:rsidR="1A9DBC2C">
        <w:rPr>
          <w:rFonts w:ascii="Book Antiqua" w:hAnsi="Book Antiqua"/>
        </w:rPr>
        <w:t xml:space="preserve">of these 58 </w:t>
      </w:r>
      <w:r w:rsidRPr="07B3FB49" w:rsidR="4E750431">
        <w:rPr>
          <w:rFonts w:ascii="Book Antiqua" w:hAnsi="Book Antiqua"/>
        </w:rPr>
        <w:t xml:space="preserve">communities </w:t>
      </w:r>
      <w:r w:rsidR="00A240DB">
        <w:rPr>
          <w:rFonts w:ascii="Book Antiqua" w:hAnsi="Book Antiqua"/>
        </w:rPr>
        <w:t>have</w:t>
      </w:r>
      <w:r w:rsidRPr="07B3FB49" w:rsidR="4E750431">
        <w:rPr>
          <w:rFonts w:ascii="Book Antiqua" w:hAnsi="Book Antiqua"/>
        </w:rPr>
        <w:t xml:space="preserve"> “work credit</w:t>
      </w:r>
      <w:r w:rsidRPr="07B3FB49" w:rsidR="6FAB1BE8">
        <w:rPr>
          <w:rFonts w:ascii="Book Antiqua" w:hAnsi="Book Antiqua"/>
        </w:rPr>
        <w:t xml:space="preserve"> debt” that exceeds </w:t>
      </w:r>
      <w:r w:rsidRPr="07B3FB49" w:rsidR="0C18094F">
        <w:rPr>
          <w:rFonts w:ascii="Book Antiqua" w:hAnsi="Book Antiqua"/>
        </w:rPr>
        <w:t>9</w:t>
      </w:r>
      <w:r w:rsidRPr="07B3FB49" w:rsidR="6FAB1BE8">
        <w:rPr>
          <w:rFonts w:ascii="Book Antiqua" w:hAnsi="Book Antiqua"/>
        </w:rPr>
        <w:t xml:space="preserve"> years, </w:t>
      </w:r>
      <w:r w:rsidRPr="07B3FB49" w:rsidR="14434008">
        <w:rPr>
          <w:rFonts w:ascii="Book Antiqua" w:hAnsi="Book Antiqua"/>
        </w:rPr>
        <w:t xml:space="preserve">including </w:t>
      </w:r>
      <w:r w:rsidRPr="07B3FB49" w:rsidR="0F94838B">
        <w:rPr>
          <w:rFonts w:ascii="Book Antiqua" w:hAnsi="Book Antiqua"/>
        </w:rPr>
        <w:t>San Francisco (14 years), Napa County (74 years),</w:t>
      </w:r>
      <w:r w:rsidRPr="07B3FB49" w:rsidR="0B559F25">
        <w:rPr>
          <w:rFonts w:ascii="Book Antiqua" w:hAnsi="Book Antiqua"/>
        </w:rPr>
        <w:t xml:space="preserve"> </w:t>
      </w:r>
      <w:r w:rsidR="00971F57">
        <w:rPr>
          <w:rFonts w:ascii="Book Antiqua" w:hAnsi="Book Antiqua"/>
        </w:rPr>
        <w:br/>
      </w:r>
      <w:r w:rsidRPr="07B3FB49" w:rsidR="0B559F25">
        <w:rPr>
          <w:rFonts w:ascii="Book Antiqua" w:hAnsi="Book Antiqua"/>
        </w:rPr>
        <w:t>La Canada-Flintridge (45 years),</w:t>
      </w:r>
      <w:r w:rsidRPr="07B3FB49" w:rsidR="0E64DDDD">
        <w:rPr>
          <w:rFonts w:ascii="Book Antiqua" w:hAnsi="Book Antiqua"/>
        </w:rPr>
        <w:t xml:space="preserve"> Laguna Hills </w:t>
      </w:r>
      <w:r w:rsidR="001538C2">
        <w:rPr>
          <w:rFonts w:ascii="Book Antiqua" w:hAnsi="Book Antiqua"/>
        </w:rPr>
        <w:br/>
      </w:r>
      <w:r w:rsidRPr="07B3FB49" w:rsidR="0E64DDDD">
        <w:rPr>
          <w:rFonts w:ascii="Book Antiqua" w:hAnsi="Book Antiqua"/>
        </w:rPr>
        <w:t>(21 years),</w:t>
      </w:r>
      <w:r w:rsidRPr="07B3FB49" w:rsidR="0918E6EE">
        <w:rPr>
          <w:rFonts w:ascii="Book Antiqua" w:hAnsi="Book Antiqua"/>
        </w:rPr>
        <w:t xml:space="preserve"> and</w:t>
      </w:r>
      <w:r w:rsidRPr="07B3FB49" w:rsidR="0E64DDDD">
        <w:rPr>
          <w:rFonts w:ascii="Book Antiqua" w:hAnsi="Book Antiqua"/>
        </w:rPr>
        <w:t xml:space="preserve"> San Marcos (</w:t>
      </w:r>
      <w:r w:rsidRPr="07B3FB49" w:rsidR="75AF2B84">
        <w:rPr>
          <w:rFonts w:ascii="Book Antiqua" w:hAnsi="Book Antiqua"/>
        </w:rPr>
        <w:t>47 years).</w:t>
      </w:r>
      <w:r w:rsidRPr="07B3FB49" w:rsidR="0B559F25">
        <w:rPr>
          <w:rFonts w:ascii="Book Antiqua" w:hAnsi="Book Antiqua"/>
        </w:rPr>
        <w:t xml:space="preserve"> </w:t>
      </w:r>
      <w:r w:rsidRPr="00013029">
        <w:rPr>
          <w:rFonts w:ascii="Book Antiqua" w:hAnsi="Book Antiqua"/>
        </w:rPr>
        <w:t>Further, through an unsanctioned secondary work credit marketplace, some communities sell, trade, or donate their unused work credits to other communities.  The electric utilities have facilitated these unsanctioned work credit transfers.</w:t>
      </w:r>
    </w:p>
    <w:p w:rsidRPr="00013029" w:rsidR="00D55A9C" w:rsidP="00492ECD" w:rsidRDefault="00D55A9C" w14:paraId="5E0D9FA5" w14:textId="77777777">
      <w:pPr>
        <w:pStyle w:val="standard0"/>
        <w:keepNext/>
        <w:keepLines/>
        <w:numPr>
          <w:ilvl w:val="0"/>
          <w:numId w:val="22"/>
        </w:numPr>
        <w:spacing w:after="120" w:line="240" w:lineRule="auto"/>
        <w:ind w:right="1440"/>
        <w:rPr>
          <w:rFonts w:ascii="Book Antiqua" w:hAnsi="Book Antiqua"/>
        </w:rPr>
      </w:pPr>
      <w:r w:rsidRPr="00013029">
        <w:rPr>
          <w:rFonts w:ascii="Book Antiqua" w:hAnsi="Book Antiqua"/>
          <w:b/>
          <w:bCs/>
        </w:rPr>
        <w:lastRenderedPageBreak/>
        <w:t>High Project Costs and Project Delays</w:t>
      </w:r>
      <w:r w:rsidRPr="00013029">
        <w:rPr>
          <w:rFonts w:ascii="Book Antiqua" w:hAnsi="Book Antiqua"/>
        </w:rPr>
        <w:t>. Communities shared many instances where project costs exceeded design cost estimates and project timelines have been drawn out seven years or longer. Further, project costs have increased in real terms by 33 percent and 44 percent in PG&amp;E’s and SCE’s territories since 2005. Insufficient program oversight resulted in higher project costs, longer project timelines, and fewer completed projects.</w:t>
      </w:r>
    </w:p>
    <w:p w:rsidRPr="00013029" w:rsidR="00D55A9C" w:rsidP="00013029" w:rsidRDefault="00D55A9C" w14:paraId="4BB26218" w14:textId="12BDA108">
      <w:pPr>
        <w:pStyle w:val="Standard"/>
      </w:pPr>
      <w:r w:rsidRPr="00013029">
        <w:t xml:space="preserve">In D.17-015-013, the Commission ordered an audit of PG&amp;E </w:t>
      </w:r>
      <w:proofErr w:type="gramStart"/>
      <w:r w:rsidRPr="00013029">
        <w:t>as a result of</w:t>
      </w:r>
      <w:proofErr w:type="gramEnd"/>
      <w:r w:rsidRPr="00013029">
        <w:t xml:space="preserve"> a party identifying $153 million in unspent and unaccounted for Rule 20A funds. The Commission retained </w:t>
      </w:r>
      <w:proofErr w:type="spellStart"/>
      <w:r w:rsidRPr="00013029">
        <w:t>AzP</w:t>
      </w:r>
      <w:proofErr w:type="spellEnd"/>
      <w:r w:rsidRPr="00013029">
        <w:t xml:space="preserve"> Consulting, LLC to conduct the audit in compliance with D.17</w:t>
      </w:r>
      <w:r w:rsidRPr="003176D8">
        <w:rPr>
          <w:rFonts w:ascii="Cambria Math" w:hAnsi="Cambria Math" w:cs="Cambria Math"/>
        </w:rPr>
        <w:t>‐</w:t>
      </w:r>
      <w:r w:rsidRPr="00013029">
        <w:t>05</w:t>
      </w:r>
      <w:r w:rsidRPr="003176D8">
        <w:rPr>
          <w:rFonts w:ascii="Cambria Math" w:hAnsi="Cambria Math" w:cs="Cambria Math"/>
        </w:rPr>
        <w:t>‐</w:t>
      </w:r>
      <w:r w:rsidRPr="00013029">
        <w:t xml:space="preserve">013 and D.18-03-022.  The PG&amp;E Audit Report uncovered additional major concerns with PG&amp;E’s administration of the </w:t>
      </w:r>
      <w:r w:rsidR="00013029">
        <w:br/>
      </w:r>
      <w:r w:rsidRPr="00013029">
        <w:t>Rule 20A program, which are discussed further in Section 4 below.</w:t>
      </w:r>
    </w:p>
    <w:p w:rsidR="00D55A9C" w:rsidP="007A5BDA" w:rsidRDefault="00D55A9C" w14:paraId="156A14CE" w14:textId="77777777">
      <w:pPr>
        <w:pStyle w:val="Heading1"/>
        <w:ind w:hanging="720"/>
      </w:pPr>
      <w:bookmarkStart w:name="_Toc73945836" w:id="8"/>
      <w:r>
        <w:t xml:space="preserve">Issues Before the </w:t>
      </w:r>
      <w:r w:rsidRPr="00013029">
        <w:t>Commission</w:t>
      </w:r>
      <w:bookmarkEnd w:id="8"/>
    </w:p>
    <w:p w:rsidRPr="00013029" w:rsidR="00D55A9C" w:rsidP="00013029" w:rsidRDefault="00D55A9C" w14:paraId="21ACCD66" w14:textId="77777777">
      <w:pPr>
        <w:pStyle w:val="Standard"/>
      </w:pPr>
      <w:r w:rsidRPr="00013029">
        <w:t xml:space="preserve">The scoping memo of this proceeding set forth an expectation that this proceeding would be conducted in phases.  This decision addresses the Phase 1 issues set forth in Section 2 of the scoping memo regarding Rule 20 program operations, management, and near-term improvements.  </w:t>
      </w:r>
    </w:p>
    <w:p w:rsidRPr="00013029" w:rsidR="00D55A9C" w:rsidP="00013029" w:rsidRDefault="00D55A9C" w14:paraId="7D507C1F" w14:textId="77777777">
      <w:pPr>
        <w:pStyle w:val="Standard"/>
      </w:pPr>
      <w:r w:rsidRPr="00013029">
        <w:t>The Phase 1 issues before the Commission are as follows.</w:t>
      </w:r>
    </w:p>
    <w:p w:rsidRPr="00013029" w:rsidR="00D55A9C" w:rsidP="00013029" w:rsidRDefault="00D55A9C" w14:paraId="13B6A8B3" w14:textId="77777777">
      <w:pPr>
        <w:pStyle w:val="a1"/>
        <w:ind w:right="1440"/>
        <w:rPr>
          <w:rFonts w:ascii="Book Antiqua" w:hAnsi="Book Antiqua"/>
        </w:rPr>
      </w:pPr>
      <w:r w:rsidRPr="00013029">
        <w:rPr>
          <w:rFonts w:ascii="Book Antiqua" w:hAnsi="Book Antiqua"/>
        </w:rPr>
        <w:t xml:space="preserve">How can the Rule 20A Program be improved within its current structure </w:t>
      </w:r>
      <w:proofErr w:type="gramStart"/>
      <w:r w:rsidRPr="00013029">
        <w:rPr>
          <w:rFonts w:ascii="Book Antiqua" w:hAnsi="Book Antiqua"/>
        </w:rPr>
        <w:t>in the near future</w:t>
      </w:r>
      <w:proofErr w:type="gramEnd"/>
      <w:r w:rsidRPr="00013029">
        <w:rPr>
          <w:rFonts w:ascii="Book Antiqua" w:hAnsi="Book Antiqua"/>
        </w:rPr>
        <w:t>? Should the Commission modify, replace, or discontinue the Rule 20A program at this time?</w:t>
      </w:r>
    </w:p>
    <w:p w:rsidRPr="00013029" w:rsidR="00D55A9C" w:rsidP="00013029" w:rsidRDefault="00D55A9C" w14:paraId="6172A32E" w14:textId="77777777">
      <w:pPr>
        <w:pStyle w:val="a1"/>
        <w:ind w:right="1440"/>
        <w:rPr>
          <w:rFonts w:ascii="Book Antiqua" w:hAnsi="Book Antiqua"/>
        </w:rPr>
      </w:pPr>
      <w:r w:rsidRPr="00013029">
        <w:rPr>
          <w:rFonts w:ascii="Book Antiqua" w:hAnsi="Book Antiqua"/>
        </w:rPr>
        <w:t>Is the recent and current management (utility and Commission) of the electric IOUs’ Rule 20A programs reasonable? Should the Commission modify Rule 20 program management requirements or enhance oversight of the Rule 20 program?</w:t>
      </w:r>
    </w:p>
    <w:p w:rsidR="004E5F7A" w:rsidP="007A5BDA" w:rsidRDefault="00D55A9C" w14:paraId="50D57BAB" w14:textId="0EE3D990">
      <w:pPr>
        <w:pStyle w:val="Heading1"/>
        <w:ind w:hanging="720"/>
      </w:pPr>
      <w:bookmarkStart w:name="_Toc73945837" w:id="9"/>
      <w:bookmarkStart w:name="_Toc30488472" w:id="10"/>
      <w:bookmarkEnd w:id="5"/>
      <w:r>
        <w:lastRenderedPageBreak/>
        <w:t xml:space="preserve">Whether to Modify, Replace or Discontinue the </w:t>
      </w:r>
      <w:r w:rsidR="007A5BDA">
        <w:br/>
      </w:r>
      <w:r>
        <w:t xml:space="preserve">Rule 20A </w:t>
      </w:r>
      <w:proofErr w:type="gramStart"/>
      <w:r w:rsidR="001E796D">
        <w:t>P</w:t>
      </w:r>
      <w:r>
        <w:t>rogram</w:t>
      </w:r>
      <w:bookmarkEnd w:id="9"/>
      <w:proofErr w:type="gramEnd"/>
    </w:p>
    <w:p w:rsidRPr="00BD3DA1" w:rsidR="00D55A9C" w:rsidP="001F13D6" w:rsidRDefault="009B2FAA" w14:paraId="2724D6FC" w14:textId="072522D0">
      <w:pPr>
        <w:pStyle w:val="Heading2"/>
        <w:numPr>
          <w:ilvl w:val="0"/>
          <w:numId w:val="0"/>
        </w:numPr>
        <w:ind w:left="1440" w:hanging="720"/>
      </w:pPr>
      <w:bookmarkStart w:name="_Toc73945838" w:id="11"/>
      <w:r>
        <w:t>4.1</w:t>
      </w:r>
      <w:r>
        <w:tab/>
      </w:r>
      <w:r w:rsidR="00D55A9C">
        <w:t xml:space="preserve">Project </w:t>
      </w:r>
      <w:r w:rsidRPr="00013029" w:rsidR="00D55A9C">
        <w:t>Eligibility</w:t>
      </w:r>
      <w:r w:rsidR="00D55A9C">
        <w:t xml:space="preserve"> Criteria</w:t>
      </w:r>
      <w:bookmarkEnd w:id="11"/>
    </w:p>
    <w:p w:rsidRPr="00013029" w:rsidR="00D55A9C" w:rsidP="00013029" w:rsidRDefault="00D55A9C" w14:paraId="4B584415" w14:textId="77777777">
      <w:pPr>
        <w:pStyle w:val="Standard"/>
      </w:pPr>
      <w:r w:rsidRPr="00013029">
        <w:t xml:space="preserve">Projects that meet the Rule 20A “public interest criteria” for eligibility may underground electric facilities at ratepayers’ expense.  The current Rule 20A public interest criteria focus on aesthetics.  In the February Staff Proposal, the Commission’s staff recommended expansions to the Rule 20A public interest criteria to include additional safety, </w:t>
      </w:r>
      <w:proofErr w:type="gramStart"/>
      <w:r w:rsidRPr="00013029">
        <w:t>reliability</w:t>
      </w:r>
      <w:proofErr w:type="gramEnd"/>
      <w:r w:rsidRPr="00013029">
        <w:t xml:space="preserve"> and emergency-related criteria. Many parties strongly supported the addition of wildfire and emergency-related criteria.</w:t>
      </w:r>
      <w:r w:rsidRPr="00013029">
        <w:rPr>
          <w:rStyle w:val="FootnoteReference"/>
        </w:rPr>
        <w:footnoteReference w:id="26"/>
      </w:r>
    </w:p>
    <w:p w:rsidRPr="00013029" w:rsidR="00D55A9C" w:rsidP="00013029" w:rsidRDefault="00D55A9C" w14:paraId="1438BEDC" w14:textId="0750A26D">
      <w:pPr>
        <w:pStyle w:val="Standard"/>
      </w:pPr>
      <w:r w:rsidRPr="00013029">
        <w:t xml:space="preserve">On September 3, 2020, ALJ Wang requested comments on whether it remains reasonable to continue to commit ratepayer funds to a Rule 20A program focused on enhancing aesthetics.  In October 2020 comments, </w:t>
      </w:r>
      <w:proofErr w:type="gramStart"/>
      <w:r w:rsidRPr="00013029">
        <w:t>the vast majority of</w:t>
      </w:r>
      <w:proofErr w:type="gramEnd"/>
      <w:r w:rsidRPr="00013029">
        <w:t xml:space="preserve"> commenters agreed that the Commission should continue to authorize ratepayer funding for Rule 20A projects with a greater focus on safety, reliability, and emergency-related purposes. </w:t>
      </w:r>
      <w:r w:rsidR="00013029">
        <w:t xml:space="preserve"> </w:t>
      </w:r>
      <w:r w:rsidRPr="00013029">
        <w:t xml:space="preserve">The City of Menlo Park asserted that first responders benefit from not having equipment overhead.  The County of Los Angeles urged the Commission to add new project eligibility criteria focusing on safety and reliability, including wildfire mitigation, emergency evacuation routes and visibility. </w:t>
      </w:r>
      <w:r w:rsidR="00013029">
        <w:t xml:space="preserve"> </w:t>
      </w:r>
      <w:r w:rsidRPr="00013029">
        <w:t xml:space="preserve">County of Tuolumne, California Municipal Utilities Association (CMUA) and City of Anaheim similarly urged the </w:t>
      </w:r>
      <w:r w:rsidRPr="00013029">
        <w:lastRenderedPageBreak/>
        <w:t xml:space="preserve">Commission to continue the Rule 20A program for wildfire safety and reliability purposes. </w:t>
      </w:r>
    </w:p>
    <w:p w:rsidRPr="00013029" w:rsidR="00D55A9C" w:rsidP="00013029" w:rsidRDefault="00D55A9C" w14:paraId="5FFEC09B" w14:textId="3B73DB0F">
      <w:pPr>
        <w:pStyle w:val="Standard"/>
      </w:pPr>
      <w:r w:rsidRPr="00013029">
        <w:t xml:space="preserve">The Utility Reform Network (TURN) and SCE each filed comments in support of sunsetting the Rule 20A program. </w:t>
      </w:r>
      <w:r w:rsidR="00013029">
        <w:t xml:space="preserve"> </w:t>
      </w:r>
      <w:r w:rsidRPr="00013029">
        <w:t xml:space="preserve">TURN argued in its October 2020 comments and reply comments that given the pandemic and the associated economic crisis, continuing a program primarily for aesthetics purposes at this time is not reasonable. </w:t>
      </w:r>
    </w:p>
    <w:p w:rsidRPr="00502A53" w:rsidR="00D55A9C" w:rsidP="00013029" w:rsidRDefault="00D55A9C" w14:paraId="4B2FED79" w14:textId="77777777">
      <w:pPr>
        <w:pStyle w:val="Standard"/>
      </w:pPr>
      <w:r w:rsidRPr="00502A53">
        <w:t xml:space="preserve">TURN and the investor-owned utilities also raised concerns that expansion of the Rule 20A program for wildfire mitigation purposes would be impractical and an inefficient use of ratepayer funds.  In January 2019 comments, SCE, PG&amp;E and SDG&amp;E commented that undergrounding for public safety is considered by each investor-owned utility as part of its overall system hardening efforts.  PacifiCorp commented in January 2019 that there would be insufficient funds available in PacifiCorp's Rule 20A program to have a significant risk mitigation impact. </w:t>
      </w:r>
    </w:p>
    <w:p w:rsidRPr="00502A53" w:rsidR="00D55A9C" w:rsidP="00013029" w:rsidRDefault="00D55A9C" w14:paraId="08B61BC5" w14:textId="77777777">
      <w:pPr>
        <w:pStyle w:val="Standard"/>
      </w:pPr>
      <w:r>
        <w:t>Whether</w:t>
      </w:r>
      <w:r w:rsidRPr="00502A53">
        <w:t xml:space="preserve"> th</w:t>
      </w:r>
      <w:r>
        <w:t>e Rule 20A</w:t>
      </w:r>
      <w:r w:rsidRPr="00502A53">
        <w:t xml:space="preserve"> program should promote wildfire safety and emergency-related undergrounding requires further consideration.  We will </w:t>
      </w:r>
      <w:r>
        <w:t xml:space="preserve">continue to deliberate on </w:t>
      </w:r>
      <w:r w:rsidRPr="00502A53">
        <w:t xml:space="preserve">whether to make </w:t>
      </w:r>
      <w:r>
        <w:t xml:space="preserve">these </w:t>
      </w:r>
      <w:r w:rsidRPr="00502A53">
        <w:t>changes to project eligibility criteria for Rule 20A in Phase 2 of this proceeding.</w:t>
      </w:r>
    </w:p>
    <w:p w:rsidRPr="00502A53" w:rsidR="00D55A9C" w:rsidP="00013029" w:rsidRDefault="00D55A9C" w14:paraId="4D53FBC1" w14:textId="66A79AE9">
      <w:pPr>
        <w:pStyle w:val="Standard"/>
      </w:pPr>
      <w:r w:rsidRPr="00502A53">
        <w:t xml:space="preserve">The February Staff Proposal also included recommendations to clarify project eligibility criteria. </w:t>
      </w:r>
      <w:r w:rsidR="00013029">
        <w:t xml:space="preserve"> </w:t>
      </w:r>
      <w:r w:rsidRPr="00502A53">
        <w:t xml:space="preserve">Under current Rule 20A criteria, applicants may propose projects that consist of a minimum of 600 feet or one block (whichever is less) and meet one or more of the five listed criteria.  </w:t>
      </w:r>
    </w:p>
    <w:p w:rsidRPr="00502A53" w:rsidR="00D55A9C" w:rsidP="00013029" w:rsidRDefault="00D55A9C" w14:paraId="29EDF4E1" w14:textId="77777777">
      <w:pPr>
        <w:pStyle w:val="Standard"/>
      </w:pPr>
      <w:r>
        <w:t>The</w:t>
      </w:r>
      <w:r w:rsidRPr="00502A53">
        <w:t xml:space="preserve"> February Staff Proposal</w:t>
      </w:r>
      <w:r>
        <w:t xml:space="preserve"> recommended</w:t>
      </w:r>
      <w:r w:rsidRPr="00502A53">
        <w:t xml:space="preserve"> clarify</w:t>
      </w:r>
      <w:r>
        <w:t>ing</w:t>
      </w:r>
      <w:r w:rsidRPr="00502A53">
        <w:t xml:space="preserve"> the existing Rule 20A project criteria as follows:</w:t>
      </w:r>
    </w:p>
    <w:p w:rsidRPr="00502A53" w:rsidR="00D55A9C" w:rsidP="00013029" w:rsidRDefault="00D55A9C" w14:paraId="28D82672" w14:textId="7576B78E">
      <w:pPr>
        <w:pStyle w:val="standard0"/>
        <w:numPr>
          <w:ilvl w:val="0"/>
          <w:numId w:val="23"/>
        </w:numPr>
        <w:spacing w:after="120" w:line="240" w:lineRule="auto"/>
        <w:ind w:right="1440"/>
        <w:rPr>
          <w:rFonts w:ascii="Book Antiqua" w:hAnsi="Book Antiqua"/>
          <w:szCs w:val="26"/>
        </w:rPr>
      </w:pPr>
      <w:r w:rsidRPr="00502A53">
        <w:rPr>
          <w:rFonts w:ascii="Book Antiqua" w:hAnsi="Book Antiqua"/>
          <w:szCs w:val="26"/>
        </w:rPr>
        <w:lastRenderedPageBreak/>
        <w:t xml:space="preserve">Such undergrounding will avoid or eliminate an unusually heavy concentration of overhead electric facilities. </w:t>
      </w:r>
      <w:r w:rsidR="00013029">
        <w:rPr>
          <w:rFonts w:ascii="Book Antiqua" w:hAnsi="Book Antiqua"/>
          <w:szCs w:val="26"/>
        </w:rPr>
        <w:t xml:space="preserve"> </w:t>
      </w:r>
      <w:r w:rsidRPr="00502A53">
        <w:rPr>
          <w:rFonts w:ascii="Book Antiqua" w:hAnsi="Book Antiqua"/>
          <w:szCs w:val="26"/>
          <w:u w:val="single"/>
        </w:rPr>
        <w:t>This is defined as poles that serve circuits in addition to a single primary and secondary circuit.</w:t>
      </w:r>
    </w:p>
    <w:p w:rsidRPr="00502A53" w:rsidR="00D55A9C" w:rsidP="00013029" w:rsidRDefault="00D55A9C" w14:paraId="07479A91" w14:textId="2DE74F43">
      <w:pPr>
        <w:pStyle w:val="standard0"/>
        <w:numPr>
          <w:ilvl w:val="0"/>
          <w:numId w:val="23"/>
        </w:numPr>
        <w:spacing w:after="120" w:line="240" w:lineRule="auto"/>
        <w:ind w:right="1440"/>
        <w:rPr>
          <w:rFonts w:ascii="Book Antiqua" w:hAnsi="Book Antiqua"/>
          <w:szCs w:val="26"/>
        </w:rPr>
      </w:pPr>
      <w:r w:rsidRPr="00502A53">
        <w:rPr>
          <w:rFonts w:ascii="Book Antiqua" w:hAnsi="Book Antiqua"/>
          <w:szCs w:val="26"/>
        </w:rPr>
        <w:t xml:space="preserve">The street or road or right-of-way </w:t>
      </w:r>
      <w:r w:rsidRPr="00502A53">
        <w:rPr>
          <w:rFonts w:ascii="Book Antiqua" w:hAnsi="Book Antiqua"/>
          <w:strike/>
          <w:szCs w:val="26"/>
        </w:rPr>
        <w:t>is extensively used by</w:t>
      </w:r>
      <w:r w:rsidRPr="00502A53">
        <w:rPr>
          <w:rFonts w:ascii="Book Antiqua" w:hAnsi="Book Antiqua"/>
          <w:szCs w:val="26"/>
        </w:rPr>
        <w:t xml:space="preserve"> </w:t>
      </w:r>
      <w:r w:rsidRPr="00502A53">
        <w:rPr>
          <w:rFonts w:ascii="Book Antiqua" w:hAnsi="Book Antiqua"/>
          <w:szCs w:val="26"/>
          <w:u w:val="single"/>
        </w:rPr>
        <w:t>serves as a major thoroughfare for</w:t>
      </w:r>
      <w:r w:rsidRPr="00502A53">
        <w:rPr>
          <w:rFonts w:ascii="Book Antiqua" w:hAnsi="Book Antiqua"/>
          <w:szCs w:val="26"/>
        </w:rPr>
        <w:t xml:space="preserve"> the </w:t>
      </w:r>
      <w:proofErr w:type="gramStart"/>
      <w:r w:rsidRPr="00502A53">
        <w:rPr>
          <w:rFonts w:ascii="Book Antiqua" w:hAnsi="Book Antiqua"/>
          <w:szCs w:val="26"/>
        </w:rPr>
        <w:t>general public</w:t>
      </w:r>
      <w:proofErr w:type="gramEnd"/>
      <w:r w:rsidRPr="00502A53">
        <w:rPr>
          <w:rFonts w:ascii="Book Antiqua" w:hAnsi="Book Antiqua"/>
          <w:szCs w:val="26"/>
        </w:rPr>
        <w:t xml:space="preserve"> and carries a heavy volume of pedestrian</w:t>
      </w:r>
      <w:r w:rsidRPr="00502A53">
        <w:rPr>
          <w:rFonts w:ascii="Book Antiqua" w:hAnsi="Book Antiqua"/>
          <w:szCs w:val="26"/>
          <w:u w:val="single"/>
        </w:rPr>
        <w:t>, bicycle, rail,</w:t>
      </w:r>
      <w:r w:rsidRPr="00502A53">
        <w:rPr>
          <w:rFonts w:ascii="Book Antiqua" w:hAnsi="Book Antiqua"/>
          <w:szCs w:val="26"/>
        </w:rPr>
        <w:t xml:space="preserve"> vehicular, or other traffic. </w:t>
      </w:r>
      <w:r w:rsidR="008116D5">
        <w:rPr>
          <w:rFonts w:ascii="Book Antiqua" w:hAnsi="Book Antiqua"/>
          <w:szCs w:val="26"/>
        </w:rPr>
        <w:t xml:space="preserve"> </w:t>
      </w:r>
      <w:r w:rsidRPr="00502A53">
        <w:rPr>
          <w:rFonts w:ascii="Book Antiqua" w:hAnsi="Book Antiqua"/>
          <w:szCs w:val="26"/>
          <w:u w:val="single"/>
        </w:rPr>
        <w:t>Heavy traffic volume means a minimum of 5,000 average trips per day among all personal and public transportation forms collectively</w:t>
      </w:r>
      <w:r w:rsidRPr="00502A53">
        <w:rPr>
          <w:rFonts w:ascii="Book Antiqua" w:hAnsi="Book Antiqua"/>
          <w:szCs w:val="26"/>
        </w:rPr>
        <w:t>.</w:t>
      </w:r>
    </w:p>
    <w:p w:rsidRPr="00502A53" w:rsidR="00D55A9C" w:rsidP="00013029" w:rsidRDefault="00D55A9C" w14:paraId="61015429" w14:textId="77777777">
      <w:pPr>
        <w:pStyle w:val="standard0"/>
        <w:numPr>
          <w:ilvl w:val="0"/>
          <w:numId w:val="23"/>
        </w:numPr>
        <w:spacing w:after="120" w:line="240" w:lineRule="auto"/>
        <w:ind w:right="1440"/>
        <w:rPr>
          <w:rFonts w:ascii="Book Antiqua" w:hAnsi="Book Antiqua"/>
          <w:szCs w:val="26"/>
        </w:rPr>
      </w:pPr>
      <w:r w:rsidRPr="00884F27">
        <w:rPr>
          <w:rFonts w:ascii="Book Antiqua" w:hAnsi="Book Antiqua"/>
          <w:szCs w:val="26"/>
          <w:u w:val="single"/>
        </w:rPr>
        <w:t xml:space="preserve">Wheelchair access is limited or impeded </w:t>
      </w:r>
      <w:r w:rsidRPr="00502A53">
        <w:rPr>
          <w:rFonts w:ascii="Book Antiqua" w:hAnsi="Book Antiqua"/>
          <w:szCs w:val="26"/>
          <w:u w:val="single"/>
        </w:rPr>
        <w:t>by existing above ground electric and/or telecommunications infrastructure including pad mounted facilities on sidewalks or in other areas in the pedestrian right-of-way that is otherwise not compliant with the Americans with Disabilities Act</w:t>
      </w:r>
      <w:r w:rsidRPr="00502A53">
        <w:rPr>
          <w:rFonts w:ascii="Book Antiqua" w:hAnsi="Book Antiqua"/>
          <w:szCs w:val="26"/>
        </w:rPr>
        <w:t>.</w:t>
      </w:r>
      <w:r>
        <w:rPr>
          <w:rStyle w:val="FootnoteReference"/>
          <w:rFonts w:ascii="Book Antiqua" w:hAnsi="Book Antiqua"/>
        </w:rPr>
        <w:footnoteReference w:id="27"/>
      </w:r>
    </w:p>
    <w:p w:rsidRPr="00502A53" w:rsidR="00D55A9C" w:rsidP="00013029" w:rsidRDefault="00D55A9C" w14:paraId="0B069E89" w14:textId="77777777">
      <w:pPr>
        <w:pStyle w:val="standard0"/>
        <w:numPr>
          <w:ilvl w:val="0"/>
          <w:numId w:val="23"/>
        </w:numPr>
        <w:spacing w:after="120" w:line="240" w:lineRule="auto"/>
        <w:ind w:right="1440"/>
        <w:rPr>
          <w:rFonts w:ascii="Book Antiqua" w:hAnsi="Book Antiqua"/>
          <w:szCs w:val="26"/>
        </w:rPr>
      </w:pPr>
      <w:r w:rsidRPr="00502A53">
        <w:rPr>
          <w:rFonts w:ascii="Book Antiqua" w:hAnsi="Book Antiqua"/>
          <w:szCs w:val="26"/>
        </w:rPr>
        <w:t xml:space="preserve">The street or road or right-of-way adjoins or passes through a civic area or public recreation area or an area of </w:t>
      </w:r>
      <w:r w:rsidRPr="002613C8">
        <w:rPr>
          <w:rFonts w:ascii="Book Antiqua" w:hAnsi="Book Antiqua"/>
          <w:strike/>
          <w:szCs w:val="26"/>
        </w:rPr>
        <w:t>unusual</w:t>
      </w:r>
      <w:r w:rsidRPr="00502A53">
        <w:rPr>
          <w:rFonts w:ascii="Book Antiqua" w:hAnsi="Book Antiqua"/>
          <w:szCs w:val="26"/>
        </w:rPr>
        <w:t xml:space="preserve"> </w:t>
      </w:r>
      <w:r w:rsidRPr="002613C8">
        <w:rPr>
          <w:rFonts w:ascii="Book Antiqua" w:hAnsi="Book Antiqua"/>
          <w:szCs w:val="26"/>
          <w:u w:val="single"/>
        </w:rPr>
        <w:t xml:space="preserve">significant </w:t>
      </w:r>
      <w:r w:rsidRPr="00502A53">
        <w:rPr>
          <w:rFonts w:ascii="Book Antiqua" w:hAnsi="Book Antiqua"/>
          <w:szCs w:val="26"/>
        </w:rPr>
        <w:t>scenic</w:t>
      </w:r>
      <w:r>
        <w:rPr>
          <w:rFonts w:ascii="Book Antiqua" w:hAnsi="Book Antiqua"/>
          <w:szCs w:val="26"/>
          <w:u w:val="single"/>
        </w:rPr>
        <w:t>, cultural, and/or historic</w:t>
      </w:r>
      <w:r w:rsidRPr="00502A53">
        <w:rPr>
          <w:rFonts w:ascii="Book Antiqua" w:hAnsi="Book Antiqua"/>
          <w:szCs w:val="26"/>
        </w:rPr>
        <w:t xml:space="preserve"> interest to the </w:t>
      </w:r>
      <w:proofErr w:type="gramStart"/>
      <w:r w:rsidRPr="00502A53">
        <w:rPr>
          <w:rFonts w:ascii="Book Antiqua" w:hAnsi="Book Antiqua"/>
          <w:szCs w:val="26"/>
        </w:rPr>
        <w:t>general public</w:t>
      </w:r>
      <w:proofErr w:type="gramEnd"/>
      <w:r w:rsidRPr="00502A53">
        <w:rPr>
          <w:rFonts w:ascii="Book Antiqua" w:hAnsi="Book Antiqua"/>
          <w:szCs w:val="26"/>
        </w:rPr>
        <w:t xml:space="preserve">; or </w:t>
      </w:r>
    </w:p>
    <w:p w:rsidRPr="00502A53" w:rsidR="00D55A9C" w:rsidP="00013029" w:rsidRDefault="00D55A9C" w14:paraId="17FCA7FE" w14:textId="77777777">
      <w:pPr>
        <w:pStyle w:val="standard0"/>
        <w:numPr>
          <w:ilvl w:val="0"/>
          <w:numId w:val="23"/>
        </w:numPr>
        <w:spacing w:after="120" w:line="240" w:lineRule="auto"/>
        <w:ind w:right="1440"/>
        <w:rPr>
          <w:rFonts w:ascii="Book Antiqua" w:hAnsi="Book Antiqua"/>
          <w:szCs w:val="26"/>
        </w:rPr>
      </w:pPr>
      <w:r w:rsidRPr="00502A53">
        <w:rPr>
          <w:rFonts w:ascii="Book Antiqua" w:hAnsi="Book Antiqua"/>
          <w:szCs w:val="26"/>
        </w:rPr>
        <w:t xml:space="preserve">The street or road or right-of way is considered an arterial street or major collector as defined </w:t>
      </w:r>
      <w:r w:rsidRPr="00502A53">
        <w:rPr>
          <w:rFonts w:ascii="Book Antiqua" w:hAnsi="Book Antiqua"/>
          <w:strike/>
          <w:szCs w:val="26"/>
        </w:rPr>
        <w:t>in the Governor’s Office of Planning and Research General Plan Guidelines</w:t>
      </w:r>
      <w:r w:rsidRPr="00502A53">
        <w:rPr>
          <w:rFonts w:ascii="Book Antiqua" w:hAnsi="Book Antiqua"/>
          <w:szCs w:val="26"/>
        </w:rPr>
        <w:t xml:space="preserve"> </w:t>
      </w:r>
      <w:r w:rsidRPr="00502A53">
        <w:rPr>
          <w:rFonts w:ascii="Book Antiqua" w:hAnsi="Book Antiqua"/>
          <w:szCs w:val="26"/>
          <w:u w:val="single"/>
        </w:rPr>
        <w:t>by the California Department of Transportation’s California Road System functional classification system</w:t>
      </w:r>
      <w:r w:rsidRPr="00502A53">
        <w:rPr>
          <w:rFonts w:ascii="Book Antiqua" w:hAnsi="Book Antiqua"/>
          <w:szCs w:val="26"/>
        </w:rPr>
        <w:t xml:space="preserve">. </w:t>
      </w:r>
    </w:p>
    <w:p w:rsidR="00D55A9C" w:rsidP="00501A9E" w:rsidRDefault="00D55A9C" w14:paraId="52C573EB" w14:textId="2F9A1C4B">
      <w:pPr>
        <w:pStyle w:val="Standard"/>
      </w:pPr>
      <w:r w:rsidRPr="00501A9E">
        <w:t>Local</w:t>
      </w:r>
      <w:r w:rsidRPr="00502A53">
        <w:t xml:space="preserve"> governments generally opposed refinements to project eligibility criteria that would reduce flexibility for how Rule 20A funds may be used. </w:t>
      </w:r>
      <w:r w:rsidR="00501A9E">
        <w:t xml:space="preserve"> </w:t>
      </w:r>
      <w:r w:rsidRPr="00502A53">
        <w:t>The City of Brisbane and City of Orinda argued that defining heavy traffic volume as 5,000 vehicle trips per day is too high.</w:t>
      </w:r>
      <w:r w:rsidRPr="00502A53">
        <w:rPr>
          <w:rStyle w:val="FootnoteReference"/>
        </w:rPr>
        <w:footnoteReference w:id="28"/>
      </w:r>
      <w:r w:rsidR="00501A9E">
        <w:t xml:space="preserve"> </w:t>
      </w:r>
      <w:r w:rsidRPr="00502A53">
        <w:t xml:space="preserve"> City of Laguna Beach objected to defining heavy concentration of wires without considering the overhead </w:t>
      </w:r>
      <w:r w:rsidRPr="00502A53">
        <w:lastRenderedPageBreak/>
        <w:t>communications lines.</w:t>
      </w:r>
      <w:r w:rsidRPr="00502A53">
        <w:rPr>
          <w:rStyle w:val="FootnoteReference"/>
        </w:rPr>
        <w:footnoteReference w:id="29"/>
      </w:r>
      <w:r w:rsidRPr="00502A53">
        <w:t xml:space="preserve"> </w:t>
      </w:r>
      <w:r w:rsidR="00501A9E">
        <w:t xml:space="preserve"> </w:t>
      </w:r>
      <w:r w:rsidRPr="00502A53">
        <w:t xml:space="preserve">The City of Newport Beach similarly argued that the proposed refinements to the first three criteria would </w:t>
      </w:r>
      <w:r>
        <w:t xml:space="preserve">create </w:t>
      </w:r>
      <w:r w:rsidRPr="00502A53">
        <w:t>roadblocks to projects.</w:t>
      </w:r>
      <w:r w:rsidRPr="00502A53">
        <w:rPr>
          <w:rStyle w:val="FootnoteReference"/>
        </w:rPr>
        <w:footnoteReference w:id="30"/>
      </w:r>
      <w:r w:rsidRPr="00502A53">
        <w:t xml:space="preserve"> </w:t>
      </w:r>
    </w:p>
    <w:p w:rsidR="00D55A9C" w:rsidP="00501A9E" w:rsidRDefault="00D55A9C" w14:paraId="7BFCE47F" w14:textId="0F84E493">
      <w:pPr>
        <w:pStyle w:val="Standard"/>
      </w:pPr>
      <w:r>
        <w:t xml:space="preserve">Most parties </w:t>
      </w:r>
      <w:r w:rsidRPr="00502A53">
        <w:t xml:space="preserve">did not oppose the </w:t>
      </w:r>
      <w:r>
        <w:t xml:space="preserve">proposed </w:t>
      </w:r>
      <w:r w:rsidRPr="00502A53">
        <w:t>modification</w:t>
      </w:r>
      <w:r>
        <w:t>s</w:t>
      </w:r>
      <w:r w:rsidRPr="00502A53">
        <w:t xml:space="preserve"> to the </w:t>
      </w:r>
      <w:r>
        <w:t xml:space="preserve">fourth or </w:t>
      </w:r>
      <w:r w:rsidRPr="00502A53">
        <w:t>fifth criteria.</w:t>
      </w:r>
      <w:r>
        <w:t xml:space="preserve"> </w:t>
      </w:r>
      <w:r w:rsidR="00501A9E">
        <w:t xml:space="preserve"> </w:t>
      </w:r>
      <w:r>
        <w:t>On the other hand, PG&amp;E supports each of the proposed modifications to existing project eligibility criteria listed above, except for the proposed modifications to the fourth criterion, which it asserts remains too vague.</w:t>
      </w:r>
      <w:r>
        <w:rPr>
          <w:rStyle w:val="FootnoteReference"/>
        </w:rPr>
        <w:footnoteReference w:id="31"/>
      </w:r>
      <w:r>
        <w:t xml:space="preserve"> </w:t>
      </w:r>
      <w:r w:rsidR="00501A9E">
        <w:t xml:space="preserve"> </w:t>
      </w:r>
      <w:r>
        <w:t>While we recognize that the proposed standard of “significant scenic, cultural, and/or historic interest” remains broad, the proposed standard provides more direction than the current standard of “unusual scenic interest.”</w:t>
      </w:r>
    </w:p>
    <w:p w:rsidR="00D55A9C" w:rsidP="00501A9E" w:rsidRDefault="00D55A9C" w14:paraId="2FD6CC15" w14:textId="730C7055">
      <w:pPr>
        <w:pStyle w:val="Standard"/>
      </w:pPr>
      <w:r w:rsidRPr="6830C53D">
        <w:t xml:space="preserve">SCE proposes a different modification to the first criterion and argues against defining “heavy traffic volume” as proposed for the second criterion since it does not account for traffic levels varying by community.  SCE disagrees with limited or impeded wheelchair access as a standalone qualifying criterion for Rule 20A but recommends instead that wheelchair access be considered when defining the boundaries of projects that otherwise qualify for Rule 20A under one of the qualifying criteria. </w:t>
      </w:r>
    </w:p>
    <w:p w:rsidR="00D55A9C" w:rsidP="00501A9E" w:rsidRDefault="00D55A9C" w14:paraId="5E60037D" w14:textId="2BF38C4A">
      <w:pPr>
        <w:pStyle w:val="Standard"/>
      </w:pPr>
      <w:proofErr w:type="gramStart"/>
      <w:r>
        <w:t>In light of</w:t>
      </w:r>
      <w:proofErr w:type="gramEnd"/>
      <w:r>
        <w:t xml:space="preserve"> our plan to address Rule 20A project eligibility criteria more broadly in Phase 2, we are inclined to avoid unnecessary changes to the existing project eligibility criteria at this time.</w:t>
      </w:r>
      <w:r w:rsidR="00501A9E">
        <w:t xml:space="preserve"> </w:t>
      </w:r>
      <w:r>
        <w:t xml:space="preserve"> </w:t>
      </w:r>
      <w:r w:rsidRPr="00502A53">
        <w:t xml:space="preserve">Based on party comments, we decline to implement the February Staff Proposal’s recommended modifications to the first </w:t>
      </w:r>
      <w:r>
        <w:t>two</w:t>
      </w:r>
      <w:r w:rsidRPr="00502A53">
        <w:t xml:space="preserve"> project eligibility criteria.</w:t>
      </w:r>
      <w:r>
        <w:t xml:space="preserve"> </w:t>
      </w:r>
    </w:p>
    <w:p w:rsidRPr="00396B9B" w:rsidR="00D55A9C" w:rsidP="00501A9E" w:rsidRDefault="00D55A9C" w14:paraId="2472C5A7" w14:textId="77777777">
      <w:pPr>
        <w:pStyle w:val="Standard"/>
      </w:pPr>
      <w:r w:rsidRPr="00502A53">
        <w:lastRenderedPageBreak/>
        <w:t xml:space="preserve">However, we </w:t>
      </w:r>
      <w:r>
        <w:t>will adopt modifications to</w:t>
      </w:r>
      <w:r w:rsidRPr="00502A53">
        <w:t xml:space="preserve"> the Rule 20A program to implement the recommended modification</w:t>
      </w:r>
      <w:r>
        <w:t>s</w:t>
      </w:r>
      <w:r w:rsidRPr="00502A53">
        <w:t xml:space="preserve"> to the</w:t>
      </w:r>
      <w:r>
        <w:t xml:space="preserve"> fourth and</w:t>
      </w:r>
      <w:r w:rsidRPr="00502A53">
        <w:t xml:space="preserve"> fifth project eligibility criteri</w:t>
      </w:r>
      <w:r>
        <w:t>a</w:t>
      </w:r>
      <w:r w:rsidRPr="00502A53">
        <w:t>.</w:t>
      </w:r>
      <w:r>
        <w:t xml:space="preserve">  To enhance consistency across utility service territories, we will also direct all utilities to include a criterion regarding limited or impeded wheelchair access that is not compliant with the Americans with Disabilities Act.</w:t>
      </w:r>
    </w:p>
    <w:p w:rsidR="00D55A9C" w:rsidP="009B2FAA" w:rsidRDefault="00E96109" w14:paraId="62155914" w14:textId="63E968D1">
      <w:pPr>
        <w:pStyle w:val="Heading2"/>
        <w:numPr>
          <w:ilvl w:val="0"/>
          <w:numId w:val="0"/>
        </w:numPr>
        <w:ind w:left="1440" w:hanging="720"/>
      </w:pPr>
      <w:bookmarkStart w:name="_Toc73945839" w:id="12"/>
      <w:r>
        <w:t xml:space="preserve">4.2 </w:t>
      </w:r>
      <w:r w:rsidR="009B2FAA">
        <w:tab/>
      </w:r>
      <w:r w:rsidRPr="00501A9E" w:rsidR="00D55A9C">
        <w:t>Inequitable</w:t>
      </w:r>
      <w:r w:rsidR="00D55A9C">
        <w:t xml:space="preserve"> Usage of Ratepayer Funds</w:t>
      </w:r>
      <w:bookmarkEnd w:id="12"/>
    </w:p>
    <w:p w:rsidRPr="00436CD7" w:rsidR="00D55A9C" w:rsidP="00501A9E" w:rsidRDefault="00D55A9C" w14:paraId="6807440E" w14:textId="3959B2DF">
      <w:pPr>
        <w:pStyle w:val="Standard"/>
      </w:pPr>
      <w:r>
        <w:t xml:space="preserve">In </w:t>
      </w:r>
      <w:r w:rsidRPr="00501A9E">
        <w:t>February</w:t>
      </w:r>
      <w:r>
        <w:t xml:space="preserve"> 2019, the Commission adopted an Environmental and Social Justice (ESJ) Action Plan. </w:t>
      </w:r>
      <w:r w:rsidR="00501A9E">
        <w:t xml:space="preserve"> </w:t>
      </w:r>
      <w:r>
        <w:t xml:space="preserve">The ESJ Action Plan includes nine goals, including the goal of consistently integrating </w:t>
      </w:r>
      <w:r w:rsidRPr="00436CD7">
        <w:t xml:space="preserve">equity and access considerations throughout </w:t>
      </w:r>
      <w:r>
        <w:t xml:space="preserve">Commission </w:t>
      </w:r>
      <w:r w:rsidRPr="00436CD7">
        <w:t>proceedings and other efforts</w:t>
      </w:r>
      <w:r>
        <w:t>.</w:t>
      </w:r>
    </w:p>
    <w:p w:rsidRPr="00502A53" w:rsidR="00D55A9C" w:rsidP="00501A9E" w:rsidRDefault="00D55A9C" w14:paraId="79CACD96" w14:textId="1381AD43">
      <w:pPr>
        <w:pStyle w:val="Standard"/>
      </w:pPr>
      <w:r>
        <w:t>The</w:t>
      </w:r>
      <w:r w:rsidRPr="00502A53">
        <w:t xml:space="preserve"> February Staff </w:t>
      </w:r>
      <w:r>
        <w:t>Proposal</w:t>
      </w:r>
      <w:r w:rsidRPr="00502A53">
        <w:t xml:space="preserve"> </w:t>
      </w:r>
      <w:r>
        <w:t>identified</w:t>
      </w:r>
      <w:r w:rsidRPr="00502A53">
        <w:t xml:space="preserve"> the inequitable</w:t>
      </w:r>
      <w:r>
        <w:t xml:space="preserve"> usage</w:t>
      </w:r>
      <w:r w:rsidRPr="00502A53">
        <w:t xml:space="preserve"> of Rule 20A funds. </w:t>
      </w:r>
      <w:r w:rsidR="00501A9E">
        <w:t xml:space="preserve"> </w:t>
      </w:r>
      <w:r>
        <w:t>A</w:t>
      </w:r>
      <w:r w:rsidRPr="00502A53">
        <w:t xml:space="preserve"> handful of </w:t>
      </w:r>
      <w:r>
        <w:t xml:space="preserve">the 503 </w:t>
      </w:r>
      <w:r w:rsidRPr="00502A53">
        <w:t xml:space="preserve">communities </w:t>
      </w:r>
      <w:r>
        <w:t xml:space="preserve">that pay into the program </w:t>
      </w:r>
      <w:r w:rsidRPr="00502A53">
        <w:t>have completed projects worth hundreds of millions of dollars funded by ratepayer contributions</w:t>
      </w:r>
      <w:r>
        <w:t>.</w:t>
      </w:r>
      <w:r w:rsidR="00501A9E">
        <w:t xml:space="preserve"> </w:t>
      </w:r>
      <w:r>
        <w:t xml:space="preserve"> On the other hand, </w:t>
      </w:r>
      <w:r w:rsidRPr="00502A53">
        <w:t xml:space="preserve">82 </w:t>
      </w:r>
      <w:r>
        <w:t xml:space="preserve">eligible </w:t>
      </w:r>
      <w:r w:rsidRPr="00502A53">
        <w:t xml:space="preserve">communities have not completed a single project since 2005. </w:t>
      </w:r>
      <w:r w:rsidR="00501A9E">
        <w:t xml:space="preserve"> </w:t>
      </w:r>
      <w:r>
        <w:t>It is unknown how many of these 82 communities may have completed projects prior to 2005.</w:t>
      </w:r>
      <w:r w:rsidRPr="00502A53">
        <w:t xml:space="preserve"> </w:t>
      </w:r>
    </w:p>
    <w:p w:rsidRPr="00502A53" w:rsidR="00D55A9C" w:rsidP="00501A9E" w:rsidRDefault="00D55A9C" w14:paraId="743DE109" w14:textId="0CB48425">
      <w:pPr>
        <w:pStyle w:val="Standard"/>
      </w:pPr>
      <w:r w:rsidRPr="00502A53">
        <w:t>In the February Staff Proposal, the Commission’s staff recommend</w:t>
      </w:r>
      <w:r>
        <w:t xml:space="preserve">s </w:t>
      </w:r>
      <w:r w:rsidRPr="00502A53">
        <w:t xml:space="preserve">reducing ratepayer contributions to Rule 20 projects </w:t>
      </w:r>
      <w:proofErr w:type="gramStart"/>
      <w:r w:rsidRPr="00502A53">
        <w:t>in light of</w:t>
      </w:r>
      <w:proofErr w:type="gramEnd"/>
      <w:r w:rsidRPr="00502A53">
        <w:t xml:space="preserve"> these funding disparities.  The February Staff Proposal </w:t>
      </w:r>
      <w:r w:rsidRPr="006F1C47">
        <w:t xml:space="preserve">outlined a plan to sunset </w:t>
      </w:r>
      <w:r>
        <w:t xml:space="preserve">the </w:t>
      </w:r>
      <w:r w:rsidRPr="006F1C47">
        <w:t xml:space="preserve">Rule 20A </w:t>
      </w:r>
      <w:r>
        <w:t xml:space="preserve">program </w:t>
      </w:r>
      <w:r w:rsidRPr="006F1C47">
        <w:t>and increase ratepayer contributions for certain Rule 20B and Rule 20C projects to up to 50</w:t>
      </w:r>
      <w:r>
        <w:t xml:space="preserve"> percent</w:t>
      </w:r>
      <w:r w:rsidRPr="006F1C47">
        <w:t xml:space="preserve">.  </w:t>
      </w:r>
      <w:r w:rsidRPr="00013029">
        <w:t xml:space="preserve">The proposal aimed provide a moderate amount of funding to Rule 20 projects, moving away from the current approach of funding 100 percent of Rule 20A project costs while funding only 20-40 percent of eligible Rule 20B project costs.  </w:t>
      </w:r>
      <w:r w:rsidRPr="006F1C47">
        <w:t xml:space="preserve">In the September 3, </w:t>
      </w:r>
      <w:proofErr w:type="gramStart"/>
      <w:r w:rsidRPr="006F1C47">
        <w:t>2020</w:t>
      </w:r>
      <w:proofErr w:type="gramEnd"/>
      <w:r w:rsidRPr="006F1C47">
        <w:t xml:space="preserve"> ruling, ALJ Wang requested comments on whether underserved a</w:t>
      </w:r>
      <w:r w:rsidRPr="00502A53">
        <w:t xml:space="preserve">nd disadvantaged communities would participate in the Rule 20A program in light of the recession.  The </w:t>
      </w:r>
      <w:r w:rsidR="001873CF">
        <w:br/>
      </w:r>
      <w:r w:rsidRPr="00502A53">
        <w:lastRenderedPageBreak/>
        <w:t>September 2020 ruling also attached a staff proposal (September Staff Proposal) proposing budget limits for Rule 20B and Rule 20C ratepayer contributions.</w:t>
      </w:r>
    </w:p>
    <w:p w:rsidRPr="00502A53" w:rsidR="00D55A9C" w:rsidP="001873CF" w:rsidRDefault="00D55A9C" w14:paraId="04EF05B1" w14:textId="77777777">
      <w:pPr>
        <w:pStyle w:val="Standard"/>
      </w:pPr>
      <w:r w:rsidRPr="00502A53">
        <w:t>Many parties opposed the staff proposal</w:t>
      </w:r>
      <w:r>
        <w:t>s</w:t>
      </w:r>
      <w:r w:rsidRPr="00502A53">
        <w:t xml:space="preserve"> to</w:t>
      </w:r>
      <w:r>
        <w:t xml:space="preserve"> sunset </w:t>
      </w:r>
      <w:r w:rsidRPr="00502A53">
        <w:t xml:space="preserve">Rule 20A and increase ratepayer contributions and capping funding for Rule 20B and Rule 20C. </w:t>
      </w:r>
      <w:r>
        <w:t xml:space="preserve"> </w:t>
      </w:r>
      <w:r w:rsidRPr="00502A53">
        <w:t xml:space="preserve">Several parties argued that underserved and disadvantaged communities </w:t>
      </w:r>
      <w:r>
        <w:t>would be</w:t>
      </w:r>
      <w:r w:rsidRPr="00502A53">
        <w:t xml:space="preserve"> less likely to participate in the Rule 20 program</w:t>
      </w:r>
      <w:r>
        <w:t xml:space="preserve"> if they are required to contribute a portion of project costs</w:t>
      </w:r>
      <w:r w:rsidRPr="00502A53">
        <w:t>.</w:t>
      </w:r>
      <w:r w:rsidRPr="00502A53">
        <w:rPr>
          <w:rStyle w:val="FootnoteReference"/>
        </w:rPr>
        <w:footnoteReference w:id="32"/>
      </w:r>
      <w:r w:rsidRPr="00502A53">
        <w:t xml:space="preserve">  Multiple parties argued that </w:t>
      </w:r>
      <w:r>
        <w:t>any</w:t>
      </w:r>
      <w:r w:rsidRPr="00502A53">
        <w:t xml:space="preserve"> additional Rule 20B and Rule 20C funding will primarily benefit wealthy communities and private developers.</w:t>
      </w:r>
      <w:r w:rsidRPr="00502A53">
        <w:rPr>
          <w:rStyle w:val="FootnoteReference"/>
        </w:rPr>
        <w:footnoteReference w:id="33"/>
      </w:r>
      <w:r>
        <w:t xml:space="preserve"> </w:t>
      </w:r>
      <w:r w:rsidRPr="00502A53">
        <w:t xml:space="preserve"> </w:t>
      </w:r>
    </w:p>
    <w:p w:rsidRPr="00502A53" w:rsidR="00D55A9C" w:rsidP="001873CF" w:rsidRDefault="00D55A9C" w14:paraId="60BA0EAC" w14:textId="0F336EF6">
      <w:pPr>
        <w:pStyle w:val="Standard"/>
      </w:pPr>
      <w:r w:rsidRPr="00502A53">
        <w:t xml:space="preserve">After review of party comments, we </w:t>
      </w:r>
      <w:r>
        <w:t>decline to</w:t>
      </w:r>
      <w:r w:rsidRPr="00502A53">
        <w:t xml:space="preserve"> sunset the Rule 20A program</w:t>
      </w:r>
      <w:r>
        <w:t xml:space="preserve"> or modify the</w:t>
      </w:r>
      <w:r w:rsidRPr="00502A53">
        <w:t xml:space="preserve"> Rule 20B or Rule 20C </w:t>
      </w:r>
      <w:r>
        <w:t>programs</w:t>
      </w:r>
      <w:r w:rsidRPr="00502A53">
        <w:t xml:space="preserve"> </w:t>
      </w:r>
      <w:proofErr w:type="gramStart"/>
      <w:r>
        <w:t xml:space="preserve">at </w:t>
      </w:r>
      <w:r w:rsidRPr="00502A53">
        <w:t>this time</w:t>
      </w:r>
      <w:proofErr w:type="gramEnd"/>
      <w:r w:rsidRPr="00502A53">
        <w:t xml:space="preserve">.  We will consider in Phase 2 of this proceeding whether to </w:t>
      </w:r>
      <w:r>
        <w:t xml:space="preserve">further </w:t>
      </w:r>
      <w:r w:rsidRPr="00502A53">
        <w:t xml:space="preserve">modify the Rule 20A program to support projects located in underserved </w:t>
      </w:r>
      <w:r>
        <w:t xml:space="preserve">or disadvantaged </w:t>
      </w:r>
      <w:r w:rsidRPr="00502A53">
        <w:t xml:space="preserve">communities. </w:t>
      </w:r>
    </w:p>
    <w:p w:rsidRPr="006C43D8" w:rsidR="00D55A9C" w:rsidP="009B2FAA" w:rsidRDefault="00D36300" w14:paraId="5CD1BF3D" w14:textId="0C6706CD">
      <w:pPr>
        <w:pStyle w:val="Heading2"/>
        <w:numPr>
          <w:ilvl w:val="0"/>
          <w:numId w:val="0"/>
        </w:numPr>
        <w:ind w:left="1440" w:hanging="720"/>
      </w:pPr>
      <w:bookmarkStart w:name="_Toc73945840" w:id="13"/>
      <w:r>
        <w:t xml:space="preserve">4.3 </w:t>
      </w:r>
      <w:r>
        <w:tab/>
      </w:r>
      <w:r w:rsidR="00D55A9C">
        <w:t xml:space="preserve">Rule </w:t>
      </w:r>
      <w:r w:rsidRPr="001873CF" w:rsidR="00D55A9C">
        <w:t>20A</w:t>
      </w:r>
      <w:r w:rsidR="00D55A9C">
        <w:t xml:space="preserve"> Work Credit System</w:t>
      </w:r>
      <w:bookmarkEnd w:id="13"/>
    </w:p>
    <w:p w:rsidRPr="00502A53" w:rsidR="00D55A9C" w:rsidP="001873CF" w:rsidRDefault="00D55A9C" w14:paraId="75A2706E" w14:textId="043E4102">
      <w:pPr>
        <w:pStyle w:val="Standard"/>
      </w:pPr>
      <w:r w:rsidRPr="00502A53">
        <w:t xml:space="preserve">The February Staff Proposal highlighted </w:t>
      </w:r>
      <w:r>
        <w:t xml:space="preserve">major </w:t>
      </w:r>
      <w:r w:rsidRPr="00502A53">
        <w:t xml:space="preserve">problems with the </w:t>
      </w:r>
      <w:r w:rsidR="001873CF">
        <w:br/>
      </w:r>
      <w:r w:rsidRPr="00502A53">
        <w:t xml:space="preserve">Rule 20A work credit system. </w:t>
      </w:r>
    </w:p>
    <w:p w:rsidRPr="002613C8" w:rsidR="00D55A9C" w:rsidP="001873CF" w:rsidRDefault="00D55A9C" w14:paraId="73C03407" w14:textId="54279C8B">
      <w:pPr>
        <w:pStyle w:val="standard0"/>
        <w:numPr>
          <w:ilvl w:val="0"/>
          <w:numId w:val="24"/>
        </w:numPr>
        <w:spacing w:after="120" w:line="240" w:lineRule="auto"/>
        <w:ind w:right="1440"/>
        <w:rPr>
          <w:rFonts w:ascii="Book Antiqua" w:hAnsi="Book Antiqua"/>
          <w:szCs w:val="26"/>
        </w:rPr>
      </w:pPr>
      <w:r w:rsidRPr="00013029">
        <w:rPr>
          <w:rFonts w:ascii="Book Antiqua" w:hAnsi="Book Antiqua"/>
        </w:rPr>
        <w:t xml:space="preserve">The February Staff Proposal estimates that at least </w:t>
      </w:r>
      <w:r w:rsidR="004909E9">
        <w:rPr>
          <w:rFonts w:ascii="Book Antiqua" w:hAnsi="Book Antiqua"/>
        </w:rPr>
        <w:br/>
      </w:r>
      <w:r w:rsidRPr="00013029">
        <w:rPr>
          <w:rFonts w:ascii="Book Antiqua" w:hAnsi="Book Antiqua"/>
        </w:rPr>
        <w:t>$489 million in unused and un-committed Rule 20A work credits remain outstanding. The Commission’s Energy Division confirms that the value of unused and un-committed Rule 20A work credits across all electric utility service territories is over $1.56 billion as of January 2021.</w:t>
      </w:r>
    </w:p>
    <w:p w:rsidR="00D55A9C" w:rsidP="001873CF" w:rsidRDefault="00D55A9C" w14:paraId="2F98EB5A" w14:textId="77777777">
      <w:pPr>
        <w:pStyle w:val="standard0"/>
        <w:numPr>
          <w:ilvl w:val="0"/>
          <w:numId w:val="24"/>
        </w:numPr>
        <w:spacing w:after="120" w:line="240" w:lineRule="auto"/>
        <w:ind w:right="1440"/>
        <w:rPr>
          <w:rFonts w:ascii="Book Antiqua" w:hAnsi="Book Antiqua"/>
          <w:szCs w:val="26"/>
        </w:rPr>
      </w:pPr>
      <w:r w:rsidRPr="00502A53">
        <w:rPr>
          <w:rFonts w:ascii="Book Antiqua" w:hAnsi="Book Antiqua"/>
          <w:szCs w:val="26"/>
        </w:rPr>
        <w:t xml:space="preserve">Through an unsanctioned secondary work credit marketplace, some communities sell, trade, or donate their unused work </w:t>
      </w:r>
      <w:r w:rsidRPr="00502A53">
        <w:rPr>
          <w:rFonts w:ascii="Book Antiqua" w:hAnsi="Book Antiqua"/>
          <w:szCs w:val="26"/>
        </w:rPr>
        <w:lastRenderedPageBreak/>
        <w:t xml:space="preserve">credits to other communities that need them to complete a project. </w:t>
      </w:r>
    </w:p>
    <w:p w:rsidRPr="002613C8" w:rsidR="00D55A9C" w:rsidP="001873CF" w:rsidRDefault="00D55A9C" w14:paraId="1889AA73" w14:textId="0EAD6C3F">
      <w:pPr>
        <w:pStyle w:val="standard0"/>
        <w:numPr>
          <w:ilvl w:val="0"/>
          <w:numId w:val="24"/>
        </w:numPr>
        <w:spacing w:after="120" w:line="240" w:lineRule="auto"/>
        <w:ind w:right="1440"/>
        <w:rPr>
          <w:rFonts w:ascii="Book Antiqua" w:hAnsi="Book Antiqua"/>
          <w:szCs w:val="26"/>
        </w:rPr>
      </w:pPr>
      <w:r>
        <w:rPr>
          <w:rFonts w:ascii="Book Antiqua" w:hAnsi="Book Antiqua"/>
          <w:szCs w:val="26"/>
        </w:rPr>
        <w:t xml:space="preserve">As of March 2019, </w:t>
      </w:r>
      <w:r w:rsidRPr="00502A53">
        <w:rPr>
          <w:rFonts w:ascii="Book Antiqua" w:hAnsi="Book Antiqua"/>
          <w:szCs w:val="26"/>
        </w:rPr>
        <w:t xml:space="preserve">57 communities borrowed beyond the </w:t>
      </w:r>
      <w:r w:rsidR="004909E9">
        <w:rPr>
          <w:rFonts w:ascii="Book Antiqua" w:hAnsi="Book Antiqua"/>
          <w:szCs w:val="26"/>
        </w:rPr>
        <w:br/>
      </w:r>
      <w:r w:rsidRPr="00502A53">
        <w:rPr>
          <w:rFonts w:ascii="Book Antiqua" w:hAnsi="Book Antiqua"/>
          <w:szCs w:val="26"/>
        </w:rPr>
        <w:t>5-year forward limit</w:t>
      </w:r>
      <w:r>
        <w:rPr>
          <w:rFonts w:ascii="Book Antiqua" w:hAnsi="Book Antiqua"/>
          <w:szCs w:val="26"/>
        </w:rPr>
        <w:t xml:space="preserve"> permitted under Rule 20A program rules,</w:t>
      </w:r>
      <w:r w:rsidRPr="00502A53">
        <w:rPr>
          <w:rFonts w:ascii="Book Antiqua" w:hAnsi="Book Antiqua"/>
          <w:szCs w:val="26"/>
        </w:rPr>
        <w:t xml:space="preserve"> placing them in “work credit debt”. </w:t>
      </w:r>
    </w:p>
    <w:p w:rsidRPr="00502A53" w:rsidR="00D55A9C" w:rsidP="001873CF" w:rsidRDefault="00D55A9C" w14:paraId="745CAD94" w14:textId="77777777">
      <w:pPr>
        <w:pStyle w:val="standard0"/>
        <w:numPr>
          <w:ilvl w:val="0"/>
          <w:numId w:val="24"/>
        </w:numPr>
        <w:spacing w:after="120" w:line="240" w:lineRule="auto"/>
        <w:ind w:right="1440"/>
        <w:rPr>
          <w:rFonts w:ascii="Book Antiqua" w:hAnsi="Book Antiqua"/>
          <w:szCs w:val="26"/>
        </w:rPr>
      </w:pPr>
      <w:r w:rsidRPr="00502A53">
        <w:rPr>
          <w:rFonts w:ascii="Book Antiqua" w:hAnsi="Book Antiqua"/>
          <w:szCs w:val="26"/>
        </w:rPr>
        <w:t>The work credit system lacks transparency and is hard to regulate.</w:t>
      </w:r>
    </w:p>
    <w:p w:rsidRPr="00502A53" w:rsidR="00D55A9C" w:rsidP="001873CF" w:rsidRDefault="00D55A9C" w14:paraId="227C02A0" w14:textId="77777777">
      <w:pPr>
        <w:pStyle w:val="Standard"/>
      </w:pPr>
      <w:r w:rsidRPr="00502A53">
        <w:t>In comments, parties highlighted an additional problem with the work credit system. Many communities cannot accrue enough work credits for a single project.</w:t>
      </w:r>
      <w:r w:rsidRPr="00502A53">
        <w:rPr>
          <w:rStyle w:val="FootnoteReference"/>
        </w:rPr>
        <w:footnoteReference w:id="34"/>
      </w:r>
      <w:r w:rsidRPr="00502A53">
        <w:t xml:space="preserve"> </w:t>
      </w:r>
      <w:r>
        <w:t xml:space="preserve"> </w:t>
      </w:r>
      <w:r w:rsidRPr="00502A53">
        <w:t xml:space="preserve">Other communities have a higher demand for work credits than the allocation system can satisfy. </w:t>
      </w:r>
    </w:p>
    <w:p w:rsidRPr="00502A53" w:rsidR="00D55A9C" w:rsidP="001873CF" w:rsidRDefault="00D55A9C" w14:paraId="0A7D7158" w14:textId="7F963F57">
      <w:pPr>
        <w:pStyle w:val="Standard"/>
      </w:pPr>
      <w:proofErr w:type="gramStart"/>
      <w:r w:rsidRPr="6830C53D">
        <w:t>In light of</w:t>
      </w:r>
      <w:proofErr w:type="gramEnd"/>
      <w:r w:rsidRPr="6830C53D">
        <w:t xml:space="preserve"> these and other challenges, the February Staff Proposal recommends winding down the use of work credits over 10 years and banning work credit trading.</w:t>
      </w:r>
      <w:r w:rsidR="001873CF">
        <w:t xml:space="preserve"> </w:t>
      </w:r>
      <w:r w:rsidRPr="6830C53D">
        <w:t xml:space="preserve"> Similarly, the PG&amp;E Audit Report recommended that the Commission modify the Rule 20A program to prevent work credit trading and to limit ratepayer obligations to contribute to the program to communities that participate in the program.</w:t>
      </w:r>
      <w:r w:rsidRPr="00502A53">
        <w:rPr>
          <w:rStyle w:val="FootnoteReference"/>
        </w:rPr>
        <w:footnoteReference w:id="35"/>
      </w:r>
    </w:p>
    <w:p w:rsidRPr="00502A53" w:rsidR="00D55A9C" w:rsidP="001873CF" w:rsidRDefault="00D55A9C" w14:paraId="0971FFCF" w14:textId="77777777">
      <w:pPr>
        <w:pStyle w:val="Standard"/>
      </w:pPr>
      <w:r w:rsidRPr="00502A53">
        <w:t xml:space="preserve">Multiple parties filed comments opposing the September Staff Proposal to wind down the use of Rule 20A </w:t>
      </w:r>
      <w:r>
        <w:t>work credits</w:t>
      </w:r>
      <w:r w:rsidRPr="00502A53">
        <w:t xml:space="preserve"> over 10 years, including requirements for communities to prove that they will be active in the program to use the funds.</w:t>
      </w:r>
      <w:r w:rsidRPr="00502A53">
        <w:rPr>
          <w:rStyle w:val="FootnoteReference"/>
        </w:rPr>
        <w:footnoteReference w:id="36"/>
      </w:r>
      <w:r w:rsidRPr="00502A53">
        <w:t xml:space="preserve"> </w:t>
      </w:r>
    </w:p>
    <w:p w:rsidR="001E791B" w:rsidP="001E791B" w:rsidRDefault="00D55A9C" w14:paraId="502DFBDB" w14:textId="77777777">
      <w:pPr>
        <w:pStyle w:val="Standard"/>
      </w:pPr>
      <w:r w:rsidRPr="00502A53">
        <w:lastRenderedPageBreak/>
        <w:t>We recognize the importance of providing stability and certainty to local governments who plan to use accrued Rule 20A work credits to complete projects.</w:t>
      </w:r>
      <w:r w:rsidR="001873CF">
        <w:t xml:space="preserve"> </w:t>
      </w:r>
      <w:r w:rsidRPr="00502A53">
        <w:t xml:space="preserve"> Accordingly, we will not establish a wind down period for the use of existing work credits</w:t>
      </w:r>
      <w:r>
        <w:t xml:space="preserve"> at this time.</w:t>
      </w:r>
      <w:r w:rsidRPr="00502A53">
        <w:t xml:space="preserve"> </w:t>
      </w:r>
    </w:p>
    <w:p w:rsidR="00D55A9C" w:rsidP="001E791B" w:rsidRDefault="00D55A9C" w14:paraId="4C3F4BF8" w14:textId="6C671A83">
      <w:pPr>
        <w:pStyle w:val="Standard"/>
        <w:rPr>
          <w:szCs w:val="26"/>
        </w:rPr>
      </w:pPr>
      <w:r w:rsidRPr="00502A53">
        <w:rPr>
          <w:szCs w:val="26"/>
        </w:rPr>
        <w:t xml:space="preserve">However, </w:t>
      </w:r>
      <w:proofErr w:type="gramStart"/>
      <w:r w:rsidRPr="00502A53">
        <w:rPr>
          <w:szCs w:val="26"/>
        </w:rPr>
        <w:t xml:space="preserve">in </w:t>
      </w:r>
      <w:r w:rsidRPr="006C43D8">
        <w:rPr>
          <w:szCs w:val="26"/>
        </w:rPr>
        <w:t>light of</w:t>
      </w:r>
      <w:proofErr w:type="gramEnd"/>
      <w:r w:rsidRPr="006C43D8">
        <w:rPr>
          <w:szCs w:val="26"/>
        </w:rPr>
        <w:t xml:space="preserve"> the myriad problems with the work credit system on the record of this proceeding, we</w:t>
      </w:r>
      <w:r>
        <w:rPr>
          <w:szCs w:val="26"/>
        </w:rPr>
        <w:t xml:space="preserve"> will discontinue approval of new work credits for allocation by electric utilities after December 31, 2022.  </w:t>
      </w:r>
      <w:r>
        <w:t xml:space="preserve">Electric utilities shall not allocate new Rule 20A work credits after December 31, 2022.  </w:t>
      </w:r>
      <w:r w:rsidRPr="0068206F">
        <w:rPr>
          <w:szCs w:val="26"/>
        </w:rPr>
        <w:t xml:space="preserve">We will also clarify </w:t>
      </w:r>
      <w:proofErr w:type="gramStart"/>
      <w:r w:rsidRPr="0068206F">
        <w:rPr>
          <w:szCs w:val="26"/>
        </w:rPr>
        <w:t>that utilities</w:t>
      </w:r>
      <w:proofErr w:type="gramEnd"/>
      <w:r w:rsidRPr="0068206F">
        <w:rPr>
          <w:szCs w:val="26"/>
        </w:rPr>
        <w:t xml:space="preserve"> shall not have the discretion to allow communities to borrow work credits from future allocations beyond any 2022 allocation.</w:t>
      </w:r>
    </w:p>
    <w:p w:rsidR="00D55A9C" w:rsidP="00141E15" w:rsidRDefault="005C430E" w14:paraId="3352378B" w14:textId="463AC31B">
      <w:pPr>
        <w:pStyle w:val="Standard"/>
      </w:pPr>
      <w:r>
        <w:t xml:space="preserve">This decision does not set a deadline for the use of work credits created on or before December 31, 2022. </w:t>
      </w:r>
      <w:r w:rsidR="00762C22">
        <w:t xml:space="preserve"> </w:t>
      </w:r>
      <w:r>
        <w:t>Communities may continue to use existing work credits on Rule 20A projects after December 31, 2022</w:t>
      </w:r>
      <w:r w:rsidR="0080229B">
        <w:t>.</w:t>
      </w:r>
      <w:r w:rsidRPr="00502A53" w:rsidR="00D55A9C">
        <w:t xml:space="preserve">Many </w:t>
      </w:r>
      <w:r w:rsidR="00D55A9C">
        <w:t>Rule 20A proponents</w:t>
      </w:r>
      <w:r w:rsidRPr="00502A53" w:rsidR="00D55A9C">
        <w:t xml:space="preserve"> opposed the February Staff Proposal’s suggestion of authorizing a grant program as an alternative to the existing work credit system without proposing a preferred alternative.</w:t>
      </w:r>
      <w:r w:rsidRPr="00502A53" w:rsidR="00D55A9C">
        <w:rPr>
          <w:rStyle w:val="FootnoteReference"/>
        </w:rPr>
        <w:footnoteReference w:id="37"/>
      </w:r>
      <w:r w:rsidRPr="00502A53" w:rsidR="00D55A9C">
        <w:t xml:space="preserve"> </w:t>
      </w:r>
      <w:r w:rsidR="006D0090">
        <w:t xml:space="preserve"> </w:t>
      </w:r>
      <w:r w:rsidR="00D55A9C">
        <w:t>We recognize the potential for the</w:t>
      </w:r>
      <w:r w:rsidRPr="7DCF3CD3" w:rsidR="00D55A9C">
        <w:t xml:space="preserve"> suspension of new work credit allocations </w:t>
      </w:r>
      <w:r w:rsidR="00D55A9C">
        <w:t xml:space="preserve">to </w:t>
      </w:r>
      <w:r w:rsidRPr="7DCF3CD3" w:rsidR="00D55A9C">
        <w:t xml:space="preserve">strand some </w:t>
      </w:r>
      <w:r w:rsidR="00D55A9C">
        <w:t>active</w:t>
      </w:r>
      <w:r w:rsidRPr="7DCF3CD3" w:rsidR="00D55A9C">
        <w:t xml:space="preserve"> project</w:t>
      </w:r>
      <w:r w:rsidR="00D55A9C">
        <w:t xml:space="preserve">s.  </w:t>
      </w:r>
      <w:r w:rsidRPr="00502A53" w:rsidR="00D55A9C">
        <w:t xml:space="preserve">In </w:t>
      </w:r>
      <w:r w:rsidR="00D55A9C">
        <w:t xml:space="preserve">Phase 2 of </w:t>
      </w:r>
      <w:r w:rsidRPr="00502A53" w:rsidR="00D55A9C">
        <w:t xml:space="preserve">this </w:t>
      </w:r>
      <w:r w:rsidR="00D55A9C">
        <w:t>proceeding</w:t>
      </w:r>
      <w:r w:rsidRPr="00502A53" w:rsidR="00D55A9C">
        <w:t xml:space="preserve">, we will consider </w:t>
      </w:r>
      <w:r w:rsidR="00D55A9C">
        <w:t xml:space="preserve">opportunities </w:t>
      </w:r>
      <w:r w:rsidRPr="00502A53" w:rsidR="00D55A9C">
        <w:t xml:space="preserve">for </w:t>
      </w:r>
      <w:r w:rsidR="00D55A9C">
        <w:t>supporting active</w:t>
      </w:r>
      <w:r w:rsidRPr="00502A53" w:rsidR="00D55A9C">
        <w:t xml:space="preserve"> </w:t>
      </w:r>
      <w:r w:rsidR="00D55A9C">
        <w:t xml:space="preserve">Rule 20A </w:t>
      </w:r>
      <w:r w:rsidRPr="00502A53" w:rsidR="00D55A9C">
        <w:t>projects</w:t>
      </w:r>
      <w:r w:rsidR="00D55A9C">
        <w:t>.</w:t>
      </w:r>
    </w:p>
    <w:p w:rsidR="00141E15" w:rsidP="0060673B" w:rsidRDefault="00141E15" w14:paraId="152F45DF" w14:textId="0EA2256A">
      <w:pPr>
        <w:pStyle w:val="Standard"/>
      </w:pPr>
      <w:r>
        <w:t xml:space="preserve">In comments on the proposed decision, several parties requested clarifications </w:t>
      </w:r>
      <w:r w:rsidR="0060673B">
        <w:t>to</w:t>
      </w:r>
      <w:r>
        <w:t xml:space="preserve"> this decision to support active Rule 20A projects before Phase 2 of this proceeding.  We clarify that this decision does not modify two existing pathways for completing projects.  First, local governments may contribute funds </w:t>
      </w:r>
      <w:r>
        <w:lastRenderedPageBreak/>
        <w:t>to their Rule 20A projects.  Second, electric utilities continue to have authority to reallocate unused work credits to active Rule 20A projects</w:t>
      </w:r>
      <w:r w:rsidR="18D039F1">
        <w:t xml:space="preserve"> in accordance with their respective tariffs</w:t>
      </w:r>
      <w:r>
        <w:t>.</w:t>
      </w:r>
    </w:p>
    <w:p w:rsidR="00935931" w:rsidP="00935931" w:rsidRDefault="00141E15" w14:paraId="593FF418" w14:textId="731F3499">
      <w:pPr>
        <w:pStyle w:val="Standard"/>
      </w:pPr>
      <w:r>
        <w:t xml:space="preserve">In </w:t>
      </w:r>
      <w:r w:rsidRPr="006A720A">
        <w:t>Resolution E-4971</w:t>
      </w:r>
      <w:r>
        <w:t xml:space="preserve">, the Commission explained the work credit reallocation policy </w:t>
      </w:r>
      <w:r w:rsidR="00935931">
        <w:t>that “</w:t>
      </w:r>
      <w:r w:rsidRPr="00935931" w:rsidR="00935931">
        <w:t>Rule 20A allows for reallocation of work credits from inactive communities to communities in need.</w:t>
      </w:r>
      <w:r w:rsidR="00935931">
        <w:t>”</w:t>
      </w:r>
      <w:r w:rsidR="00935931">
        <w:rPr>
          <w:rStyle w:val="FootnoteReference"/>
        </w:rPr>
        <w:footnoteReference w:id="38"/>
      </w:r>
      <w:r w:rsidR="00935931">
        <w:t xml:space="preserve"> </w:t>
      </w:r>
      <w:r w:rsidR="005A382A">
        <w:t xml:space="preserve"> </w:t>
      </w:r>
      <w:r w:rsidR="00935931">
        <w:t xml:space="preserve">The Commission further explained the implications of Rule 20A Section 2.c, </w:t>
      </w:r>
      <w:r>
        <w:t>as follows: “When amounts are not expended or carried over for the community to which they are initially allocated, they shall be assigned when additional participation on a project is warranted or be reallocated to communities with active undergrounding programs.”</w:t>
      </w:r>
      <w:r w:rsidR="00935931">
        <w:rPr>
          <w:rStyle w:val="FootnoteReference"/>
        </w:rPr>
        <w:footnoteReference w:id="39"/>
      </w:r>
      <w:r w:rsidR="00935931">
        <w:t xml:space="preserve"> T</w:t>
      </w:r>
      <w:r w:rsidR="007D272C">
        <w:t>he Commission further noted:</w:t>
      </w:r>
      <w:r w:rsidR="00935931">
        <w:t xml:space="preserve"> </w:t>
      </w:r>
    </w:p>
    <w:p w:rsidR="00141E15" w:rsidP="00572FE6" w:rsidRDefault="007D272C" w14:paraId="1C612106" w14:textId="0386548F">
      <w:pPr>
        <w:pStyle w:val="Standard"/>
        <w:spacing w:after="120" w:line="240" w:lineRule="auto"/>
        <w:ind w:left="720" w:right="1440" w:firstLine="0"/>
      </w:pPr>
      <w:r>
        <w:t xml:space="preserve">… </w:t>
      </w:r>
      <w:r w:rsidR="00141E15">
        <w:t xml:space="preserve">The reallocation provision in Rule 20A is only to be invoked for communities with projects already underway, within existing undergrounding districts, that experience unforeseen funding shortfalls, and have demonstrated that all alternatives for obtaining funding for the project have been exhausted. </w:t>
      </w:r>
      <w:r w:rsidR="002A1627">
        <w:t xml:space="preserve"> </w:t>
      </w:r>
      <w:r w:rsidR="00141E15">
        <w:t>This provision does not allow for unrestricted reallocation of work credits to active communities.</w:t>
      </w:r>
      <w:r>
        <w:rPr>
          <w:rStyle w:val="FootnoteReference"/>
        </w:rPr>
        <w:footnoteReference w:id="40"/>
      </w:r>
    </w:p>
    <w:p w:rsidR="006437E9" w:rsidP="0067621B" w:rsidRDefault="00E1084E" w14:paraId="11435E16" w14:textId="31C4DC43">
      <w:pPr>
        <w:pStyle w:val="Standard"/>
      </w:pPr>
      <w:proofErr w:type="gramStart"/>
      <w:r>
        <w:t>In order to</w:t>
      </w:r>
      <w:proofErr w:type="gramEnd"/>
      <w:r>
        <w:t xml:space="preserve"> facilitate reallocations of unused work credits, we will direct </w:t>
      </w:r>
      <w:r w:rsidR="0072223F">
        <w:t xml:space="preserve">each electric utility to take the following steps to provide </w:t>
      </w:r>
      <w:r>
        <w:t>an accounting of unused work credits available for reallocation</w:t>
      </w:r>
      <w:r w:rsidR="0091124B">
        <w:t xml:space="preserve"> and active projects in need of additional funding:</w:t>
      </w:r>
    </w:p>
    <w:p w:rsidR="007D272C" w:rsidP="002A1627" w:rsidRDefault="004809FA" w14:paraId="131B6D93" w14:textId="77777777">
      <w:pPr>
        <w:pStyle w:val="Standard"/>
        <w:numPr>
          <w:ilvl w:val="0"/>
          <w:numId w:val="33"/>
        </w:numPr>
        <w:spacing w:after="120" w:line="240" w:lineRule="auto"/>
        <w:ind w:left="1080" w:right="1440"/>
      </w:pPr>
      <w:r>
        <w:t xml:space="preserve">Notify each </w:t>
      </w:r>
      <w:r w:rsidR="00833F1F">
        <w:t>community</w:t>
      </w:r>
      <w:r>
        <w:t xml:space="preserve"> within</w:t>
      </w:r>
      <w:r w:rsidR="008A692B">
        <w:t xml:space="preserve"> </w:t>
      </w:r>
      <w:r w:rsidR="001E4D5B">
        <w:t xml:space="preserve">30 </w:t>
      </w:r>
      <w:r>
        <w:t xml:space="preserve">days of this decision </w:t>
      </w:r>
      <w:r w:rsidR="008A692B">
        <w:t>of the community’s status (active or inactive)</w:t>
      </w:r>
      <w:r w:rsidR="00145B86">
        <w:t xml:space="preserve">, the community’s current work credit balance, and if applicable, </w:t>
      </w:r>
      <w:r w:rsidR="00332E80">
        <w:t xml:space="preserve">how to change its status from inactive to </w:t>
      </w:r>
      <w:proofErr w:type="gramStart"/>
      <w:r w:rsidR="00332E80">
        <w:t>active</w:t>
      </w:r>
      <w:r w:rsidR="628F9AC1">
        <w:t>;</w:t>
      </w:r>
      <w:proofErr w:type="gramEnd"/>
    </w:p>
    <w:p w:rsidR="00F4423A" w:rsidP="002A1627" w:rsidRDefault="00B4509E" w14:paraId="425A3370" w14:textId="0222135B">
      <w:pPr>
        <w:pStyle w:val="Standard"/>
        <w:numPr>
          <w:ilvl w:val="0"/>
          <w:numId w:val="33"/>
        </w:numPr>
        <w:spacing w:after="120" w:line="240" w:lineRule="auto"/>
        <w:ind w:left="1080" w:right="1440"/>
      </w:pPr>
      <w:r>
        <w:lastRenderedPageBreak/>
        <w:t>Serve on th</w:t>
      </w:r>
      <w:r w:rsidR="00310FA4">
        <w:t xml:space="preserve">e </w:t>
      </w:r>
      <w:r>
        <w:t>service list</w:t>
      </w:r>
      <w:r w:rsidR="00310FA4">
        <w:t xml:space="preserve"> of this proceeding</w:t>
      </w:r>
      <w:r>
        <w:t xml:space="preserve"> by </w:t>
      </w:r>
      <w:r w:rsidR="00E30D33">
        <w:br/>
      </w:r>
      <w:r>
        <w:t>February 1, 2022</w:t>
      </w:r>
      <w:r w:rsidR="00C52643">
        <w:t>,</w:t>
      </w:r>
      <w:r>
        <w:t xml:space="preserve"> a list of </w:t>
      </w:r>
      <w:r w:rsidR="00F4423A">
        <w:t xml:space="preserve">currently </w:t>
      </w:r>
      <w:r>
        <w:t xml:space="preserve">inactive </w:t>
      </w:r>
      <w:r w:rsidR="00F4423A">
        <w:t xml:space="preserve">communities, as defined in </w:t>
      </w:r>
      <w:r w:rsidR="00E1084E">
        <w:t>Resolution E-4971, and the unused work credit</w:t>
      </w:r>
      <w:r w:rsidR="008B40A5">
        <w:t xml:space="preserve"> balance</w:t>
      </w:r>
      <w:r w:rsidR="00E1084E">
        <w:t xml:space="preserve">s of these </w:t>
      </w:r>
      <w:r w:rsidR="00533FEE">
        <w:t xml:space="preserve">currently </w:t>
      </w:r>
      <w:r w:rsidR="00E1084E">
        <w:t xml:space="preserve">inactive </w:t>
      </w:r>
      <w:proofErr w:type="gramStart"/>
      <w:r w:rsidR="00E1084E">
        <w:t>communities</w:t>
      </w:r>
      <w:r w:rsidR="00F4423A">
        <w:t>;</w:t>
      </w:r>
      <w:proofErr w:type="gramEnd"/>
    </w:p>
    <w:p w:rsidR="00E1084E" w:rsidP="002A1627" w:rsidRDefault="00F4423A" w14:paraId="7459E3AE" w14:textId="704D32AB">
      <w:pPr>
        <w:pStyle w:val="Standard"/>
        <w:numPr>
          <w:ilvl w:val="0"/>
          <w:numId w:val="33"/>
        </w:numPr>
        <w:spacing w:after="120" w:line="240" w:lineRule="auto"/>
        <w:ind w:left="1080" w:right="1440"/>
      </w:pPr>
      <w:r>
        <w:t>Serve on th</w:t>
      </w:r>
      <w:r w:rsidR="00310FA4">
        <w:t>e</w:t>
      </w:r>
      <w:r>
        <w:t xml:space="preserve"> service list</w:t>
      </w:r>
      <w:r w:rsidR="00310FA4">
        <w:t xml:space="preserve"> of this proceeding</w:t>
      </w:r>
      <w:r>
        <w:t xml:space="preserve"> by </w:t>
      </w:r>
      <w:r w:rsidR="00E30D33">
        <w:br/>
      </w:r>
      <w:r>
        <w:t>February 1, 2022</w:t>
      </w:r>
      <w:r w:rsidR="00C52643">
        <w:t>,</w:t>
      </w:r>
      <w:r w:rsidR="00533FEE">
        <w:t xml:space="preserve"> a </w:t>
      </w:r>
      <w:r w:rsidR="10705C7C">
        <w:t xml:space="preserve">list of </w:t>
      </w:r>
      <w:r w:rsidR="00D22837">
        <w:t xml:space="preserve">currently </w:t>
      </w:r>
      <w:r w:rsidR="10705C7C">
        <w:t>active communities</w:t>
      </w:r>
      <w:r w:rsidR="00EA11A1">
        <w:t>,</w:t>
      </w:r>
      <w:r w:rsidR="00F61E94">
        <w:t xml:space="preserve"> </w:t>
      </w:r>
      <w:r w:rsidR="00DD7CA5">
        <w:t>as defined in Resolution E-4971</w:t>
      </w:r>
      <w:r w:rsidR="008B40A5">
        <w:t>,</w:t>
      </w:r>
      <w:r w:rsidR="00DD3C32">
        <w:t xml:space="preserve"> with</w:t>
      </w:r>
      <w:r w:rsidR="00DD7CA5">
        <w:t xml:space="preserve"> </w:t>
      </w:r>
      <w:r w:rsidR="00F61E94">
        <w:t xml:space="preserve">current work credit balances, projected work credit balances </w:t>
      </w:r>
      <w:r w:rsidR="00DD7CA5">
        <w:t>(</w:t>
      </w:r>
      <w:r w:rsidR="00F61E94">
        <w:t>as of December 31, 2022</w:t>
      </w:r>
      <w:r w:rsidR="00DD7CA5">
        <w:t>),</w:t>
      </w:r>
      <w:r w:rsidR="10705C7C">
        <w:t xml:space="preserve"> </w:t>
      </w:r>
      <w:r w:rsidR="008B40A5">
        <w:t xml:space="preserve">all </w:t>
      </w:r>
      <w:r w:rsidR="10705C7C">
        <w:t>Rule 20A projects</w:t>
      </w:r>
      <w:r w:rsidR="00D22837">
        <w:t xml:space="preserve"> (proposed and under construction</w:t>
      </w:r>
      <w:r w:rsidR="60CE8F12">
        <w:t>)</w:t>
      </w:r>
      <w:r w:rsidR="524A8788">
        <w:t xml:space="preserve"> per community</w:t>
      </w:r>
      <w:r w:rsidR="0A3A0D5F">
        <w:t>,</w:t>
      </w:r>
      <w:r w:rsidR="10705C7C">
        <w:t xml:space="preserve"> current </w:t>
      </w:r>
      <w:r w:rsidR="000F2B27">
        <w:t xml:space="preserve">Rule 20A </w:t>
      </w:r>
      <w:r w:rsidR="00EA11A1">
        <w:t>project cost estimates</w:t>
      </w:r>
      <w:r w:rsidR="000F2B27">
        <w:t>,</w:t>
      </w:r>
      <w:r w:rsidR="6C761C23">
        <w:t xml:space="preserve"> and </w:t>
      </w:r>
      <w:r w:rsidR="00631CDF">
        <w:t>projected work credit shortfall (</w:t>
      </w:r>
      <w:r w:rsidR="6C761C23">
        <w:t xml:space="preserve">the difference between </w:t>
      </w:r>
      <w:r w:rsidR="00852A04">
        <w:t>projected work credit balances</w:t>
      </w:r>
      <w:r w:rsidR="6C761C23">
        <w:t xml:space="preserve"> and </w:t>
      </w:r>
      <w:r w:rsidR="00852A04">
        <w:t xml:space="preserve">total Rule 20A estimated </w:t>
      </w:r>
      <w:r w:rsidR="6C761C23">
        <w:t>project cost</w:t>
      </w:r>
      <w:r w:rsidR="00852A04">
        <w:t>s</w:t>
      </w:r>
      <w:r w:rsidR="00631CDF">
        <w:t>)</w:t>
      </w:r>
      <w:r w:rsidR="6C761C23">
        <w:t>.</w:t>
      </w:r>
    </w:p>
    <w:p w:rsidRPr="00DD158C" w:rsidR="00DD158C" w:rsidP="002A1627" w:rsidRDefault="00DD158C" w14:paraId="689A0A6D" w14:textId="7DEB3AC0">
      <w:pPr>
        <w:pStyle w:val="Standard"/>
      </w:pPr>
      <w:r>
        <w:t xml:space="preserve">In </w:t>
      </w:r>
      <w:r w:rsidRPr="002A1627">
        <w:t>comments</w:t>
      </w:r>
      <w:r>
        <w:t xml:space="preserve"> on the proposed decision, SDG&amp;E asserts that since it does not have a reserve of unused credits, </w:t>
      </w:r>
      <w:r w:rsidR="00572EA9">
        <w:t xml:space="preserve">active </w:t>
      </w:r>
      <w:r>
        <w:t>projects in progress that had expected to borrow up to 5 years of credits will be forced to stop.</w:t>
      </w:r>
      <w:r w:rsidR="7B879798">
        <w:t xml:space="preserve"> </w:t>
      </w:r>
      <w:r w:rsidR="00C52643">
        <w:t xml:space="preserve"> </w:t>
      </w:r>
      <w:r w:rsidR="01712C39">
        <w:t xml:space="preserve">We </w:t>
      </w:r>
      <w:r w:rsidR="00F1243D">
        <w:t>plan to</w:t>
      </w:r>
      <w:r w:rsidR="01712C39">
        <w:t xml:space="preserve"> address this issue for</w:t>
      </w:r>
      <w:r w:rsidR="0071279B">
        <w:t xml:space="preserve"> communities across</w:t>
      </w:r>
      <w:r w:rsidR="01712C39">
        <w:t xml:space="preserve"> all utilities</w:t>
      </w:r>
      <w:r w:rsidR="0071279B">
        <w:t xml:space="preserve"> at the beginning of</w:t>
      </w:r>
      <w:r w:rsidR="01712C39">
        <w:t xml:space="preserve"> Phase 2</w:t>
      </w:r>
      <w:r w:rsidR="0071279B">
        <w:t xml:space="preserve"> of this proceeding</w:t>
      </w:r>
      <w:r w:rsidR="000223CE">
        <w:t xml:space="preserve">. </w:t>
      </w:r>
      <w:r w:rsidR="00C52643">
        <w:t xml:space="preserve"> </w:t>
      </w:r>
      <w:r w:rsidR="000223CE">
        <w:t>We</w:t>
      </w:r>
      <w:r w:rsidR="01712C39">
        <w:t xml:space="preserve"> expect</w:t>
      </w:r>
      <w:r w:rsidR="000223CE">
        <w:t xml:space="preserve"> communities across all utilities</w:t>
      </w:r>
      <w:r w:rsidR="01712C39">
        <w:t xml:space="preserve"> to have similarly situated </w:t>
      </w:r>
      <w:r w:rsidR="6A5663DA">
        <w:t xml:space="preserve">active Rule 20A </w:t>
      </w:r>
      <w:r w:rsidR="01712C39">
        <w:t xml:space="preserve">projects that cannot reach completion </w:t>
      </w:r>
      <w:r w:rsidR="001A7376">
        <w:t xml:space="preserve">without either </w:t>
      </w:r>
      <w:r w:rsidR="01712C39">
        <w:t xml:space="preserve">reallocated work credits or additional </w:t>
      </w:r>
      <w:r w:rsidR="1420BD43">
        <w:t>program funding of some kind</w:t>
      </w:r>
      <w:r w:rsidR="01712C39">
        <w:t>.</w:t>
      </w:r>
      <w:r w:rsidR="254AE845">
        <w:t xml:space="preserve"> </w:t>
      </w:r>
      <w:r w:rsidR="00C52643">
        <w:t xml:space="preserve"> </w:t>
      </w:r>
      <w:r w:rsidR="254AE845">
        <w:t xml:space="preserve">We encourage the utilities to continue to work with Rule 20A active communities to advance undergrounding projects </w:t>
      </w:r>
      <w:r w:rsidR="3218150D">
        <w:t>to the extent feasible</w:t>
      </w:r>
      <w:r w:rsidR="0013514E">
        <w:t>,</w:t>
      </w:r>
      <w:r w:rsidR="3218150D">
        <w:t xml:space="preserve"> and we will prioritize addressing these active projects in Phase 2 of this rulemaking.</w:t>
      </w:r>
    </w:p>
    <w:p w:rsidR="00AC17CF" w:rsidP="006D0090" w:rsidRDefault="00D55A9C" w14:paraId="52FE35F7" w14:textId="77777777">
      <w:pPr>
        <w:pStyle w:val="Standard"/>
      </w:pPr>
      <w:r>
        <w:t>We also clarify that</w:t>
      </w:r>
      <w:r w:rsidRPr="003A027C">
        <w:t xml:space="preserve"> </w:t>
      </w:r>
      <w:r w:rsidRPr="7DCF3CD3">
        <w:t xml:space="preserve">the unregulated practice of work credit trading in secondary markets is banned effective immediately, including the practice of donating or bartering work credits.  </w:t>
      </w:r>
      <w:r w:rsidR="00D05BB3">
        <w:t xml:space="preserve">Electric utilities shall not facilitate </w:t>
      </w:r>
      <w:r w:rsidR="006F4111">
        <w:t xml:space="preserve">unauthorized trades of work credits between communities executed after the effective date of this decision.  </w:t>
      </w:r>
    </w:p>
    <w:p w:rsidRPr="003A027C" w:rsidR="00D55A9C" w:rsidP="006D0090" w:rsidRDefault="00D55A9C" w14:paraId="7429B027" w14:textId="0EBBBAE9">
      <w:pPr>
        <w:pStyle w:val="Standard"/>
      </w:pPr>
      <w:r>
        <w:t xml:space="preserve">We will provide exceptions for </w:t>
      </w:r>
      <w:r w:rsidRPr="1C3ACD32">
        <w:rPr>
          <w:rFonts w:eastAsia="Book Antiqua" w:cs="Book Antiqua"/>
          <w:color w:val="000000" w:themeColor="text1"/>
        </w:rPr>
        <w:t>intra-county donations of work credits from a county government to cities and towns within the county</w:t>
      </w:r>
      <w:r w:rsidRPr="1C3ACD32" w:rsidR="00D05BB3">
        <w:rPr>
          <w:rFonts w:eastAsia="Book Antiqua" w:cs="Book Antiqua"/>
          <w:color w:val="000000" w:themeColor="text1"/>
        </w:rPr>
        <w:t xml:space="preserve"> </w:t>
      </w:r>
      <w:r w:rsidR="00D05BB3">
        <w:rPr>
          <w:rFonts w:eastAsia="Book Antiqua" w:cs="Book Antiqua"/>
          <w:color w:val="000000" w:themeColor="text1"/>
        </w:rPr>
        <w:t xml:space="preserve">or from a city or </w:t>
      </w:r>
      <w:r w:rsidR="00D05BB3">
        <w:rPr>
          <w:rFonts w:eastAsia="Book Antiqua" w:cs="Book Antiqua"/>
          <w:color w:val="000000" w:themeColor="text1"/>
        </w:rPr>
        <w:lastRenderedPageBreak/>
        <w:t>town to its county government,</w:t>
      </w:r>
      <w:r w:rsidRPr="1C3ACD32">
        <w:rPr>
          <w:rFonts w:eastAsia="Book Antiqua" w:cs="Book Antiqua"/>
          <w:color w:val="000000" w:themeColor="text1"/>
        </w:rPr>
        <w:t xml:space="preserve"> and to allow credit pooling amongst two or more adjoining municipalities for a project with community benefit for the adjoining municipalities.</w:t>
      </w:r>
      <w:r>
        <w:t xml:space="preserve">  In April 2020 comments, the following parties supported this approach: City of Berkeley, SCE, Clean Power Alliance of Southern California, Cal Advocates, Counties of Marin, Napa and Sonoma, County of San Diego, and City of Napa.</w:t>
      </w:r>
      <w:r w:rsidR="11C908EC">
        <w:t xml:space="preserve"> T</w:t>
      </w:r>
      <w:r w:rsidR="160D94FE">
        <w:t>he utilities will maintain documentation pertain</w:t>
      </w:r>
      <w:r w:rsidR="004832D1">
        <w:t>ing</w:t>
      </w:r>
      <w:r w:rsidR="160D94FE">
        <w:t xml:space="preserve"> to, and report on to the C</w:t>
      </w:r>
      <w:r w:rsidR="00C52643">
        <w:t>ommiss</w:t>
      </w:r>
      <w:r w:rsidR="004832D1">
        <w:t>i</w:t>
      </w:r>
      <w:r w:rsidR="00C52643">
        <w:t>on</w:t>
      </w:r>
      <w:r w:rsidR="160D94FE">
        <w:t xml:space="preserve">, any </w:t>
      </w:r>
      <w:r w:rsidR="11C908EC">
        <w:t>intra-county donations of work credits</w:t>
      </w:r>
      <w:r w:rsidR="69BC12A6">
        <w:t xml:space="preserve">. </w:t>
      </w:r>
      <w:r w:rsidR="00C52643">
        <w:t xml:space="preserve"> </w:t>
      </w:r>
      <w:r w:rsidR="69BC12A6">
        <w:t xml:space="preserve">This information will be included in utility annual reports </w:t>
      </w:r>
      <w:r w:rsidR="11C908EC">
        <w:t>to the C</w:t>
      </w:r>
      <w:r w:rsidR="00C52643">
        <w:t>ommission</w:t>
      </w:r>
      <w:r w:rsidR="11C908EC">
        <w:t xml:space="preserve">. </w:t>
      </w:r>
    </w:p>
    <w:p w:rsidRPr="00502A53" w:rsidR="00D55A9C" w:rsidP="006D0090" w:rsidRDefault="00D55A9C" w14:paraId="7E57AE24" w14:textId="724D09BA">
      <w:pPr>
        <w:pStyle w:val="Standard"/>
      </w:pPr>
      <w:r w:rsidRPr="00502A53">
        <w:t>Many parties opposed the staff recommendation to ban work credit trading</w:t>
      </w:r>
      <w:r>
        <w:t xml:space="preserve"> between communities</w:t>
      </w:r>
      <w:r w:rsidRPr="00502A53">
        <w:t>.</w:t>
      </w:r>
      <w:r w:rsidRPr="00502A53">
        <w:rPr>
          <w:rStyle w:val="FootnoteReference"/>
        </w:rPr>
        <w:footnoteReference w:id="41"/>
      </w:r>
      <w:r w:rsidR="006D0090">
        <w:t xml:space="preserve"> </w:t>
      </w:r>
      <w:r w:rsidRPr="00502A53">
        <w:t xml:space="preserve"> Several of these parties argued that work credit trading is necessary to ensure that communities who do not have the resources to advance Rule 20A projects still benefit from the program.</w:t>
      </w:r>
    </w:p>
    <w:p w:rsidR="00D55A9C" w:rsidP="006D0090" w:rsidRDefault="00D55A9C" w14:paraId="04C0A387" w14:textId="2D68B062">
      <w:pPr>
        <w:pStyle w:val="Standard"/>
      </w:pPr>
      <w:r w:rsidRPr="00502A53">
        <w:t xml:space="preserve">We do not find this argument compelling. </w:t>
      </w:r>
      <w:r w:rsidRPr="7DCF3CD3">
        <w:t>The existing practice of work credit trading has been conducted outside</w:t>
      </w:r>
      <w:r w:rsidR="007C165F">
        <w:t xml:space="preserve"> the</w:t>
      </w:r>
      <w:r w:rsidRPr="7DCF3CD3">
        <w:t xml:space="preserve"> oversight of th</w:t>
      </w:r>
      <w:r>
        <w:t>e Commission</w:t>
      </w:r>
      <w:r w:rsidRPr="7DCF3CD3">
        <w:t xml:space="preserve">. </w:t>
      </w:r>
      <w:r w:rsidR="006D0090">
        <w:t xml:space="preserve"> </w:t>
      </w:r>
      <w:r w:rsidRPr="00502A53">
        <w:t>The investor-owned utilities should not have the discretion to facilitate</w:t>
      </w:r>
      <w:r>
        <w:t xml:space="preserve"> and recognize</w:t>
      </w:r>
      <w:r w:rsidRPr="00502A53">
        <w:t xml:space="preserve"> </w:t>
      </w:r>
      <w:r>
        <w:t xml:space="preserve">these </w:t>
      </w:r>
      <w:r w:rsidRPr="00502A53">
        <w:t xml:space="preserve">unauthorized transfers of work credits. </w:t>
      </w:r>
      <w:r w:rsidR="006D0090">
        <w:t xml:space="preserve"> </w:t>
      </w:r>
      <w:r>
        <w:t>A</w:t>
      </w:r>
      <w:r w:rsidRPr="00502A53">
        <w:t>s the PG&amp;E Audit Report points out, unregulated work credit trading exacerbates the inequitable distribution of ratepayer-funded services through the Rule 20A program.</w:t>
      </w:r>
      <w:r w:rsidRPr="00502A53">
        <w:rPr>
          <w:rStyle w:val="FootnoteReference"/>
        </w:rPr>
        <w:footnoteReference w:id="42"/>
      </w:r>
      <w:r w:rsidRPr="00502A53">
        <w:t xml:space="preserve"> </w:t>
      </w:r>
      <w:r w:rsidR="006D0090">
        <w:t xml:space="preserve"> </w:t>
      </w:r>
      <w:r>
        <w:t>Further, there is no statutory or other legal basis for communities to engage in unauthorized work credit transactions.</w:t>
      </w:r>
    </w:p>
    <w:p w:rsidR="00D55A9C" w:rsidP="001738C0" w:rsidRDefault="00D55A9C" w14:paraId="6D4E1CAD" w14:textId="77777777">
      <w:pPr>
        <w:pStyle w:val="Heading1"/>
        <w:ind w:hanging="720"/>
      </w:pPr>
      <w:bookmarkStart w:name="_Toc73945841" w:id="14"/>
      <w:r w:rsidRPr="00677A86">
        <w:lastRenderedPageBreak/>
        <w:t xml:space="preserve">Whether to </w:t>
      </w:r>
      <w:r>
        <w:t>M</w:t>
      </w:r>
      <w:r w:rsidRPr="00677A86">
        <w:t>odif</w:t>
      </w:r>
      <w:r>
        <w:t>y</w:t>
      </w:r>
      <w:r w:rsidRPr="00677A86">
        <w:t xml:space="preserve"> </w:t>
      </w:r>
      <w:r>
        <w:t>P</w:t>
      </w:r>
      <w:r w:rsidRPr="00677A86">
        <w:t xml:space="preserve">rogram </w:t>
      </w:r>
      <w:r>
        <w:t>M</w:t>
      </w:r>
      <w:r w:rsidRPr="00677A86">
        <w:t xml:space="preserve">anagement </w:t>
      </w:r>
      <w:r w:rsidRPr="006D0090">
        <w:t>Requirements</w:t>
      </w:r>
      <w:r>
        <w:t xml:space="preserve"> </w:t>
      </w:r>
      <w:r w:rsidRPr="00677A86">
        <w:t xml:space="preserve">or </w:t>
      </w:r>
      <w:r>
        <w:t>Enhance O</w:t>
      </w:r>
      <w:r w:rsidRPr="00677A86">
        <w:t xml:space="preserve">versight of the Rule 20A </w:t>
      </w:r>
      <w:r>
        <w:t>P</w:t>
      </w:r>
      <w:r w:rsidRPr="00677A86">
        <w:t>rogram.</w:t>
      </w:r>
      <w:bookmarkEnd w:id="14"/>
    </w:p>
    <w:p w:rsidRPr="00081CF9" w:rsidR="00D55A9C" w:rsidP="00081CF9" w:rsidRDefault="00D55A9C" w14:paraId="68AF003F" w14:textId="3373C18C">
      <w:pPr>
        <w:pStyle w:val="Heading2"/>
        <w:numPr>
          <w:ilvl w:val="1"/>
          <w:numId w:val="40"/>
        </w:numPr>
      </w:pPr>
      <w:bookmarkStart w:name="_Toc73945842" w:id="15"/>
      <w:r w:rsidRPr="00081CF9">
        <w:t>PG&amp;E Audit Report</w:t>
      </w:r>
      <w:bookmarkEnd w:id="15"/>
    </w:p>
    <w:p w:rsidRPr="00502A53" w:rsidR="00D55A9C" w:rsidP="006D0090" w:rsidRDefault="00D55A9C" w14:paraId="1CA96434" w14:textId="77777777">
      <w:pPr>
        <w:pStyle w:val="Standard"/>
      </w:pPr>
      <w:r w:rsidRPr="00502A53">
        <w:t xml:space="preserve">For the period of January 1, </w:t>
      </w:r>
      <w:proofErr w:type="gramStart"/>
      <w:r w:rsidRPr="00502A53">
        <w:t>2007</w:t>
      </w:r>
      <w:proofErr w:type="gramEnd"/>
      <w:r w:rsidRPr="00502A53">
        <w:t xml:space="preserve"> through December 31, 2016, the PG&amp;E Audit Report found that PG&amp;E underspent $123 million (22%) of Rule 20A authorized budgets. </w:t>
      </w:r>
    </w:p>
    <w:p w:rsidRPr="00502A53" w:rsidR="00D55A9C" w:rsidP="006D0090" w:rsidRDefault="00D55A9C" w14:paraId="2975E746" w14:textId="77777777">
      <w:pPr>
        <w:pStyle w:val="Standard"/>
      </w:pPr>
      <w:r w:rsidRPr="00502A53">
        <w:t>The PG&amp;E Audit Report uncovered additional major issues with PG&amp;E’s administration of the Rule 20A program, including:</w:t>
      </w:r>
    </w:p>
    <w:p w:rsidRPr="00502A53" w:rsidR="00D55A9C" w:rsidP="00BF7F96" w:rsidRDefault="00D55A9C" w14:paraId="2B362DBD"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 xml:space="preserve">PG&amp;E reprioritized Rule 20A funds and resources away from the program </w:t>
      </w:r>
      <w:r>
        <w:rPr>
          <w:rFonts w:ascii="Book Antiqua" w:hAnsi="Book Antiqua"/>
          <w:szCs w:val="26"/>
        </w:rPr>
        <w:t>without retaining</w:t>
      </w:r>
      <w:r w:rsidRPr="00502A53">
        <w:rPr>
          <w:rFonts w:ascii="Book Antiqua" w:hAnsi="Book Antiqua"/>
          <w:szCs w:val="26"/>
        </w:rPr>
        <w:t xml:space="preserve"> documentation of where these funds were spent.</w:t>
      </w:r>
    </w:p>
    <w:p w:rsidRPr="00502A53" w:rsidR="00D55A9C" w:rsidP="00BF7F96" w:rsidRDefault="00D55A9C" w14:paraId="5885862C"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The final costs of Rule 20A projects completed during the audit period exceeded initial estimates by 35</w:t>
      </w:r>
      <w:r>
        <w:rPr>
          <w:rFonts w:ascii="Book Antiqua" w:hAnsi="Book Antiqua"/>
          <w:szCs w:val="26"/>
        </w:rPr>
        <w:t xml:space="preserve"> percent</w:t>
      </w:r>
      <w:r w:rsidRPr="00502A53">
        <w:rPr>
          <w:rFonts w:ascii="Book Antiqua" w:hAnsi="Book Antiqua"/>
          <w:szCs w:val="26"/>
        </w:rPr>
        <w:t>.</w:t>
      </w:r>
    </w:p>
    <w:p w:rsidRPr="00502A53" w:rsidR="00D55A9C" w:rsidP="00BF7F96" w:rsidRDefault="00D55A9C" w14:paraId="15793003"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PG&amp;E’s underspending on the program resulted in project delays which increased project costs.</w:t>
      </w:r>
    </w:p>
    <w:p w:rsidRPr="00502A53" w:rsidR="00D55A9C" w:rsidP="00BF7F96" w:rsidRDefault="00D55A9C" w14:paraId="65339763"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PG&amp;E systematically underspent on the program compared with its forecasts over nearly the entire audit period.</w:t>
      </w:r>
    </w:p>
    <w:p w:rsidRPr="00502A53" w:rsidR="00D55A9C" w:rsidP="00BF7F96" w:rsidRDefault="00D55A9C" w14:paraId="0743A8EE"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Based on a benchmarking study, PG&amp;E’s undergrounding costs per mile were higher than the industry maximum for suburban and rural areas.</w:t>
      </w:r>
    </w:p>
    <w:p w:rsidRPr="00502A53" w:rsidR="00D55A9C" w:rsidP="00BF7F96" w:rsidRDefault="00D55A9C" w14:paraId="49B45E85"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Since the start of PG&amp;E’s implementation of purported improvements to the program, the average number of Rule 20A projects PG&amp;E completed has declined and underspending has increased.</w:t>
      </w:r>
    </w:p>
    <w:p w:rsidRPr="00502A53" w:rsidR="00D55A9C" w:rsidP="00BF7F96" w:rsidRDefault="00D55A9C" w14:paraId="279AE6AA" w14:textId="77777777">
      <w:pPr>
        <w:pStyle w:val="standard0"/>
        <w:numPr>
          <w:ilvl w:val="0"/>
          <w:numId w:val="25"/>
        </w:numPr>
        <w:spacing w:after="120" w:line="240" w:lineRule="auto"/>
        <w:ind w:right="1440"/>
        <w:rPr>
          <w:rFonts w:ascii="Book Antiqua" w:hAnsi="Book Antiqua"/>
          <w:szCs w:val="26"/>
        </w:rPr>
      </w:pPr>
      <w:r w:rsidRPr="00502A53">
        <w:rPr>
          <w:rFonts w:ascii="Book Antiqua" w:hAnsi="Book Antiqua"/>
          <w:szCs w:val="26"/>
        </w:rPr>
        <w:t>PG&amp;E lacks appropriate documentation and records maintenance protocols to enable the Commission to ensure that Rule 20A authorized funds will be used appropriately going forward.</w:t>
      </w:r>
    </w:p>
    <w:p w:rsidRPr="00502A53" w:rsidR="00D55A9C" w:rsidP="00BF7F96" w:rsidRDefault="00D55A9C" w14:paraId="7C8FD322" w14:textId="3F4DF252">
      <w:pPr>
        <w:pStyle w:val="Standard"/>
      </w:pPr>
      <w:r w:rsidRPr="00502A53">
        <w:lastRenderedPageBreak/>
        <w:t xml:space="preserve">The PG&amp;E Audit Report </w:t>
      </w:r>
      <w:r>
        <w:t>makes</w:t>
      </w:r>
      <w:r w:rsidRPr="00502A53">
        <w:t xml:space="preserve"> 50 recommendations for improving PG&amp;E’s management of the program and enhancing the Commission’s oversight of the program. </w:t>
      </w:r>
      <w:r w:rsidR="00BF7F96">
        <w:t xml:space="preserve"> </w:t>
      </w:r>
      <w:r w:rsidRPr="00502A53">
        <w:t>Most of the recommendations fall within the following transparency and accountability categories.</w:t>
      </w:r>
    </w:p>
    <w:p w:rsidRPr="00502A53" w:rsidR="00D55A9C" w:rsidP="00BF7F96" w:rsidRDefault="00D55A9C" w14:paraId="34A3B537" w14:textId="77777777">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PG&amp;E should</w:t>
      </w:r>
      <w:r>
        <w:rPr>
          <w:rFonts w:ascii="Book Antiqua" w:hAnsi="Book Antiqua"/>
          <w:szCs w:val="26"/>
        </w:rPr>
        <w:t xml:space="preserve"> maintain detailed</w:t>
      </w:r>
      <w:r w:rsidRPr="00502A53">
        <w:rPr>
          <w:rFonts w:ascii="Book Antiqua" w:hAnsi="Book Antiqua"/>
          <w:szCs w:val="26"/>
        </w:rPr>
        <w:t xml:space="preserve"> accounting documentation.</w:t>
      </w:r>
    </w:p>
    <w:p w:rsidRPr="00502A53" w:rsidR="00D55A9C" w:rsidP="00BF7F96" w:rsidRDefault="00D55A9C" w14:paraId="076BCE2F" w14:textId="77777777">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PG&amp;E should provide more information</w:t>
      </w:r>
      <w:r>
        <w:rPr>
          <w:rFonts w:ascii="Book Antiqua" w:hAnsi="Book Antiqua"/>
          <w:szCs w:val="26"/>
        </w:rPr>
        <w:t xml:space="preserve"> to the Commission and participants</w:t>
      </w:r>
      <w:r w:rsidRPr="00502A53">
        <w:rPr>
          <w:rFonts w:ascii="Book Antiqua" w:hAnsi="Book Antiqua"/>
          <w:szCs w:val="26"/>
        </w:rPr>
        <w:t xml:space="preserve"> through annual reports and </w:t>
      </w:r>
      <w:r>
        <w:rPr>
          <w:rFonts w:ascii="Book Antiqua" w:hAnsi="Book Antiqua"/>
          <w:szCs w:val="26"/>
        </w:rPr>
        <w:t>communications.</w:t>
      </w:r>
    </w:p>
    <w:p w:rsidRPr="00502A53" w:rsidR="00D55A9C" w:rsidP="00BF7F96" w:rsidRDefault="00D55A9C" w14:paraId="4DD19453" w14:textId="77777777">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PG&amp;E should document Rule 20A program procedures and guidelines in publicly available and accessible formats, including a program handbook.</w:t>
      </w:r>
    </w:p>
    <w:p w:rsidRPr="00502A53" w:rsidR="00D55A9C" w:rsidP="00BF7F96" w:rsidRDefault="00D55A9C" w14:paraId="7C341747" w14:textId="77777777">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PG&amp;E should implement documentation and workpaper retention policies to enable the Commission to ensure that Rule 20A authorized funds will be used appropriately going forward.</w:t>
      </w:r>
    </w:p>
    <w:p w:rsidRPr="00502A53" w:rsidR="00D55A9C" w:rsidP="00BF7F96" w:rsidRDefault="00D55A9C" w14:paraId="756E0AE8" w14:textId="77777777">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PG&amp;E should improve or outsource project cost estimates and increase transparency and accountability for cost overruns.</w:t>
      </w:r>
    </w:p>
    <w:p w:rsidRPr="00502A53" w:rsidR="00D55A9C" w:rsidP="00BF7F96" w:rsidRDefault="00D55A9C" w14:paraId="19A559E6" w14:textId="77777777">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The Commission should require balancing accounts for programs that are routinely over- or under-funded.</w:t>
      </w:r>
    </w:p>
    <w:p w:rsidR="00D55A9C" w:rsidP="00BF7F96" w:rsidRDefault="00D55A9C" w14:paraId="77768A84" w14:textId="1970DBFF">
      <w:pPr>
        <w:pStyle w:val="standard0"/>
        <w:numPr>
          <w:ilvl w:val="0"/>
          <w:numId w:val="26"/>
        </w:numPr>
        <w:spacing w:after="120" w:line="240" w:lineRule="auto"/>
        <w:ind w:right="1440"/>
        <w:rPr>
          <w:rFonts w:ascii="Book Antiqua" w:hAnsi="Book Antiqua"/>
          <w:szCs w:val="26"/>
        </w:rPr>
      </w:pPr>
      <w:r w:rsidRPr="00502A53">
        <w:rPr>
          <w:rFonts w:ascii="Book Antiqua" w:hAnsi="Book Antiqua"/>
          <w:szCs w:val="26"/>
        </w:rPr>
        <w:t xml:space="preserve">The Commission should disallow recovery of forecast Rule 20A program expenditures to the extent that </w:t>
      </w:r>
      <w:r w:rsidR="005445A1">
        <w:rPr>
          <w:rFonts w:ascii="Book Antiqua" w:hAnsi="Book Antiqua"/>
          <w:szCs w:val="26"/>
        </w:rPr>
        <w:br/>
      </w:r>
      <w:r w:rsidRPr="00502A53">
        <w:rPr>
          <w:rFonts w:ascii="Book Antiqua" w:hAnsi="Book Antiqua"/>
          <w:szCs w:val="26"/>
        </w:rPr>
        <w:t>(a) PG&amp;E has previously recovered those costs in rates and deferred expenditures, or (b) costs of projects exceed cost estimates due to PG&amp;E’s mismanagement.</w:t>
      </w:r>
    </w:p>
    <w:p w:rsidRPr="0039651A" w:rsidR="00D55A9C" w:rsidP="009B2FAA" w:rsidRDefault="00D55A9C" w14:paraId="19ACF27A" w14:textId="3C5DF3B2">
      <w:pPr>
        <w:pStyle w:val="Heading2"/>
        <w:numPr>
          <w:ilvl w:val="1"/>
          <w:numId w:val="40"/>
        </w:numPr>
      </w:pPr>
      <w:bookmarkStart w:name="_Toc73945843" w:id="16"/>
      <w:r>
        <w:t xml:space="preserve">Rule 20 </w:t>
      </w:r>
      <w:r w:rsidRPr="00BF7F96">
        <w:t>Program</w:t>
      </w:r>
      <w:r>
        <w:t xml:space="preserve"> Improvements</w:t>
      </w:r>
      <w:bookmarkEnd w:id="16"/>
    </w:p>
    <w:p w:rsidR="00D55A9C" w:rsidP="00BF7F96" w:rsidRDefault="00D55A9C" w14:paraId="1ADEE400" w14:textId="77777777">
      <w:pPr>
        <w:pStyle w:val="Standard"/>
      </w:pPr>
      <w:proofErr w:type="gramStart"/>
      <w:r>
        <w:t>In light of</w:t>
      </w:r>
      <w:proofErr w:type="gramEnd"/>
      <w:r>
        <w:t xml:space="preserve"> the PG&amp;E Audit Report’s findings and recommendations, we consider opportunities to improve the Rule 20 program.</w:t>
      </w:r>
    </w:p>
    <w:p w:rsidRPr="00502A53" w:rsidR="00D55A9C" w:rsidP="00BF7F96" w:rsidRDefault="00D55A9C" w14:paraId="73DD97E2" w14:textId="6DDD2875">
      <w:pPr>
        <w:pStyle w:val="Standard"/>
      </w:pPr>
      <w:r w:rsidRPr="00502A53">
        <w:t xml:space="preserve">TURN filed April 2020 comments to support the PG&amp;E Audit Report recommendations regarding disallowing PG&amp;E recovery of certain forecast Rule </w:t>
      </w:r>
      <w:r w:rsidRPr="00502A53">
        <w:lastRenderedPageBreak/>
        <w:t xml:space="preserve">20A program expenditures and urge the Commission to issue a credit to ratepayers for the $123 million of </w:t>
      </w:r>
      <w:proofErr w:type="spellStart"/>
      <w:r w:rsidRPr="00502A53">
        <w:t>overcollected</w:t>
      </w:r>
      <w:proofErr w:type="spellEnd"/>
      <w:r w:rsidRPr="00502A53">
        <w:t xml:space="preserve"> Rule 20A funds. </w:t>
      </w:r>
    </w:p>
    <w:p w:rsidRPr="00502A53" w:rsidR="00D55A9C" w:rsidP="00BF7F96" w:rsidRDefault="00D55A9C" w14:paraId="1718A8AC" w14:textId="5BDD9A7B">
      <w:pPr>
        <w:pStyle w:val="Standard"/>
      </w:pPr>
      <w:r w:rsidRPr="6830C53D">
        <w:t>On its first point,</w:t>
      </w:r>
      <w:r w:rsidR="002C54B8">
        <w:t xml:space="preserve"> </w:t>
      </w:r>
      <w:r w:rsidRPr="6830C53D">
        <w:t>TURN recognized that the record does not contain sufficient information to determine the amount of the disallowance.</w:t>
      </w:r>
      <w:r w:rsidR="00BF7F96">
        <w:t xml:space="preserve"> </w:t>
      </w:r>
      <w:r w:rsidRPr="6830C53D">
        <w:t xml:space="preserve"> TURN urged the Commission to order an analysis or follow-up audit to be conducted </w:t>
      </w:r>
      <w:proofErr w:type="gramStart"/>
      <w:r w:rsidRPr="6830C53D">
        <w:t>in order to</w:t>
      </w:r>
      <w:proofErr w:type="gramEnd"/>
      <w:r w:rsidRPr="6830C53D">
        <w:t xml:space="preserve"> determine the disallowance amount. </w:t>
      </w:r>
      <w:r w:rsidR="002C54B8">
        <w:t xml:space="preserve"> </w:t>
      </w:r>
      <w:r w:rsidRPr="6830C53D">
        <w:t>However, there are insufficient records of past expenditures</w:t>
      </w:r>
      <w:r>
        <w:t xml:space="preserve"> to determine a disallowance amount; </w:t>
      </w:r>
      <w:r w:rsidRPr="6830C53D">
        <w:t xml:space="preserve">the PG&amp;E Audit Report </w:t>
      </w:r>
      <w:r>
        <w:t>underscores</w:t>
      </w:r>
      <w:r w:rsidRPr="6830C53D">
        <w:t xml:space="preserve"> that PG&amp;E failed to retain adequate documentation for the Rule 20A program.  </w:t>
      </w:r>
      <w:r>
        <w:t>We</w:t>
      </w:r>
      <w:r w:rsidRPr="6830C53D">
        <w:t xml:space="preserve"> decline to order another audit </w:t>
      </w:r>
      <w:proofErr w:type="gramStart"/>
      <w:r w:rsidRPr="6830C53D">
        <w:t>at this time</w:t>
      </w:r>
      <w:proofErr w:type="gramEnd"/>
      <w:r>
        <w:t>.</w:t>
      </w:r>
      <w:r w:rsidRPr="6830C53D">
        <w:t xml:space="preserve">  Instead, we will direct PG&amp;E to enhance its records keeping, enabling </w:t>
      </w:r>
      <w:r>
        <w:t>thorough</w:t>
      </w:r>
      <w:r w:rsidRPr="6830C53D">
        <w:t xml:space="preserve"> audits of future periods and potential disallowances.</w:t>
      </w:r>
    </w:p>
    <w:p w:rsidRPr="00502A53" w:rsidR="00D55A9C" w:rsidP="00BF7F96" w:rsidRDefault="00D55A9C" w14:paraId="280B93CB" w14:textId="0F1E4B84">
      <w:pPr>
        <w:pStyle w:val="Standard"/>
      </w:pPr>
      <w:r w:rsidRPr="00502A53">
        <w:t>On TURN’s second point, the PG&amp;E Audit Report indicates a general lack of documentation of how the $123 million in underspent Rule 20A funds were reprioritized.</w:t>
      </w:r>
      <w:r w:rsidR="00BF7F96">
        <w:t xml:space="preserve"> </w:t>
      </w:r>
      <w:r w:rsidRPr="00502A53">
        <w:t xml:space="preserve"> PG&amp;E argues that while it underspent on Rule 20A, it overspent in other major work categories during the audit period.</w:t>
      </w:r>
      <w:r w:rsidRPr="00502A53">
        <w:rPr>
          <w:rStyle w:val="FootnoteReference"/>
        </w:rPr>
        <w:footnoteReference w:id="43"/>
      </w:r>
    </w:p>
    <w:p w:rsidRPr="00502A53" w:rsidR="00D55A9C" w:rsidP="00BF7F96" w:rsidRDefault="00D55A9C" w14:paraId="5F31AD42" w14:textId="7CE316A2">
      <w:pPr>
        <w:pStyle w:val="Standard"/>
      </w:pPr>
      <w:r w:rsidRPr="00502A53">
        <w:t>We agree with TURN’s comments that the PG&amp;E Audit Report shows that the PG&amp;E Rule 20A program has not been prudently managed, that the underspending has resulted in higher project costs, and t</w:t>
      </w:r>
      <w:r>
        <w:t>hat</w:t>
      </w:r>
      <w:r w:rsidRPr="00502A53">
        <w:t xml:space="preserve"> poor documentation and document retention practices raise “fraud risk factors</w:t>
      </w:r>
      <w:r>
        <w:t>.</w:t>
      </w:r>
      <w:r w:rsidRPr="00502A53">
        <w:t xml:space="preserve">” </w:t>
      </w:r>
      <w:r w:rsidR="00BF7F96">
        <w:t xml:space="preserve"> </w:t>
      </w:r>
      <w:r w:rsidRPr="00502A53">
        <w:t xml:space="preserve">Accordingly, we will adopt </w:t>
      </w:r>
      <w:r>
        <w:t>several</w:t>
      </w:r>
      <w:r w:rsidRPr="00502A53">
        <w:t xml:space="preserve"> of the PG&amp;E Audit Report’s recommendations to strengthen PG&amp;E’s management and the Commission’s oversight of </w:t>
      </w:r>
      <w:r>
        <w:t>PG&amp;E’s</w:t>
      </w:r>
      <w:r w:rsidRPr="00502A53">
        <w:t xml:space="preserve"> Rule 20A program.</w:t>
      </w:r>
      <w:r w:rsidR="00BF7F96">
        <w:t xml:space="preserve"> </w:t>
      </w:r>
      <w:r w:rsidRPr="00502A53">
        <w:t xml:space="preserve"> Coupled with our previous direction to PG&amp;E to create a one-way balancing account in D.17-05-013, we will have the tools to prevent chronic underspending and </w:t>
      </w:r>
      <w:r>
        <w:t xml:space="preserve">prohibit </w:t>
      </w:r>
      <w:r w:rsidRPr="00502A53">
        <w:t xml:space="preserve">reprioritization of Rule 20A funds going forward. </w:t>
      </w:r>
    </w:p>
    <w:p w:rsidRPr="00502A53" w:rsidR="00D55A9C" w:rsidP="00BF7F96" w:rsidRDefault="00D55A9C" w14:paraId="0FD0A701" w14:textId="2EE84295">
      <w:pPr>
        <w:pStyle w:val="Standard"/>
      </w:pPr>
      <w:r w:rsidRPr="6830C53D">
        <w:lastRenderedPageBreak/>
        <w:t xml:space="preserve">Prior to D.17-05-013, the Commission had not issued direction to prohibit reprioritization of Rule 20A funds for other electric distribution infrastructure purposes. </w:t>
      </w:r>
      <w:r w:rsidR="00BF7F96">
        <w:t xml:space="preserve"> </w:t>
      </w:r>
      <w:r w:rsidRPr="6830C53D">
        <w:t>Accordingly, this decision will focus on enhancing oversight and requirements for Rule 20A programs going forward.</w:t>
      </w:r>
    </w:p>
    <w:p w:rsidRPr="00502A53" w:rsidR="00D55A9C" w:rsidP="00BF7F96" w:rsidRDefault="00D55A9C" w14:paraId="52A385AA" w14:textId="1F4F202D">
      <w:pPr>
        <w:pStyle w:val="Standard"/>
      </w:pPr>
      <w:r w:rsidRPr="00502A53">
        <w:t>PG&amp;E argued that many of the audit recommendations are unnecessary for various reasons, including the lack of a future audit requirement, previous implementation of some of the recommendations, and existing General Rate Case and balancing account processes.</w:t>
      </w:r>
      <w:r w:rsidRPr="00502A53">
        <w:rPr>
          <w:rStyle w:val="FootnoteReference"/>
        </w:rPr>
        <w:footnoteReference w:id="44"/>
      </w:r>
      <w:r w:rsidRPr="00502A53">
        <w:t xml:space="preserve"> </w:t>
      </w:r>
      <w:r w:rsidR="00BF7F96">
        <w:t xml:space="preserve"> </w:t>
      </w:r>
      <w:r w:rsidRPr="00502A53">
        <w:t>The first argument is disturbing. Electric utilities must create and retain appropriate documentation to support an audit without prior notice</w:t>
      </w:r>
      <w:r>
        <w:t xml:space="preserve"> and without a pending audit requirement</w:t>
      </w:r>
      <w:r w:rsidRPr="00502A53">
        <w:t xml:space="preserve">.  As for the second </w:t>
      </w:r>
      <w:r>
        <w:t xml:space="preserve">and third </w:t>
      </w:r>
      <w:r w:rsidRPr="00502A53">
        <w:t>argument</w:t>
      </w:r>
      <w:r>
        <w:t>s</w:t>
      </w:r>
      <w:r w:rsidRPr="00502A53">
        <w:t>, we have reviewed the audit recommendations with existing Commission processes and past direction to PG&amp;E in mind.</w:t>
      </w:r>
    </w:p>
    <w:p w:rsidRPr="00502A53" w:rsidR="00D55A9C" w:rsidP="00BF7F96" w:rsidRDefault="00D55A9C" w14:paraId="664B9C5A" w14:textId="38EA01F7">
      <w:pPr>
        <w:pStyle w:val="Standard"/>
      </w:pPr>
      <w:r w:rsidRPr="00502A53">
        <w:t xml:space="preserve">SCE filed April 2020 comments to oppose the PG&amp;E Audit Report recommendations to require PG&amp;E to provide detailed invoices of Rule 20A projects to the Commission, arguing that such information may be confidential and would be burdensome to provide. </w:t>
      </w:r>
      <w:r w:rsidR="00BF7F96">
        <w:t xml:space="preserve"> </w:t>
      </w:r>
      <w:r w:rsidRPr="00502A53">
        <w:t>Since utilities routinely provide confidential information to the Commission under seal</w:t>
      </w:r>
      <w:r>
        <w:t xml:space="preserve"> and to parties subject to nondisclosure agreements</w:t>
      </w:r>
      <w:r w:rsidRPr="00502A53">
        <w:t>, we do not find the confidentiality argument persuasive.</w:t>
      </w:r>
      <w:r w:rsidR="00BF7F96">
        <w:t xml:space="preserve"> </w:t>
      </w:r>
      <w:r w:rsidRPr="00502A53">
        <w:t xml:space="preserve"> Further, the PG&amp;E Audit Report underscored the need for higher documentation standards that justify the inconvenience for utilities. </w:t>
      </w:r>
      <w:r w:rsidRPr="008F5543">
        <w:t>Accordingly, we conclude that this requirement is appropriate.</w:t>
      </w:r>
    </w:p>
    <w:p w:rsidRPr="00502A53" w:rsidR="009071F1" w:rsidP="009071F1" w:rsidRDefault="00D55A9C" w14:paraId="764B7587" w14:textId="743A9A95">
      <w:pPr>
        <w:pStyle w:val="Standard"/>
      </w:pPr>
      <w:r>
        <w:t>W</w:t>
      </w:r>
      <w:r w:rsidRPr="00502A53">
        <w:t xml:space="preserve">e direct PG&amp;E </w:t>
      </w:r>
      <w:r>
        <w:t>to implement the following Rule 20 program improvements based on recommendations from the</w:t>
      </w:r>
      <w:r w:rsidRPr="00502A53">
        <w:t xml:space="preserve"> PG&amp;E Audit Report</w:t>
      </w:r>
      <w:r>
        <w:t xml:space="preserve">. </w:t>
      </w:r>
      <w:r w:rsidR="00BF7F96">
        <w:t xml:space="preserve"> </w:t>
      </w:r>
      <w:r>
        <w:t xml:space="preserve">Further, we also direct each electric utility to implement the following Rule 20 </w:t>
      </w:r>
      <w:r>
        <w:lastRenderedPageBreak/>
        <w:t>program improvements as well to ensure that the lessons learned and best practices from the PG&amp;E Audit Report enhance all Rule 20 programs and the Commission’s oversight of these programs.</w:t>
      </w:r>
    </w:p>
    <w:p w:rsidR="00C52643" w:rsidP="00BF7F96" w:rsidRDefault="00D55A9C" w14:paraId="4AC68C2E" w14:textId="13D329B0">
      <w:pPr>
        <w:pStyle w:val="Standard"/>
      </w:pPr>
      <w:r w:rsidRPr="008F5543">
        <w:rPr>
          <w:b/>
          <w:bCs/>
        </w:rPr>
        <w:t xml:space="preserve">Program </w:t>
      </w:r>
      <w:r>
        <w:rPr>
          <w:b/>
          <w:bCs/>
        </w:rPr>
        <w:t>G</w:t>
      </w:r>
      <w:r w:rsidRPr="008F5543">
        <w:rPr>
          <w:b/>
          <w:bCs/>
        </w:rPr>
        <w:t>uidebook</w:t>
      </w:r>
      <w:r w:rsidRPr="008F5543">
        <w:t xml:space="preserve">. </w:t>
      </w:r>
      <w:r>
        <w:t>PG&amp;E, SCE and SDG&amp;E shall work together to draft updated Rule 20 Guidebook</w:t>
      </w:r>
      <w:r w:rsidR="0088780F">
        <w:t>s</w:t>
      </w:r>
      <w:r>
        <w:t xml:space="preserve">. </w:t>
      </w:r>
      <w:r w:rsidR="00BF7F96">
        <w:t xml:space="preserve"> </w:t>
      </w:r>
      <w:r>
        <w:t xml:space="preserve">These three utilities shall </w:t>
      </w:r>
      <w:r w:rsidRPr="008F5543">
        <w:t xml:space="preserve">meet and confer with </w:t>
      </w:r>
      <w:r w:rsidRPr="00013029">
        <w:t>Liberty, PacifiCorp</w:t>
      </w:r>
      <w:r w:rsidRPr="008F5543">
        <w:t>, the League of California Cities, the California State Association of Counties, local governments,</w:t>
      </w:r>
      <w:r>
        <w:t xml:space="preserve"> and representatives of rural communities such as Rural County Representatives of California,</w:t>
      </w:r>
      <w:r w:rsidRPr="008F5543">
        <w:t xml:space="preserve"> and communications carriers</w:t>
      </w:r>
      <w:r>
        <w:t xml:space="preserve"> </w:t>
      </w:r>
      <w:r w:rsidRPr="000849E9">
        <w:t xml:space="preserve">to draft </w:t>
      </w:r>
      <w:r>
        <w:t>a joint Rule 20 G</w:t>
      </w:r>
      <w:r w:rsidRPr="000849E9">
        <w:t>uidebook</w:t>
      </w:r>
      <w:r>
        <w:t>.</w:t>
      </w:r>
      <w:r w:rsidRPr="000849E9">
        <w:t xml:space="preserve"> </w:t>
      </w:r>
      <w:r w:rsidR="00BF7F96">
        <w:t xml:space="preserve"> </w:t>
      </w:r>
      <w:r w:rsidR="00552E6E">
        <w:t xml:space="preserve">The program guidebooks of each utility may diverge on details of certain procedures but should be consistent regarding major rules. </w:t>
      </w:r>
    </w:p>
    <w:p w:rsidR="00D55A9C" w:rsidP="00BF7F96" w:rsidRDefault="00D55A9C" w14:paraId="68A33E07" w14:textId="0F31B2BD">
      <w:pPr>
        <w:pStyle w:val="Standard"/>
      </w:pPr>
      <w:r>
        <w:t xml:space="preserve">The guidebook will </w:t>
      </w:r>
      <w:r w:rsidRPr="000849E9">
        <w:t xml:space="preserve">detail costs and responsibilities of each party at each stage of projects on an average project timeline per subprogram.  The guidebook shall also provide IOU contacts for projects pertinent to each subprogram, a timeline to anticipate annual reports, and </w:t>
      </w:r>
      <w:r>
        <w:t xml:space="preserve">links to </w:t>
      </w:r>
      <w:r w:rsidRPr="000849E9">
        <w:t>the</w:t>
      </w:r>
      <w:r>
        <w:t xml:space="preserve"> Rule 20 program webpages of the Commission and the IOUs. </w:t>
      </w:r>
      <w:r w:rsidR="00BF7F96">
        <w:t xml:space="preserve"> </w:t>
      </w:r>
      <w:r>
        <w:t xml:space="preserve">Within </w:t>
      </w:r>
      <w:r w:rsidR="001A7EBF">
        <w:t xml:space="preserve">120 </w:t>
      </w:r>
      <w:r>
        <w:t>days of the effective date of this decision, PG&amp;E</w:t>
      </w:r>
      <w:r w:rsidR="00552E6E">
        <w:t>, SCE and SDG&amp;E</w:t>
      </w:r>
      <w:r>
        <w:t xml:space="preserve"> shall</w:t>
      </w:r>
      <w:r w:rsidR="00552E6E">
        <w:t xml:space="preserve"> each</w:t>
      </w:r>
      <w:r>
        <w:t xml:space="preserve"> file and serve a Tier 2 advice letter to update </w:t>
      </w:r>
      <w:r w:rsidR="00552E6E">
        <w:t xml:space="preserve">its </w:t>
      </w:r>
      <w:r>
        <w:t xml:space="preserve">Rule 20 Guidebook. </w:t>
      </w:r>
      <w:r w:rsidR="00BF7F96">
        <w:t xml:space="preserve"> </w:t>
      </w:r>
      <w:r>
        <w:t xml:space="preserve">Within 90 days of </w:t>
      </w:r>
      <w:r w:rsidR="0088780F">
        <w:t>the date that the first</w:t>
      </w:r>
      <w:r>
        <w:t xml:space="preserve"> Rule 20 Guidebook </w:t>
      </w:r>
      <w:r w:rsidR="0088780F">
        <w:t>is approved in accordance with this decision</w:t>
      </w:r>
      <w:r>
        <w:t xml:space="preserve">, Liberty and PacifiCorp shall each file and serve an updated guidebook for its Rule 20 programs, based on the approved Rule 20 Guidebook for large utilities. </w:t>
      </w:r>
      <w:r w:rsidR="00BF7F96">
        <w:t xml:space="preserve"> </w:t>
      </w:r>
      <w:r>
        <w:t>The Rule 20 Guidebook shall include any overhead fees charged by the utility and a standard nondisclosure agreement for communities to obtain access to confidential information.</w:t>
      </w:r>
      <w:r w:rsidR="00734B1C">
        <w:t xml:space="preserve"> Electric utilities shall post their updated Rule 20 Guidebooks to their Rule 20 websites.</w:t>
      </w:r>
    </w:p>
    <w:p w:rsidRPr="008F5543" w:rsidR="00D55A9C" w:rsidP="00BF7F96" w:rsidRDefault="00D55A9C" w14:paraId="598F845C" w14:textId="53D638F0">
      <w:pPr>
        <w:pStyle w:val="Standard"/>
      </w:pPr>
      <w:r w:rsidRPr="008F5543">
        <w:rPr>
          <w:b/>
          <w:bCs/>
        </w:rPr>
        <w:lastRenderedPageBreak/>
        <w:t>One-</w:t>
      </w:r>
      <w:r>
        <w:rPr>
          <w:b/>
          <w:bCs/>
        </w:rPr>
        <w:t>W</w:t>
      </w:r>
      <w:r w:rsidRPr="008F5543">
        <w:rPr>
          <w:b/>
          <w:bCs/>
        </w:rPr>
        <w:t xml:space="preserve">ay </w:t>
      </w:r>
      <w:r>
        <w:rPr>
          <w:b/>
          <w:bCs/>
        </w:rPr>
        <w:t>B</w:t>
      </w:r>
      <w:r w:rsidRPr="008F5543">
        <w:rPr>
          <w:b/>
          <w:bCs/>
        </w:rPr>
        <w:t xml:space="preserve">alancing </w:t>
      </w:r>
      <w:r>
        <w:rPr>
          <w:b/>
          <w:bCs/>
        </w:rPr>
        <w:t>A</w:t>
      </w:r>
      <w:r w:rsidRPr="008F5543">
        <w:rPr>
          <w:b/>
          <w:bCs/>
        </w:rPr>
        <w:t>ccounts</w:t>
      </w:r>
      <w:r>
        <w:t xml:space="preserve">. </w:t>
      </w:r>
      <w:r w:rsidRPr="002D78FF">
        <w:t xml:space="preserve">Rule 20 </w:t>
      </w:r>
      <w:r>
        <w:t>program funding should</w:t>
      </w:r>
      <w:r w:rsidRPr="002D78FF">
        <w:t xml:space="preserve"> not be used for any other utility purpose</w:t>
      </w:r>
      <w:r>
        <w:t>.</w:t>
      </w:r>
      <w:r w:rsidRPr="002D78FF">
        <w:t xml:space="preserve"> </w:t>
      </w:r>
      <w:r w:rsidR="00BF7F96">
        <w:t xml:space="preserve"> </w:t>
      </w:r>
      <w:r>
        <w:t>U</w:t>
      </w:r>
      <w:r w:rsidRPr="002D78FF">
        <w:t>tilities must establish</w:t>
      </w:r>
      <w:r>
        <w:t xml:space="preserve"> or modify an existing Rule 20</w:t>
      </w:r>
      <w:r w:rsidRPr="002D78FF">
        <w:t xml:space="preserve"> one-way balancing account</w:t>
      </w:r>
      <w:r>
        <w:t>, with subaccounts</w:t>
      </w:r>
      <w:r w:rsidRPr="002D78FF">
        <w:t xml:space="preserve"> for tracking actual program expenses</w:t>
      </w:r>
      <w:r>
        <w:t xml:space="preserve"> for each Rule 20 subprogram</w:t>
      </w:r>
      <w:r w:rsidRPr="002D78FF">
        <w:t>.</w:t>
      </w:r>
      <w:r>
        <w:rPr>
          <w:rStyle w:val="FootnoteReference"/>
        </w:rPr>
        <w:footnoteReference w:id="45"/>
      </w:r>
      <w:r>
        <w:t xml:space="preserve">  Each </w:t>
      </w:r>
      <w:r w:rsidRPr="002D78FF">
        <w:t>utility must track actual expenditures and seek cost-recovery periodically through the General Rate Case</w:t>
      </w:r>
      <w:r>
        <w:t xml:space="preserve"> applications</w:t>
      </w:r>
      <w:r w:rsidRPr="002D78FF">
        <w:t xml:space="preserve">.  Utilities </w:t>
      </w:r>
      <w:r>
        <w:t>should</w:t>
      </w:r>
      <w:r w:rsidRPr="002D78FF">
        <w:t xml:space="preserve"> not propose </w:t>
      </w:r>
      <w:r>
        <w:t xml:space="preserve">Rule 20 </w:t>
      </w:r>
      <w:r w:rsidRPr="002D78FF">
        <w:t xml:space="preserve">program rule </w:t>
      </w:r>
      <w:r>
        <w:t xml:space="preserve">changes or funding changes through General Rate Case applications. </w:t>
      </w:r>
      <w:r w:rsidR="00BF7F96">
        <w:t xml:space="preserve"> </w:t>
      </w:r>
      <w:r w:rsidRPr="00F24F95">
        <w:t>Each account must track</w:t>
      </w:r>
      <w:r>
        <w:t xml:space="preserve"> all costs to be included in the Rule 20 Annual Report, in addition to any figures typically tracked in a balancing account</w:t>
      </w:r>
      <w:r w:rsidRPr="00F24F95">
        <w:t>.</w:t>
      </w:r>
      <w:r>
        <w:t xml:space="preserve"> </w:t>
      </w:r>
      <w:r w:rsidR="00BF7F96">
        <w:t xml:space="preserve"> </w:t>
      </w:r>
      <w:r w:rsidRPr="000849E9">
        <w:t>Any fund</w:t>
      </w:r>
      <w:r>
        <w:t>s</w:t>
      </w:r>
      <w:r w:rsidRPr="000849E9">
        <w:t xml:space="preserve"> authorized </w:t>
      </w:r>
      <w:r>
        <w:t>in</w:t>
      </w:r>
      <w:r w:rsidRPr="000849E9">
        <w:t xml:space="preserve"> a General Rate Case for the purpose of a Rule 20 Program, shall be reserved exclusively for the purpose and benefit of the Rule 20 Programs as authorize</w:t>
      </w:r>
      <w:r>
        <w:t>d</w:t>
      </w:r>
      <w:r w:rsidRPr="000849E9">
        <w:t xml:space="preserve"> </w:t>
      </w:r>
      <w:r>
        <w:t>in</w:t>
      </w:r>
      <w:r w:rsidRPr="000849E9">
        <w:t xml:space="preserve"> </w:t>
      </w:r>
      <w:r>
        <w:t xml:space="preserve">the Rule 20 </w:t>
      </w:r>
      <w:r w:rsidRPr="000849E9">
        <w:t xml:space="preserve">tariff. Rule 20 Program </w:t>
      </w:r>
      <w:r>
        <w:t>f</w:t>
      </w:r>
      <w:r w:rsidRPr="000849E9">
        <w:t>und</w:t>
      </w:r>
      <w:r>
        <w:t>s</w:t>
      </w:r>
      <w:r w:rsidRPr="000849E9">
        <w:t xml:space="preserve"> may not be reallocated to any other purpose unless </w:t>
      </w:r>
      <w:r>
        <w:t xml:space="preserve">the Commission </w:t>
      </w:r>
      <w:r w:rsidRPr="000849E9">
        <w:t>expressly authorize</w:t>
      </w:r>
      <w:r>
        <w:t>s it</w:t>
      </w:r>
      <w:r w:rsidRPr="000849E9">
        <w:t xml:space="preserve">. </w:t>
      </w:r>
    </w:p>
    <w:p w:rsidR="00D55A9C" w:rsidP="00BF7F96" w:rsidRDefault="00D55A9C" w14:paraId="71D593E3" w14:textId="16A5BECE">
      <w:pPr>
        <w:pStyle w:val="Standard"/>
      </w:pPr>
      <w:r w:rsidRPr="6830C53D">
        <w:rPr>
          <w:b/>
        </w:rPr>
        <w:t>Rule 20 Annual Report</w:t>
      </w:r>
      <w:r>
        <w:rPr>
          <w:b/>
        </w:rPr>
        <w:t xml:space="preserve"> to the Commission</w:t>
      </w:r>
      <w:r w:rsidRPr="6830C53D">
        <w:t>.</w:t>
      </w:r>
      <w:r>
        <w:t xml:space="preserve"> </w:t>
      </w:r>
      <w:r w:rsidRPr="0008566A">
        <w:rPr>
          <w:rFonts w:ascii="Times New Roman" w:hAnsi="Times New Roman"/>
        </w:rPr>
        <w:t> </w:t>
      </w:r>
      <w:r>
        <w:t xml:space="preserve">Electric utilities should report to the Commission annually information about </w:t>
      </w:r>
      <w:proofErr w:type="gramStart"/>
      <w:r>
        <w:t>all of</w:t>
      </w:r>
      <w:proofErr w:type="gramEnd"/>
      <w:r>
        <w:t xml:space="preserve"> the projects, expenditures, and work credit balances for all communities in its service territory. </w:t>
      </w:r>
      <w:r w:rsidR="00BF7F96">
        <w:t xml:space="preserve"> </w:t>
      </w:r>
      <w:r>
        <w:t>By</w:t>
      </w:r>
      <w:r w:rsidRPr="0008566A">
        <w:t xml:space="preserve"> </w:t>
      </w:r>
      <w:r w:rsidR="00C01330">
        <w:t>April 1</w:t>
      </w:r>
      <w:r w:rsidRPr="0008566A">
        <w:t xml:space="preserve"> each year, each electric utility shall (i) serve a confidential version of the Rule 20 Annual Report to the Commission’s Energy Division, and (ii) </w:t>
      </w:r>
      <w:r w:rsidR="00364EAC">
        <w:t>serve to th</w:t>
      </w:r>
      <w:r w:rsidR="00FA1792">
        <w:t>e</w:t>
      </w:r>
      <w:r w:rsidR="00364EAC">
        <w:t xml:space="preserve"> service list</w:t>
      </w:r>
      <w:r w:rsidR="00FA1792">
        <w:t xml:space="preserve"> of this proceeding</w:t>
      </w:r>
      <w:r w:rsidR="00364EAC">
        <w:t xml:space="preserve"> (and the service list of any successor proceeding) and </w:t>
      </w:r>
      <w:r w:rsidRPr="0008566A">
        <w:t>post a public version of the Rule 20 Annual Report on its Rule 20 webpage.</w:t>
      </w:r>
      <w:r w:rsidRPr="0008566A">
        <w:rPr>
          <w:rFonts w:ascii="Times New Roman" w:hAnsi="Times New Roman"/>
        </w:rPr>
        <w:t> </w:t>
      </w:r>
      <w:r w:rsidR="00BF7F96">
        <w:rPr>
          <w:rFonts w:ascii="Times New Roman" w:hAnsi="Times New Roman"/>
        </w:rPr>
        <w:t xml:space="preserve"> </w:t>
      </w:r>
      <w:r w:rsidRPr="0008566A">
        <w:t>The Rule 20 Annual Report shall follow the guidelines for formatting and content on</w:t>
      </w:r>
      <w:r w:rsidRPr="0008566A">
        <w:rPr>
          <w:rFonts w:ascii="Times New Roman" w:hAnsi="Times New Roman"/>
        </w:rPr>
        <w:t> </w:t>
      </w:r>
      <w:r w:rsidRPr="0008566A">
        <w:t>the Commission</w:t>
      </w:r>
      <w:r>
        <w:t>’</w:t>
      </w:r>
      <w:r w:rsidRPr="0008566A">
        <w:t>s webpage for Rule 20.</w:t>
      </w:r>
      <w:r>
        <w:rPr>
          <w:rStyle w:val="FootnoteReference"/>
        </w:rPr>
        <w:footnoteReference w:id="46"/>
      </w:r>
      <w:r w:rsidRPr="0008566A">
        <w:rPr>
          <w:rFonts w:ascii="Times New Roman" w:hAnsi="Times New Roman"/>
        </w:rPr>
        <w:t> </w:t>
      </w:r>
      <w:r w:rsidR="00BF7F96">
        <w:rPr>
          <w:rFonts w:ascii="Times New Roman" w:hAnsi="Times New Roman"/>
        </w:rPr>
        <w:t xml:space="preserve"> </w:t>
      </w:r>
      <w:r w:rsidR="00227A6E">
        <w:rPr>
          <w:rFonts w:ascii="Times New Roman" w:hAnsi="Times New Roman"/>
        </w:rPr>
        <w:t xml:space="preserve"> </w:t>
      </w:r>
      <w:r>
        <w:t>T</w:t>
      </w:r>
      <w:r w:rsidRPr="0008566A">
        <w:t xml:space="preserve">he public </w:t>
      </w:r>
      <w:r w:rsidRPr="0008566A">
        <w:lastRenderedPageBreak/>
        <w:t>version of the Rule 20 Annual Report shall include nonconfidential information about the Rule 20 subprograms at the level of detail described in Attachment A.</w:t>
      </w:r>
      <w:r>
        <w:rPr>
          <w:rStyle w:val="FootnoteReference"/>
        </w:rPr>
        <w:footnoteReference w:id="47"/>
      </w:r>
      <w:r w:rsidRPr="0008566A">
        <w:t xml:space="preserve"> </w:t>
      </w:r>
      <w:r w:rsidR="00BF7F96">
        <w:t xml:space="preserve"> </w:t>
      </w:r>
      <w:r w:rsidRPr="0008566A">
        <w:t xml:space="preserve">The confidential version of the Rule 20 Annual Report shall also include information about Rule 20 projects at the level of detail described in Attachment B. </w:t>
      </w:r>
      <w:r w:rsidR="00C439E8">
        <w:t xml:space="preserve"> This new reporting requirement will replace previous requirements to provide annual reports to the Commission </w:t>
      </w:r>
      <w:r w:rsidR="00772AB6">
        <w:t xml:space="preserve">on </w:t>
      </w:r>
      <w:r w:rsidR="00C01330">
        <w:t>January 1, 2022</w:t>
      </w:r>
      <w:r w:rsidR="00C439E8">
        <w:t xml:space="preserve">. </w:t>
      </w:r>
    </w:p>
    <w:p w:rsidRPr="00AA3004" w:rsidR="00D55A9C" w:rsidP="00C07292" w:rsidRDefault="00D55A9C" w14:paraId="29975CD5" w14:textId="15777466">
      <w:pPr>
        <w:pStyle w:val="Standard"/>
      </w:pPr>
      <w:r w:rsidRPr="00922700">
        <w:rPr>
          <w:b/>
          <w:bCs/>
        </w:rPr>
        <w:t>Rule 20 Annual Updates</w:t>
      </w:r>
      <w:r>
        <w:rPr>
          <w:b/>
          <w:bCs/>
        </w:rPr>
        <w:t xml:space="preserve"> to Communities</w:t>
      </w:r>
      <w:r w:rsidRPr="00922700">
        <w:t>.</w:t>
      </w:r>
      <w:r w:rsidRPr="00922700">
        <w:rPr>
          <w:rFonts w:ascii="Times New Roman" w:hAnsi="Times New Roman"/>
        </w:rPr>
        <w:t> </w:t>
      </w:r>
      <w:r>
        <w:t xml:space="preserve">Electric utilities should provide annual updates to each community about its Rule 20 projects, expenditures, and work credit balance.  By </w:t>
      </w:r>
      <w:r w:rsidR="00C01330">
        <w:t>April 1</w:t>
      </w:r>
      <w:r w:rsidRPr="00922700">
        <w:t xml:space="preserve"> each year, each electric utility shall send a Rule 20 Annual Update to each local government in its service territory.</w:t>
      </w:r>
      <w:r w:rsidR="00C07292">
        <w:t xml:space="preserve">  </w:t>
      </w:r>
      <w:r w:rsidRPr="00922700">
        <w:t>The Rule 20 Annual Updates shall follow the guidelines for content on</w:t>
      </w:r>
      <w:r w:rsidRPr="00922700">
        <w:rPr>
          <w:rFonts w:ascii="Times New Roman" w:hAnsi="Times New Roman"/>
        </w:rPr>
        <w:t> </w:t>
      </w:r>
      <w:r w:rsidRPr="00922700">
        <w:t>the Commission's webpage for Rule 20.  Each Rule 20 Annual Update shall include information about the status of a local government's projects and work credits at the level of detail described in Attachment A.</w:t>
      </w:r>
      <w:r w:rsidRPr="00922700">
        <w:rPr>
          <w:rFonts w:ascii="Times New Roman" w:hAnsi="Times New Roman"/>
        </w:rPr>
        <w:t> </w:t>
      </w:r>
      <w:r w:rsidRPr="00922700">
        <w:t xml:space="preserve"> </w:t>
      </w:r>
    </w:p>
    <w:p w:rsidR="00D55A9C" w:rsidP="00C07292" w:rsidRDefault="00D55A9C" w14:paraId="2ED12A7A" w14:textId="22B92AA6">
      <w:pPr>
        <w:pStyle w:val="Standard"/>
      </w:pPr>
      <w:r w:rsidRPr="008F5543">
        <w:rPr>
          <w:b/>
          <w:bCs/>
        </w:rPr>
        <w:t xml:space="preserve">Records </w:t>
      </w:r>
      <w:r>
        <w:rPr>
          <w:b/>
          <w:bCs/>
        </w:rPr>
        <w:t>D</w:t>
      </w:r>
      <w:r w:rsidRPr="008F5543">
        <w:rPr>
          <w:b/>
          <w:bCs/>
        </w:rPr>
        <w:t xml:space="preserve">ocumentation and </w:t>
      </w:r>
      <w:r>
        <w:rPr>
          <w:b/>
          <w:bCs/>
        </w:rPr>
        <w:t>R</w:t>
      </w:r>
      <w:r w:rsidRPr="008F5543">
        <w:rPr>
          <w:b/>
          <w:bCs/>
        </w:rPr>
        <w:t>etention</w:t>
      </w:r>
      <w:r w:rsidRPr="008F5543">
        <w:t>.</w:t>
      </w:r>
      <w:r>
        <w:t xml:space="preserve"> Each electric utility shall retain</w:t>
      </w:r>
      <w:r w:rsidR="00762FFD">
        <w:t>, starting from the effective date of this decision,</w:t>
      </w:r>
      <w:r>
        <w:t xml:space="preserve"> the following documentation for each of its Rule 20 programs for a minimum of fifteen years from the completion of the project: (a) all project bids, purchase orders, contracts, invoices, and payments, and (b) all calculations of overhead costs and any other charges for the utility’s work on a project by line item. </w:t>
      </w:r>
      <w:r w:rsidR="00C07292">
        <w:t xml:space="preserve"> </w:t>
      </w:r>
      <w:r>
        <w:t xml:space="preserve">Each electric utility shall provide a copy of this information to any local government or ratepayer advocate </w:t>
      </w:r>
      <w:r w:rsidRPr="00013029">
        <w:t xml:space="preserve">within </w:t>
      </w:r>
      <w:r w:rsidR="002B719C">
        <w:t>30</w:t>
      </w:r>
      <w:r w:rsidRPr="00013029">
        <w:t xml:space="preserve"> days of written request enclosing a signed nondisclosure agreement in the standard form attached to the Rule 20 Guidebook</w:t>
      </w:r>
      <w:r>
        <w:t xml:space="preserve">.  </w:t>
      </w:r>
    </w:p>
    <w:p w:rsidR="00D55A9C" w:rsidP="00C07292" w:rsidRDefault="00D55A9C" w14:paraId="29574EA8" w14:textId="451B23D2">
      <w:pPr>
        <w:pStyle w:val="Standard"/>
      </w:pPr>
      <w:r>
        <w:lastRenderedPageBreak/>
        <w:t xml:space="preserve">We also revisit the electric utility audit requirements of Ordering Paragraph 4 of the OIR. </w:t>
      </w:r>
      <w:r w:rsidRPr="00BA45B7">
        <w:t xml:space="preserve">On July 18, 2017, the respondent </w:t>
      </w:r>
      <w:r>
        <w:t xml:space="preserve">electric utilities </w:t>
      </w:r>
      <w:r w:rsidRPr="00BA45B7">
        <w:t xml:space="preserve">served proposed audit scopes on the service list. </w:t>
      </w:r>
      <w:r w:rsidR="00C07292">
        <w:t xml:space="preserve"> </w:t>
      </w:r>
      <w:r w:rsidRPr="00BA45B7">
        <w:t xml:space="preserve">On August 7, 2018, the director of the Energy Division sent a letter to the </w:t>
      </w:r>
      <w:r>
        <w:t xml:space="preserve">respondent electric utilities </w:t>
      </w:r>
      <w:r w:rsidRPr="00BA45B7">
        <w:t xml:space="preserve">modifying and approving the audit proposals of </w:t>
      </w:r>
      <w:r>
        <w:t>PG&amp;E, SCE and SDG&amp;E</w:t>
      </w:r>
      <w:r w:rsidRPr="00BA45B7">
        <w:t xml:space="preserve">. </w:t>
      </w:r>
      <w:r w:rsidR="00C07292">
        <w:t xml:space="preserve"> </w:t>
      </w:r>
      <w:r w:rsidRPr="00BA45B7">
        <w:t xml:space="preserve">The letter waived the audit requirements for PacifiCorp, </w:t>
      </w:r>
      <w:r>
        <w:t>BVES</w:t>
      </w:r>
      <w:r w:rsidRPr="00BA45B7">
        <w:t>, and Liberty Utilities</w:t>
      </w:r>
      <w:r>
        <w:t xml:space="preserve">. On June 6, 2019, the assigned ALJ issued a ruling to suspend the audit requirements of SCE and SDG&amp;E. </w:t>
      </w:r>
      <w:r w:rsidR="7D349521">
        <w:t xml:space="preserve">Although the audit is currently suspended, the utilities should maintain all Rule 20 project files that would be subject to the audit (as described in in the audit scope) in the event the audit is reinstated </w:t>
      </w:r>
      <w:r w:rsidR="087C5BE2">
        <w:t>over the course of this proceeding.</w:t>
      </w:r>
    </w:p>
    <w:p w:rsidR="00D55A9C" w:rsidP="00C07292" w:rsidRDefault="00D55A9C" w14:paraId="15714FB0" w14:textId="66E8B6A3">
      <w:pPr>
        <w:pStyle w:val="Standard"/>
      </w:pPr>
      <w:r>
        <w:t xml:space="preserve">Rather than wait for additional audit reports for SCE and SDG&amp;E, we direct SCE and SDG&amp;E to implement the same Rule 20 program improvements that we directed PG&amp;E to implement based on the PG&amp;E Audit Report. </w:t>
      </w:r>
      <w:r w:rsidR="00C07292">
        <w:t xml:space="preserve"> </w:t>
      </w:r>
      <w:r>
        <w:t xml:space="preserve">Accordingly, </w:t>
      </w:r>
      <w:bookmarkStart w:name="_Hlk66175472" w:id="17"/>
      <w:r>
        <w:t>we</w:t>
      </w:r>
      <w:bookmarkEnd w:id="17"/>
      <w:r>
        <w:t xml:space="preserve"> waive the audit requirements of the OIR for SCE and SDG&amp;E.  However, we may audit any of the IOUs’ Rule 20 programs in the future to assess the implementation of process improvements required by this decision.</w:t>
      </w:r>
    </w:p>
    <w:p w:rsidR="00EC4AB0" w:rsidP="00EC4AB0" w:rsidRDefault="00364EAC" w14:paraId="3BFE68EE" w14:textId="51D7C179">
      <w:pPr>
        <w:pStyle w:val="Standard"/>
      </w:pPr>
      <w:r>
        <w:t xml:space="preserve">In comments on the proposed decision, PG&amp;E and SCE proposed to hire and recover the costs of a third-party facilitator to assist with developing the Rule 20 Guidebooks. </w:t>
      </w:r>
      <w:r w:rsidR="00C52643">
        <w:t xml:space="preserve"> </w:t>
      </w:r>
      <w:r>
        <w:t xml:space="preserve">This is a reasonable request. </w:t>
      </w:r>
      <w:r w:rsidR="00C52643">
        <w:t xml:space="preserve"> </w:t>
      </w:r>
      <w:r>
        <w:t>We will permit PG&amp;E, SCE and</w:t>
      </w:r>
      <w:r w:rsidR="006C348D">
        <w:t>/or</w:t>
      </w:r>
      <w:r>
        <w:t xml:space="preserve"> SDG&amp;E to hire a third-party facilitator to assist with the joint development of the Rule 20 Guidebooks</w:t>
      </w:r>
      <w:r w:rsidR="006C348D">
        <w:t xml:space="preserve"> and </w:t>
      </w:r>
      <w:r w:rsidR="31058DC1">
        <w:t xml:space="preserve">absorb this modest expenditure </w:t>
      </w:r>
      <w:r w:rsidR="007E6D65">
        <w:t xml:space="preserve">through </w:t>
      </w:r>
      <w:r w:rsidR="00DB6EF2">
        <w:t xml:space="preserve">their existing Rule 20 </w:t>
      </w:r>
      <w:r w:rsidR="31058DC1">
        <w:t>budget</w:t>
      </w:r>
      <w:r w:rsidR="002B06FE">
        <w:t>s</w:t>
      </w:r>
      <w:r w:rsidR="00EC4AB0">
        <w:t>.</w:t>
      </w:r>
    </w:p>
    <w:p w:rsidRPr="00BA45B7" w:rsidR="009071F1" w:rsidP="00EC4AB0" w:rsidRDefault="009071F1" w14:paraId="220A91F8" w14:textId="65B6CFFD">
      <w:pPr>
        <w:pStyle w:val="Standard"/>
      </w:pPr>
      <w:r>
        <w:t xml:space="preserve">In comments on the proposed decision, BVES requested an exemption from the new administrative requirements until BVES receives Rule 20 funds through a General Rate Case or other applicable proceeding before the </w:t>
      </w:r>
      <w:r>
        <w:lastRenderedPageBreak/>
        <w:t xml:space="preserve">Commission. </w:t>
      </w:r>
      <w:r w:rsidR="008C4416">
        <w:t xml:space="preserve"> </w:t>
      </w:r>
      <w:r>
        <w:t xml:space="preserve">BVES asserts that it has no operational Rule 20 program, no Rule 20 funds, and no Rule 20A projects completed between 2005 and the present. </w:t>
      </w:r>
      <w:r w:rsidR="008C4416">
        <w:t xml:space="preserve"> </w:t>
      </w:r>
      <w:r>
        <w:t xml:space="preserve">BVES asserted that it is unlikely to have a Rule 20 program </w:t>
      </w:r>
      <w:proofErr w:type="gramStart"/>
      <w:r>
        <w:t>in the near future</w:t>
      </w:r>
      <w:proofErr w:type="gramEnd"/>
      <w:r>
        <w:t xml:space="preserve">. </w:t>
      </w:r>
      <w:r w:rsidR="008C4416">
        <w:t xml:space="preserve"> BVES points out that the Commission has exempted it from administrative requirements in the past due to its small size.  No party opposed this request.  </w:t>
      </w:r>
      <w:r>
        <w:t>We conclude that it is appropriate to exempt BVES from the new requirements of Section</w:t>
      </w:r>
      <w:r w:rsidR="00EF7EB6">
        <w:t>s</w:t>
      </w:r>
      <w:r>
        <w:t xml:space="preserve"> </w:t>
      </w:r>
      <w:r w:rsidR="00EF7EB6">
        <w:t xml:space="preserve">4 and </w:t>
      </w:r>
      <w:r>
        <w:t>5 of this decision until the Commission authorizes Rule 20 funding for BVES.</w:t>
      </w:r>
    </w:p>
    <w:p w:rsidRPr="00DC38F1" w:rsidR="00D55A9C" w:rsidP="004D02D8" w:rsidRDefault="00D55A9C" w14:paraId="370ABF72" w14:textId="77777777">
      <w:pPr>
        <w:pStyle w:val="Heading1"/>
        <w:ind w:hanging="720"/>
      </w:pPr>
      <w:bookmarkStart w:name="_Toc73945844" w:id="18"/>
      <w:bookmarkStart w:name="_Toc30488481" w:id="19"/>
      <w:bookmarkEnd w:id="10"/>
      <w:r>
        <w:t>Phase 2 Issues and Extension of Statutory Deadline</w:t>
      </w:r>
      <w:bookmarkEnd w:id="18"/>
    </w:p>
    <w:p w:rsidR="00BD4A0A" w:rsidP="00C07292" w:rsidRDefault="00D55A9C" w14:paraId="1CFCD93C" w14:textId="77777777">
      <w:pPr>
        <w:pStyle w:val="Standard"/>
      </w:pPr>
      <w:r>
        <w:t xml:space="preserve">We note that the scoping memo included 29 sub-questions related to the Phase 1 issues.  After conducting workshops in April 2019, the Commission’s Energy Division developed the February Staff Proposal to recommend solutions to address the most pressing questions.  After review of party comments on the February Staff Proposal, the assigned ALJ issued a ruling requesting party comments on additional questions and the September Staff Proposal.  </w:t>
      </w:r>
    </w:p>
    <w:p w:rsidR="00E061EE" w:rsidP="00C07292" w:rsidRDefault="00D55A9C" w14:paraId="3C952649" w14:textId="77777777">
      <w:pPr>
        <w:pStyle w:val="Standard"/>
      </w:pPr>
      <w:r>
        <w:t xml:space="preserve">Based on our review of the record, this decision </w:t>
      </w:r>
      <w:r w:rsidR="00BD4A0A">
        <w:t xml:space="preserve">resolves </w:t>
      </w:r>
      <w:r>
        <w:t>the Phase 1 issues</w:t>
      </w:r>
      <w:r w:rsidR="00BD4A0A">
        <w:t xml:space="preserve"> identified in Section </w:t>
      </w:r>
      <w:r w:rsidR="00E061EE">
        <w:t>3</w:t>
      </w:r>
      <w:r w:rsidR="00BD4A0A">
        <w:t xml:space="preserve"> of this decision.  </w:t>
      </w:r>
      <w:bookmarkStart w:name="_Hlk67914976" w:id="20"/>
      <w:r w:rsidR="00BD4A0A">
        <w:t xml:space="preserve">We also determine here that </w:t>
      </w:r>
      <w:r>
        <w:t xml:space="preserve">it is not necessary for this proceeding to address </w:t>
      </w:r>
      <w:proofErr w:type="gramStart"/>
      <w:r>
        <w:t>all of</w:t>
      </w:r>
      <w:proofErr w:type="gramEnd"/>
      <w:r>
        <w:t xml:space="preserve"> the 29 sub-questions listed in the scoping memo.</w:t>
      </w:r>
      <w:r w:rsidR="00BD4A0A">
        <w:t xml:space="preserve">  </w:t>
      </w:r>
    </w:p>
    <w:p w:rsidR="00D55A9C" w:rsidP="00C07292" w:rsidRDefault="00E061EE" w14:paraId="0D482046" w14:textId="6D12309F">
      <w:pPr>
        <w:pStyle w:val="Standard"/>
      </w:pPr>
      <w:r>
        <w:t>We will</w:t>
      </w:r>
      <w:r w:rsidR="00BD4A0A">
        <w:t xml:space="preserve"> address the following issues i</w:t>
      </w:r>
      <w:r w:rsidRPr="00502A53" w:rsidR="00D55A9C">
        <w:t>n Phase 2 of this proceeding</w:t>
      </w:r>
      <w:r w:rsidR="00D55A9C">
        <w:t>:</w:t>
      </w:r>
    </w:p>
    <w:p w:rsidR="00D55A9C" w:rsidP="00E061EE" w:rsidRDefault="00D55A9C" w14:paraId="230AC8D1" w14:textId="77777777">
      <w:pPr>
        <w:pStyle w:val="standard0"/>
        <w:numPr>
          <w:ilvl w:val="0"/>
          <w:numId w:val="28"/>
        </w:numPr>
        <w:spacing w:after="120" w:line="240" w:lineRule="auto"/>
        <w:ind w:left="1080" w:right="1440"/>
        <w:rPr>
          <w:rFonts w:ascii="Book Antiqua" w:hAnsi="Book Antiqua"/>
        </w:rPr>
      </w:pPr>
      <w:r>
        <w:rPr>
          <w:rFonts w:ascii="Book Antiqua" w:hAnsi="Book Antiqua"/>
        </w:rPr>
        <w:t xml:space="preserve">Whether to add Rule 20A project eligibility criteria for wildfire safety and emergency-related undergrounding or otherwise modify Rule 20A project eligibility </w:t>
      </w:r>
      <w:proofErr w:type="gramStart"/>
      <w:r>
        <w:rPr>
          <w:rFonts w:ascii="Book Antiqua" w:hAnsi="Book Antiqua"/>
        </w:rPr>
        <w:t>criteria;</w:t>
      </w:r>
      <w:proofErr w:type="gramEnd"/>
    </w:p>
    <w:p w:rsidR="00D55A9C" w:rsidP="00E061EE" w:rsidRDefault="00D55A9C" w14:paraId="6FC6B3EB" w14:textId="77777777">
      <w:pPr>
        <w:pStyle w:val="standard0"/>
        <w:numPr>
          <w:ilvl w:val="0"/>
          <w:numId w:val="28"/>
        </w:numPr>
        <w:spacing w:after="120" w:line="240" w:lineRule="auto"/>
        <w:ind w:left="1080" w:right="1440"/>
        <w:rPr>
          <w:rFonts w:ascii="Book Antiqua" w:hAnsi="Book Antiqua"/>
        </w:rPr>
      </w:pPr>
      <w:r>
        <w:rPr>
          <w:rFonts w:ascii="Book Antiqua" w:hAnsi="Book Antiqua"/>
        </w:rPr>
        <w:t xml:space="preserve">Whether to modify the Rule 20A program to support projects in underserved and disadvantaged </w:t>
      </w:r>
      <w:proofErr w:type="gramStart"/>
      <w:r>
        <w:rPr>
          <w:rFonts w:ascii="Book Antiqua" w:hAnsi="Book Antiqua"/>
        </w:rPr>
        <w:t>communities;</w:t>
      </w:r>
      <w:proofErr w:type="gramEnd"/>
    </w:p>
    <w:p w:rsidR="00D55A9C" w:rsidP="00E061EE" w:rsidRDefault="00D55A9C" w14:paraId="34F12ED7" w14:textId="77777777">
      <w:pPr>
        <w:pStyle w:val="standard0"/>
        <w:numPr>
          <w:ilvl w:val="0"/>
          <w:numId w:val="28"/>
        </w:numPr>
        <w:spacing w:after="120" w:line="240" w:lineRule="auto"/>
        <w:ind w:left="1080" w:right="1440"/>
        <w:rPr>
          <w:rFonts w:ascii="Book Antiqua" w:hAnsi="Book Antiqua"/>
        </w:rPr>
      </w:pPr>
      <w:r>
        <w:rPr>
          <w:rFonts w:ascii="Book Antiqua" w:hAnsi="Book Antiqua"/>
        </w:rPr>
        <w:t xml:space="preserve">Whether to take additional steps to support the completion of active Rule 20A projects; and </w:t>
      </w:r>
    </w:p>
    <w:p w:rsidRPr="00502A53" w:rsidR="00D55A9C" w:rsidP="00E061EE" w:rsidRDefault="00D55A9C" w14:paraId="239EBA4F" w14:textId="77777777">
      <w:pPr>
        <w:pStyle w:val="standard0"/>
        <w:numPr>
          <w:ilvl w:val="0"/>
          <w:numId w:val="28"/>
        </w:numPr>
        <w:spacing w:after="120" w:line="240" w:lineRule="auto"/>
        <w:ind w:left="1080" w:right="1440"/>
        <w:rPr>
          <w:rFonts w:ascii="Book Antiqua" w:hAnsi="Book Antiqua"/>
        </w:rPr>
      </w:pPr>
      <w:r>
        <w:rPr>
          <w:rFonts w:ascii="Book Antiqua" w:hAnsi="Book Antiqua"/>
        </w:rPr>
        <w:t>Whether to modify or discontinue the Rule 20D program.</w:t>
      </w:r>
    </w:p>
    <w:p w:rsidRPr="00502A53" w:rsidR="00D55A9C" w:rsidP="00C07292" w:rsidRDefault="001E791B" w14:paraId="1B5E3820" w14:textId="2595C8E7">
      <w:pPr>
        <w:pStyle w:val="Standard"/>
      </w:pPr>
      <w:r>
        <w:lastRenderedPageBreak/>
        <w:t xml:space="preserve">We find that it is not feasible to conclude the proceeding by the current statutory deadline, August 10, 2021.  </w:t>
      </w:r>
      <w:r w:rsidR="00D55A9C">
        <w:t>For Phase 2 of this proceeding, we</w:t>
      </w:r>
      <w:r w:rsidRPr="00502A53" w:rsidR="00D55A9C">
        <w:t xml:space="preserve"> extend the statutory deadline imposed by Public Utilities Code Section 1701.5(a) </w:t>
      </w:r>
      <w:r w:rsidR="00D55A9C">
        <w:t xml:space="preserve">for </w:t>
      </w:r>
      <w:r w:rsidR="007A0882">
        <w:br/>
      </w:r>
      <w:r w:rsidR="00D55A9C">
        <w:t xml:space="preserve">12 months after the </w:t>
      </w:r>
      <w:r w:rsidRPr="6830C53D" w:rsidR="00D55A9C">
        <w:t xml:space="preserve">effective </w:t>
      </w:r>
      <w:r w:rsidR="00D55A9C">
        <w:t>date of this decision.</w:t>
      </w:r>
    </w:p>
    <w:p w:rsidRPr="00B25885" w:rsidR="00D55A9C" w:rsidP="00310742" w:rsidRDefault="00D55A9C" w14:paraId="089BEBC9" w14:textId="77777777">
      <w:pPr>
        <w:pStyle w:val="Heading1"/>
        <w:ind w:hanging="720"/>
      </w:pPr>
      <w:bookmarkStart w:name="_Toc73945845" w:id="21"/>
      <w:bookmarkEnd w:id="20"/>
      <w:r w:rsidRPr="00C07292">
        <w:t>Comments</w:t>
      </w:r>
      <w:r w:rsidRPr="00B25885">
        <w:t xml:space="preserve"> on Proposed Decision</w:t>
      </w:r>
      <w:bookmarkEnd w:id="19"/>
      <w:bookmarkEnd w:id="21"/>
    </w:p>
    <w:p w:rsidR="00B94FAC" w:rsidP="00BC6EDD" w:rsidRDefault="00C07292" w14:paraId="7B9455A5" w14:textId="77777777">
      <w:pPr>
        <w:pStyle w:val="Standard"/>
      </w:pPr>
      <w:bookmarkStart w:name="_Toc30488482" w:id="22"/>
      <w:r>
        <w:t xml:space="preserve">The </w:t>
      </w:r>
      <w:r w:rsidRPr="00C07292">
        <w:t>proposed</w:t>
      </w:r>
      <w:r>
        <w:t xml:space="preserve"> decision of the ALJ in this matter was mailed to the parties in accordance with Section 311 of the Public Utilities Code and comments were </w:t>
      </w:r>
      <w:r w:rsidRPr="00AB3B94">
        <w:t xml:space="preserve">allowed under Rule 14.3 of the Commission’s Rules of Practice and Procedure.  </w:t>
      </w:r>
    </w:p>
    <w:p w:rsidR="00C52643" w:rsidP="00BC6EDD" w:rsidRDefault="00C07292" w14:paraId="7D473C41" w14:textId="758F2434">
      <w:pPr>
        <w:pStyle w:val="Standard"/>
      </w:pPr>
      <w:r w:rsidRPr="00AB3B94">
        <w:t>Comments were filed on</w:t>
      </w:r>
      <w:r w:rsidR="00690CD7">
        <w:t xml:space="preserve"> April 27, 2021</w:t>
      </w:r>
      <w:r w:rsidR="00C52643">
        <w:t>,</w:t>
      </w:r>
      <w:r w:rsidR="00690CD7">
        <w:t xml:space="preserve"> by </w:t>
      </w:r>
      <w:r w:rsidR="001C6673">
        <w:t xml:space="preserve">City of Hayward, </w:t>
      </w:r>
      <w:r w:rsidR="00BB3FC0">
        <w:t xml:space="preserve">Town of </w:t>
      </w:r>
      <w:r w:rsidR="007F40F3">
        <w:br/>
      </w:r>
      <w:r w:rsidR="00BB3FC0">
        <w:t xml:space="preserve">Los Altos Hills, California Cable &amp; Telecommunications Association, City of San Jose, City of San Marcos, Los Angeles County, Cal Advocates, </w:t>
      </w:r>
      <w:r w:rsidR="00C55339">
        <w:t>TURN, SCE, City of Anaheim Public Utilities Department and California Municipal Utilities Association, BVES, City of Del Mar, League of California Cities, City of Chula Vista, PG&amp;E, City of Laguna Beach, City of Berkeley</w:t>
      </w:r>
      <w:r w:rsidR="00F05AD9">
        <w:t xml:space="preserve">, SDG&amp;E, </w:t>
      </w:r>
      <w:r w:rsidR="00D21E3B">
        <w:t>Pacific Bell Telephone Company d/b/a AT&amp;T California</w:t>
      </w:r>
      <w:r w:rsidR="00BC6EDD">
        <w:t xml:space="preserve"> and</w:t>
      </w:r>
      <w:r w:rsidR="00D21E3B">
        <w:t xml:space="preserve"> AT&amp;T Mobility</w:t>
      </w:r>
      <w:r w:rsidR="00BC6EDD">
        <w:t>,</w:t>
      </w:r>
      <w:r w:rsidR="00D21E3B">
        <w:t xml:space="preserve"> Citizens Telecommunications</w:t>
      </w:r>
      <w:r w:rsidR="00BC6EDD">
        <w:t xml:space="preserve"> </w:t>
      </w:r>
      <w:r w:rsidR="00D21E3B">
        <w:t>Company of California Inc. d/b/a Frontier Communications of California</w:t>
      </w:r>
      <w:r w:rsidR="00BC6EDD">
        <w:t>,</w:t>
      </w:r>
      <w:r w:rsidR="00D21E3B">
        <w:t xml:space="preserve"> Frontier</w:t>
      </w:r>
      <w:r w:rsidR="00BC6EDD">
        <w:t xml:space="preserve"> </w:t>
      </w:r>
      <w:r w:rsidR="00D21E3B">
        <w:t>Communications of the Southwest Inc.</w:t>
      </w:r>
      <w:r w:rsidR="00BC6EDD">
        <w:t xml:space="preserve"> </w:t>
      </w:r>
      <w:r w:rsidR="00D21E3B">
        <w:t>and Frontier California Inc.</w:t>
      </w:r>
      <w:r w:rsidR="00BC6EDD">
        <w:t>,</w:t>
      </w:r>
      <w:r w:rsidR="004B73EA">
        <w:t xml:space="preserve"> PacifiCorp, and California Association of Counties</w:t>
      </w:r>
      <w:r w:rsidR="00C52643">
        <w:t xml:space="preserve">.  </w:t>
      </w:r>
    </w:p>
    <w:p w:rsidR="00C07292" w:rsidP="00BC6EDD" w:rsidRDefault="00C52643" w14:paraId="43CD0454" w14:textId="6C52BB00">
      <w:pPr>
        <w:pStyle w:val="Standard"/>
      </w:pPr>
      <w:r>
        <w:t>R</w:t>
      </w:r>
      <w:r w:rsidRPr="00AB3B94" w:rsidR="00C07292">
        <w:t xml:space="preserve">eply comments were filed on </w:t>
      </w:r>
      <w:r w:rsidR="00690CD7">
        <w:t>May 3, 2021</w:t>
      </w:r>
      <w:r w:rsidR="00B94FAC">
        <w:t>,</w:t>
      </w:r>
      <w:r w:rsidR="00690CD7">
        <w:t xml:space="preserve"> </w:t>
      </w:r>
      <w:r w:rsidRPr="00AB3B94" w:rsidR="00C07292">
        <w:t>by</w:t>
      </w:r>
      <w:r w:rsidRPr="00E97582" w:rsidR="00E97582">
        <w:t xml:space="preserve"> California State Association of Counties</w:t>
      </w:r>
      <w:r w:rsidR="00E97582">
        <w:t>, California Cable &amp; Telecommunications Association, City of Anaheim Public Utilities Department and California Municipal Utilities Association, SDG&amp;E, SCE, PG&amp;E, PacifiCorp</w:t>
      </w:r>
      <w:r w:rsidR="002F2EE8">
        <w:t xml:space="preserve">, </w:t>
      </w:r>
      <w:r w:rsidR="00824FAF">
        <w:t>Pacific Bell Telephone Company d/b/a AT&amp;T California and AT&amp;T Mobility, Citizens Telecommunications Company of California Inc. d/b/a Frontier Communications of California, Frontier Communications of the Southwest Inc. and Frontier California Inc</w:t>
      </w:r>
      <w:r w:rsidRPr="00AB3B94" w:rsidR="00C07292">
        <w:t>.</w:t>
      </w:r>
    </w:p>
    <w:p w:rsidR="00B94FAC" w:rsidP="00BC6EDD" w:rsidRDefault="00B94FAC" w14:paraId="2BDE92A4" w14:textId="551802F5">
      <w:pPr>
        <w:pStyle w:val="Standard"/>
      </w:pPr>
      <w:r>
        <w:lastRenderedPageBreak/>
        <w:t>C</w:t>
      </w:r>
      <w:r w:rsidRPr="00B94FAC">
        <w:t>larif</w:t>
      </w:r>
      <w:r>
        <w:t>ying</w:t>
      </w:r>
      <w:r w:rsidRPr="00B94FAC">
        <w:t xml:space="preserve"> revisions </w:t>
      </w:r>
      <w:r>
        <w:t xml:space="preserve">have been incorporated throughout this decision </w:t>
      </w:r>
      <w:r w:rsidRPr="00B94FAC">
        <w:t>to address party comments</w:t>
      </w:r>
      <w:r>
        <w:t>, where appropriate</w:t>
      </w:r>
      <w:r w:rsidRPr="00B94FAC">
        <w:t>.</w:t>
      </w:r>
    </w:p>
    <w:p w:rsidRPr="0002351A" w:rsidR="00D55A9C" w:rsidP="006E7198" w:rsidRDefault="00D55A9C" w14:paraId="084ECC1D" w14:textId="77777777">
      <w:pPr>
        <w:pStyle w:val="Heading1"/>
        <w:ind w:hanging="720"/>
      </w:pPr>
      <w:bookmarkStart w:name="_Toc73945846" w:id="23"/>
      <w:r w:rsidRPr="00C07292">
        <w:t>Assignment</w:t>
      </w:r>
      <w:r w:rsidRPr="0002351A">
        <w:t xml:space="preserve"> of Proceeding</w:t>
      </w:r>
      <w:bookmarkEnd w:id="22"/>
      <w:bookmarkEnd w:id="23"/>
    </w:p>
    <w:p w:rsidRPr="0036241F" w:rsidR="00D55A9C" w:rsidP="00D55A9C" w:rsidRDefault="00D55A9C" w14:paraId="51F93712" w14:textId="77777777">
      <w:pPr>
        <w:pStyle w:val="standard0"/>
        <w:rPr>
          <w:rFonts w:ascii="Book Antiqua" w:hAnsi="Book Antiqua"/>
        </w:rPr>
      </w:pPr>
      <w:r>
        <w:rPr>
          <w:rFonts w:ascii="Book Antiqua" w:hAnsi="Book Antiqua"/>
        </w:rPr>
        <w:t>President Marybel Batjer</w:t>
      </w:r>
      <w:r w:rsidRPr="00C12684">
        <w:rPr>
          <w:rFonts w:ascii="Book Antiqua" w:hAnsi="Book Antiqua"/>
        </w:rPr>
        <w:t xml:space="preserve"> is the assigned Commissioner and </w:t>
      </w:r>
      <w:r>
        <w:rPr>
          <w:rFonts w:ascii="Book Antiqua" w:hAnsi="Book Antiqua"/>
        </w:rPr>
        <w:t>Stephanie S. Wang</w:t>
      </w:r>
      <w:r w:rsidRPr="00C12684">
        <w:rPr>
          <w:rFonts w:ascii="Book Antiqua" w:hAnsi="Book Antiqua"/>
        </w:rPr>
        <w:t xml:space="preserve"> is the assigned Administrative Law Judge in this proceeding</w:t>
      </w:r>
      <w:r w:rsidRPr="0036241F">
        <w:rPr>
          <w:rFonts w:ascii="Book Antiqua" w:hAnsi="Book Antiqua"/>
        </w:rPr>
        <w:t>.</w:t>
      </w:r>
    </w:p>
    <w:p w:rsidRPr="00B5654D" w:rsidR="00D55A9C" w:rsidP="001D754F" w:rsidRDefault="00D55A9C" w14:paraId="60C292C4" w14:textId="77777777">
      <w:pPr>
        <w:pStyle w:val="dummy0"/>
      </w:pPr>
      <w:bookmarkStart w:name="_Toc450990219" w:id="24"/>
      <w:bookmarkStart w:name="_Toc451151266" w:id="25"/>
      <w:bookmarkStart w:name="_Toc30488483" w:id="26"/>
      <w:bookmarkStart w:name="_Toc73945847" w:id="27"/>
      <w:r w:rsidRPr="00C07292">
        <w:t>Findings</w:t>
      </w:r>
      <w:r w:rsidRPr="0002351A">
        <w:t xml:space="preserve"> of Fact</w:t>
      </w:r>
      <w:bookmarkEnd w:id="24"/>
      <w:bookmarkEnd w:id="25"/>
      <w:bookmarkEnd w:id="26"/>
      <w:bookmarkEnd w:id="27"/>
      <w:r>
        <w:t xml:space="preserve"> </w:t>
      </w:r>
    </w:p>
    <w:p w:rsidR="00DB5F14" w:rsidP="00DB5F14" w:rsidRDefault="00D55A9C" w14:paraId="743749D1" w14:textId="77777777">
      <w:pPr>
        <w:pStyle w:val="FoF"/>
      </w:pPr>
      <w:bookmarkStart w:name="_Toc370798914" w:id="28"/>
      <w:bookmarkStart w:name="_Toc450990220" w:id="29"/>
      <w:bookmarkStart w:name="_Toc451151267" w:id="30"/>
      <w:bookmarkStart w:name="_Toc30488484" w:id="31"/>
      <w:r w:rsidRPr="002A71E8">
        <w:t>By augmenting the SDG&amp;E Rule 20 program with a surcharge program authorized in 2002, the City of San Diego has undergrounded 429 miles of overhead electrical facilities and 1,238 miles remain as of July 2019.</w:t>
      </w:r>
    </w:p>
    <w:p w:rsidRPr="002A71E8" w:rsidR="00D55A9C" w:rsidP="00DB5F14" w:rsidRDefault="00D55A9C" w14:paraId="4CB1546A" w14:textId="312F0749">
      <w:pPr>
        <w:pStyle w:val="FoF"/>
      </w:pPr>
      <w:r w:rsidRPr="002A71E8">
        <w:t>Since 1967, the Rule 20A program has funded conversion of around 2,500 out 147,000 miles (0.017 percent) of overhead electrical facilities to underground in California.</w:t>
      </w:r>
    </w:p>
    <w:p w:rsidRPr="002A71E8" w:rsidR="00D55A9C" w:rsidP="002A71E8" w:rsidRDefault="00D55A9C" w14:paraId="4A004751" w14:textId="77777777">
      <w:pPr>
        <w:pStyle w:val="FoF"/>
      </w:pPr>
      <w:r w:rsidRPr="002A71E8">
        <w:t>From 1968 to 2015, the Rule 20 undergrounding program spent approximately $3.4 billion.</w:t>
      </w:r>
    </w:p>
    <w:p w:rsidRPr="002A71E8" w:rsidR="00D55A9C" w:rsidP="002A71E8" w:rsidRDefault="00D55A9C" w14:paraId="07BCBBFB" w14:textId="17CA1069">
      <w:pPr>
        <w:pStyle w:val="FoF"/>
      </w:pPr>
      <w:r w:rsidRPr="002A71E8">
        <w:t>As of January 2021, the value of unused and uncommitted Rule 20A work credits, across all electric utility service territories, is over $1.56 billion.</w:t>
      </w:r>
    </w:p>
    <w:p w:rsidRPr="002A71E8" w:rsidR="00D55A9C" w:rsidP="002A71E8" w:rsidRDefault="00D55A9C" w14:paraId="6E843F95" w14:textId="77777777">
      <w:pPr>
        <w:pStyle w:val="FoF"/>
      </w:pPr>
      <w:r w:rsidRPr="002A71E8">
        <w:t>Only a handful of the 503 communities eligible for the Rule 20A program have completed projects worth hundreds of millions of dollars funded by ratepayer contributions. On the other hand, 82 eligible communities have not completed any Rule 20A projects since 2005.</w:t>
      </w:r>
    </w:p>
    <w:p w:rsidRPr="002A71E8" w:rsidR="00D55A9C" w:rsidP="002A71E8" w:rsidRDefault="00D55A9C" w14:paraId="62882832" w14:textId="08880BDD">
      <w:pPr>
        <w:pStyle w:val="FoF"/>
      </w:pPr>
      <w:r w:rsidRPr="002A71E8">
        <w:t xml:space="preserve">As of March 2019, 57 communities have borrowed beyond Rule 20A’s </w:t>
      </w:r>
      <w:r w:rsidR="00EF4B43">
        <w:br/>
      </w:r>
      <w:r w:rsidRPr="002A71E8">
        <w:t xml:space="preserve">five-year forward limit placing them in “work credit debt.” </w:t>
      </w:r>
    </w:p>
    <w:p w:rsidRPr="002A71E8" w:rsidR="00D55A9C" w:rsidP="002A71E8" w:rsidRDefault="00D55A9C" w14:paraId="1C7AE3C1" w14:textId="77777777">
      <w:pPr>
        <w:pStyle w:val="FoF"/>
      </w:pPr>
      <w:r w:rsidRPr="002A71E8">
        <w:t xml:space="preserve">Many communities cannot accrue enough Rule 20A work credits for a single project. Other communities have a higher demand for work credits than the Rule 20A allocation system can satisfy. </w:t>
      </w:r>
    </w:p>
    <w:p w:rsidRPr="002A71E8" w:rsidR="00D55A9C" w:rsidP="002A71E8" w:rsidRDefault="00D55A9C" w14:paraId="31801192" w14:textId="77777777">
      <w:pPr>
        <w:pStyle w:val="FoF"/>
      </w:pPr>
      <w:r w:rsidRPr="002A71E8">
        <w:lastRenderedPageBreak/>
        <w:t>Through an unsanctioned secondary work credit marketplace, some communities sell, trade, or donate their unused Rule 20A work credits to other communities that need them to complete a project.</w:t>
      </w:r>
    </w:p>
    <w:p w:rsidRPr="002A71E8" w:rsidR="00D55A9C" w:rsidP="002A71E8" w:rsidRDefault="00D55A9C" w14:paraId="192ED932" w14:textId="77777777">
      <w:pPr>
        <w:pStyle w:val="FoF"/>
      </w:pPr>
      <w:r w:rsidRPr="002A71E8">
        <w:t>The PG&amp;E Audit Report recommended modifying the Rule 20A Tariff to prevent work credit trading.</w:t>
      </w:r>
    </w:p>
    <w:p w:rsidRPr="002A71E8" w:rsidR="00D55A9C" w:rsidP="002A71E8" w:rsidRDefault="00D55A9C" w14:paraId="354F0DC2" w14:textId="77777777">
      <w:pPr>
        <w:pStyle w:val="FoF"/>
      </w:pPr>
      <w:r w:rsidRPr="002A71E8">
        <w:t>The PG&amp;E Audit Report recommended that the Commission modify the Rule 20A Tariff to limit obligations to contribute to the program to ratepayers in communities that participate in the program.</w:t>
      </w:r>
    </w:p>
    <w:p w:rsidRPr="002A71E8" w:rsidR="00D55A9C" w:rsidP="002A71E8" w:rsidRDefault="00D55A9C" w14:paraId="34CFA6F7" w14:textId="77777777">
      <w:pPr>
        <w:pStyle w:val="FoF"/>
      </w:pPr>
      <w:r w:rsidRPr="002A71E8">
        <w:t xml:space="preserve">For the period of January 1, </w:t>
      </w:r>
      <w:proofErr w:type="gramStart"/>
      <w:r w:rsidRPr="002A71E8">
        <w:t>2007</w:t>
      </w:r>
      <w:proofErr w:type="gramEnd"/>
      <w:r w:rsidRPr="002A71E8">
        <w:t xml:space="preserve"> through December 31, 2016, the PG&amp;E Audit Report found that PG&amp;E underspent $123 million (22 percent) of Rule 20A authorized budgets. </w:t>
      </w:r>
    </w:p>
    <w:p w:rsidRPr="002A71E8" w:rsidR="00D55A9C" w:rsidP="002A71E8" w:rsidRDefault="00D55A9C" w14:paraId="1D452341" w14:textId="77777777">
      <w:pPr>
        <w:pStyle w:val="FoF"/>
      </w:pPr>
      <w:r w:rsidRPr="002A71E8">
        <w:t>The PG&amp;E Audit Report uncovered additional major concerns with PG&amp;E’s administration of the Rule 20A program, including:</w:t>
      </w:r>
    </w:p>
    <w:p w:rsidRPr="00502A53" w:rsidR="00D55A9C" w:rsidP="002A71E8" w:rsidRDefault="00D55A9C" w14:paraId="00664012" w14:textId="77777777">
      <w:pPr>
        <w:pStyle w:val="standard0"/>
        <w:numPr>
          <w:ilvl w:val="1"/>
          <w:numId w:val="20"/>
        </w:numPr>
        <w:spacing w:after="120" w:line="240" w:lineRule="auto"/>
        <w:ind w:right="1440"/>
        <w:rPr>
          <w:rFonts w:ascii="Book Antiqua" w:hAnsi="Book Antiqua"/>
        </w:rPr>
      </w:pPr>
      <w:r w:rsidRPr="00502A53">
        <w:rPr>
          <w:rFonts w:ascii="Book Antiqua" w:hAnsi="Book Antiqua"/>
        </w:rPr>
        <w:t>PG&amp;E reprioritized Rule 20A funds and resources away from the program</w:t>
      </w:r>
      <w:r>
        <w:rPr>
          <w:rFonts w:ascii="Book Antiqua" w:hAnsi="Book Antiqua"/>
        </w:rPr>
        <w:t xml:space="preserve"> without retaining </w:t>
      </w:r>
      <w:r w:rsidRPr="00502A53">
        <w:rPr>
          <w:rFonts w:ascii="Book Antiqua" w:hAnsi="Book Antiqua"/>
        </w:rPr>
        <w:t xml:space="preserve">documentation of where these funds were </w:t>
      </w:r>
      <w:proofErr w:type="gramStart"/>
      <w:r w:rsidRPr="00502A53">
        <w:rPr>
          <w:rFonts w:ascii="Book Antiqua" w:hAnsi="Book Antiqua"/>
        </w:rPr>
        <w:t>spent</w:t>
      </w:r>
      <w:r>
        <w:rPr>
          <w:rFonts w:ascii="Book Antiqua" w:hAnsi="Book Antiqua"/>
        </w:rPr>
        <w:t>;</w:t>
      </w:r>
      <w:proofErr w:type="gramEnd"/>
    </w:p>
    <w:p w:rsidRPr="00502A53" w:rsidR="00D55A9C" w:rsidP="002A71E8" w:rsidRDefault="00D55A9C" w14:paraId="6DB4A2A4" w14:textId="5AD03D9F">
      <w:pPr>
        <w:pStyle w:val="standard0"/>
        <w:numPr>
          <w:ilvl w:val="1"/>
          <w:numId w:val="20"/>
        </w:numPr>
        <w:spacing w:after="120" w:line="240" w:lineRule="auto"/>
        <w:ind w:right="1440"/>
        <w:rPr>
          <w:rFonts w:ascii="Book Antiqua" w:hAnsi="Book Antiqua"/>
        </w:rPr>
      </w:pPr>
      <w:r w:rsidRPr="00502A53">
        <w:rPr>
          <w:rFonts w:ascii="Book Antiqua" w:hAnsi="Book Antiqua"/>
        </w:rPr>
        <w:t xml:space="preserve">The final costs of Rule 20A projects completed during the audit period exceeded initial estimates by </w:t>
      </w:r>
      <w:r w:rsidR="00D90696">
        <w:rPr>
          <w:rFonts w:ascii="Book Antiqua" w:hAnsi="Book Antiqua"/>
        </w:rPr>
        <w:br/>
      </w:r>
      <w:r w:rsidRPr="00502A53">
        <w:rPr>
          <w:rFonts w:ascii="Book Antiqua" w:hAnsi="Book Antiqua"/>
        </w:rPr>
        <w:t>35</w:t>
      </w:r>
      <w:r>
        <w:rPr>
          <w:rFonts w:ascii="Book Antiqua" w:hAnsi="Book Antiqua"/>
        </w:rPr>
        <w:t xml:space="preserve"> </w:t>
      </w:r>
      <w:proofErr w:type="gramStart"/>
      <w:r>
        <w:rPr>
          <w:rFonts w:ascii="Book Antiqua" w:hAnsi="Book Antiqua"/>
        </w:rPr>
        <w:t>percent;</w:t>
      </w:r>
      <w:proofErr w:type="gramEnd"/>
    </w:p>
    <w:p w:rsidRPr="00502A53" w:rsidR="00D55A9C" w:rsidP="002A71E8" w:rsidRDefault="00D55A9C" w14:paraId="45D05EF2" w14:textId="77777777">
      <w:pPr>
        <w:pStyle w:val="standard0"/>
        <w:numPr>
          <w:ilvl w:val="1"/>
          <w:numId w:val="20"/>
        </w:numPr>
        <w:spacing w:after="120" w:line="240" w:lineRule="auto"/>
        <w:ind w:right="1440"/>
        <w:rPr>
          <w:rFonts w:ascii="Book Antiqua" w:hAnsi="Book Antiqua"/>
        </w:rPr>
      </w:pPr>
      <w:r w:rsidRPr="00502A53">
        <w:rPr>
          <w:rFonts w:ascii="Book Antiqua" w:hAnsi="Book Antiqua"/>
        </w:rPr>
        <w:t xml:space="preserve">PG&amp;E’s underspending on the program resulted in project delays which increased project </w:t>
      </w:r>
      <w:proofErr w:type="gramStart"/>
      <w:r w:rsidRPr="00502A53">
        <w:rPr>
          <w:rFonts w:ascii="Book Antiqua" w:hAnsi="Book Antiqua"/>
        </w:rPr>
        <w:t>costs</w:t>
      </w:r>
      <w:r>
        <w:rPr>
          <w:rFonts w:ascii="Book Antiqua" w:hAnsi="Book Antiqua"/>
        </w:rPr>
        <w:t>;</w:t>
      </w:r>
      <w:proofErr w:type="gramEnd"/>
    </w:p>
    <w:p w:rsidRPr="00502A53" w:rsidR="00D55A9C" w:rsidP="002A71E8" w:rsidRDefault="00D55A9C" w14:paraId="65D74B65" w14:textId="77777777">
      <w:pPr>
        <w:pStyle w:val="standard0"/>
        <w:numPr>
          <w:ilvl w:val="1"/>
          <w:numId w:val="20"/>
        </w:numPr>
        <w:spacing w:after="120" w:line="240" w:lineRule="auto"/>
        <w:ind w:right="1440"/>
        <w:rPr>
          <w:rFonts w:ascii="Book Antiqua" w:hAnsi="Book Antiqua"/>
        </w:rPr>
      </w:pPr>
      <w:r w:rsidRPr="00502A53">
        <w:rPr>
          <w:rFonts w:ascii="Book Antiqua" w:hAnsi="Book Antiqua"/>
        </w:rPr>
        <w:t xml:space="preserve">PG&amp;E systematically underspent on the program compared with its forecasts over nearly the entire audit </w:t>
      </w:r>
      <w:proofErr w:type="gramStart"/>
      <w:r w:rsidRPr="00502A53">
        <w:rPr>
          <w:rFonts w:ascii="Book Antiqua" w:hAnsi="Book Antiqua"/>
        </w:rPr>
        <w:t>period</w:t>
      </w:r>
      <w:r>
        <w:rPr>
          <w:rFonts w:ascii="Book Antiqua" w:hAnsi="Book Antiqua"/>
        </w:rPr>
        <w:t>;</w:t>
      </w:r>
      <w:proofErr w:type="gramEnd"/>
    </w:p>
    <w:p w:rsidRPr="00502A53" w:rsidR="00D55A9C" w:rsidP="002A71E8" w:rsidRDefault="00D55A9C" w14:paraId="0F744799" w14:textId="77777777">
      <w:pPr>
        <w:pStyle w:val="standard0"/>
        <w:numPr>
          <w:ilvl w:val="1"/>
          <w:numId w:val="20"/>
        </w:numPr>
        <w:spacing w:after="120" w:line="240" w:lineRule="auto"/>
        <w:ind w:right="1440"/>
        <w:rPr>
          <w:rFonts w:ascii="Book Antiqua" w:hAnsi="Book Antiqua"/>
        </w:rPr>
      </w:pPr>
      <w:r w:rsidRPr="00502A53">
        <w:rPr>
          <w:rFonts w:ascii="Book Antiqua" w:hAnsi="Book Antiqua"/>
        </w:rPr>
        <w:t xml:space="preserve">Based on a benchmarking study, PG&amp;E’s undergrounding costs per mile were higher than the industry maximum for suburban and rural </w:t>
      </w:r>
      <w:proofErr w:type="gramStart"/>
      <w:r w:rsidRPr="00502A53">
        <w:rPr>
          <w:rFonts w:ascii="Book Antiqua" w:hAnsi="Book Antiqua"/>
        </w:rPr>
        <w:t>areas</w:t>
      </w:r>
      <w:r>
        <w:rPr>
          <w:rFonts w:ascii="Book Antiqua" w:hAnsi="Book Antiqua"/>
        </w:rPr>
        <w:t>;</w:t>
      </w:r>
      <w:proofErr w:type="gramEnd"/>
    </w:p>
    <w:p w:rsidRPr="00502A53" w:rsidR="00D55A9C" w:rsidP="003670D0" w:rsidRDefault="00D55A9C" w14:paraId="7AEB6D41" w14:textId="77777777">
      <w:pPr>
        <w:pStyle w:val="standard0"/>
        <w:keepNext/>
        <w:keepLines/>
        <w:numPr>
          <w:ilvl w:val="1"/>
          <w:numId w:val="20"/>
        </w:numPr>
        <w:spacing w:after="120" w:line="240" w:lineRule="auto"/>
        <w:ind w:right="1440"/>
        <w:rPr>
          <w:rFonts w:ascii="Book Antiqua" w:hAnsi="Book Antiqua"/>
        </w:rPr>
      </w:pPr>
      <w:r w:rsidRPr="00502A53">
        <w:rPr>
          <w:rFonts w:ascii="Book Antiqua" w:hAnsi="Book Antiqua"/>
        </w:rPr>
        <w:lastRenderedPageBreak/>
        <w:t>Since the start of PG&amp;E’s implementation of purported improvements to the program, the average number of Rule 20A projects PG&amp;E completed has declined and underspending has increased</w:t>
      </w:r>
      <w:r>
        <w:rPr>
          <w:rFonts w:ascii="Book Antiqua" w:hAnsi="Book Antiqua"/>
        </w:rPr>
        <w:t>; and</w:t>
      </w:r>
    </w:p>
    <w:p w:rsidRPr="00502A53" w:rsidR="00D55A9C" w:rsidP="002A71E8" w:rsidRDefault="00D55A9C" w14:paraId="34CB4B0E" w14:textId="77777777">
      <w:pPr>
        <w:pStyle w:val="standard0"/>
        <w:numPr>
          <w:ilvl w:val="1"/>
          <w:numId w:val="20"/>
        </w:numPr>
        <w:spacing w:after="120" w:line="240" w:lineRule="auto"/>
        <w:ind w:right="1440"/>
        <w:rPr>
          <w:rFonts w:ascii="Book Antiqua" w:hAnsi="Book Antiqua"/>
        </w:rPr>
      </w:pPr>
      <w:r w:rsidRPr="00502A53">
        <w:rPr>
          <w:rFonts w:ascii="Book Antiqua" w:hAnsi="Book Antiqua"/>
        </w:rPr>
        <w:t>PG&amp;E lacks appropriate documentation and records maintenance protocols to enable the Commission to ensure that Rule 20A authorized funds will be used appropriately going forward.</w:t>
      </w:r>
    </w:p>
    <w:p w:rsidR="00DB5F14" w:rsidP="00DB5F14" w:rsidRDefault="00D55A9C" w14:paraId="6B18169F" w14:textId="77777777">
      <w:pPr>
        <w:pStyle w:val="FoF"/>
      </w:pPr>
      <w:r w:rsidRPr="00502A53">
        <w:t>The PG&amp;E Audit Report shows that PG&amp;E did not prudently manage its Rule 20A program</w:t>
      </w:r>
      <w:r>
        <w:t>;</w:t>
      </w:r>
      <w:r w:rsidRPr="00502A53">
        <w:t xml:space="preserve"> PG&amp;E’s systematic underspending on the Rule 20A program has resulted in higher project costs, and PG&amp;E’s poor documentation and workpaper retention processes for Rule 20A raise “fraud risk factors”.</w:t>
      </w:r>
    </w:p>
    <w:p w:rsidR="00D55A9C" w:rsidP="00DB5F14" w:rsidRDefault="00D55A9C" w14:paraId="2259D2E2" w14:textId="618CA162">
      <w:pPr>
        <w:pStyle w:val="FoF"/>
      </w:pPr>
      <w:r w:rsidRPr="00502A53">
        <w:t>The PG&amp;E Audit Report included 50 recommendations for improving PG&amp;E’s management of the program and enhancing the Commission’s oversight of the program.</w:t>
      </w:r>
    </w:p>
    <w:p w:rsidR="00F24F28" w:rsidP="002A71E8" w:rsidRDefault="00F24F28" w14:paraId="602A01FE" w14:textId="1419DA69">
      <w:pPr>
        <w:pStyle w:val="FoF"/>
      </w:pPr>
      <w:r>
        <w:t>BVES does not have an operational Rule 20 program and does not have any Rule 20 funding authorized by the Commission.</w:t>
      </w:r>
    </w:p>
    <w:p w:rsidR="001E791B" w:rsidP="002A71E8" w:rsidRDefault="001E791B" w14:paraId="2309115F" w14:textId="20B9ED1C">
      <w:pPr>
        <w:pStyle w:val="FoF"/>
      </w:pPr>
      <w:r>
        <w:t xml:space="preserve">Because significant issues remain for Phase 2, this proceeding cannot be completed by the current statutory deadline, August 10, 2021.  </w:t>
      </w:r>
    </w:p>
    <w:p w:rsidRPr="0002351A" w:rsidR="00D55A9C" w:rsidP="001D754F" w:rsidRDefault="00D55A9C" w14:paraId="6AFBD9C7" w14:textId="77777777">
      <w:pPr>
        <w:pStyle w:val="dummy0"/>
      </w:pPr>
      <w:bookmarkStart w:name="_Toc73945848" w:id="32"/>
      <w:r w:rsidRPr="00C07292">
        <w:t>Conclusions</w:t>
      </w:r>
      <w:r w:rsidRPr="0002351A">
        <w:t xml:space="preserve"> of Law</w:t>
      </w:r>
      <w:bookmarkEnd w:id="28"/>
      <w:bookmarkEnd w:id="29"/>
      <w:bookmarkEnd w:id="30"/>
      <w:bookmarkEnd w:id="31"/>
      <w:bookmarkEnd w:id="32"/>
    </w:p>
    <w:p w:rsidRPr="008B4629" w:rsidR="00D55A9C" w:rsidP="008B4629" w:rsidRDefault="00D55A9C" w14:paraId="5ADE918A" w14:textId="77777777">
      <w:pPr>
        <w:pStyle w:val="FoF"/>
        <w:numPr>
          <w:ilvl w:val="0"/>
          <w:numId w:val="35"/>
        </w:numPr>
        <w:rPr>
          <w:rFonts w:eastAsia="Book Antiqua" w:cs="Book Antiqua"/>
          <w:szCs w:val="26"/>
        </w:rPr>
      </w:pPr>
      <w:bookmarkStart w:name="_Toc370798915" w:id="33"/>
      <w:bookmarkStart w:name="_Toc450990221" w:id="34"/>
      <w:bookmarkStart w:name="_Toc451151268" w:id="35"/>
      <w:bookmarkStart w:name="_Toc30488485" w:id="36"/>
      <w:bookmarkStart w:name="OLE_LINK1" w:id="37"/>
      <w:bookmarkStart w:name="OLE_LINK2" w:id="38"/>
      <w:r>
        <w:t xml:space="preserve">Each electric utility should modify the project eligibility criteria in its Rule 20A Tariff to provide as follows: “(iii) Wheelchair access is limited or impeded in a manner that is not compliant with the Americans with Disabilities Act; (iv) </w:t>
      </w:r>
      <w:r w:rsidRPr="00502A53">
        <w:t xml:space="preserve">The street or road or right-of-way adjoins or passes through a civic area or public recreation area or an area of </w:t>
      </w:r>
      <w:r>
        <w:t xml:space="preserve">significant scenic, cultural, and/or historic </w:t>
      </w:r>
      <w:r w:rsidRPr="00502A53">
        <w:t xml:space="preserve">interest to the general public; </w:t>
      </w:r>
      <w:r>
        <w:t xml:space="preserve">or (v) </w:t>
      </w:r>
      <w:r w:rsidRPr="00E9449B">
        <w:t>The street or road or right-of way is considered an arterial street or major collector as defined by the California Department of Transportation’s California Road System functional classification system.</w:t>
      </w:r>
      <w:r>
        <w:t>”</w:t>
      </w:r>
      <w:r w:rsidRPr="00E9449B">
        <w:t xml:space="preserve"> </w:t>
      </w:r>
    </w:p>
    <w:p w:rsidRPr="00E9449B" w:rsidR="00D55A9C" w:rsidP="008B4629" w:rsidRDefault="00D55A9C" w14:paraId="27824ADA" w14:textId="61BC6095">
      <w:pPr>
        <w:pStyle w:val="FoF"/>
        <w:rPr>
          <w:rFonts w:eastAsia="Book Antiqua" w:cs="Book Antiqua"/>
          <w:szCs w:val="26"/>
        </w:rPr>
      </w:pPr>
      <w:r>
        <w:lastRenderedPageBreak/>
        <w:t>The Commission should not sunset the Rule 20A program or modify the Rule 20B or Rule 20C programs at this time.</w:t>
      </w:r>
    </w:p>
    <w:p w:rsidR="00394C6A" w:rsidP="00394C6A" w:rsidRDefault="00D55A9C" w14:paraId="121B0784" w14:textId="77777777">
      <w:pPr>
        <w:pStyle w:val="FoF"/>
        <w:rPr>
          <w:rFonts w:eastAsia="Book Antiqua" w:cs="Book Antiqua"/>
          <w:szCs w:val="26"/>
        </w:rPr>
      </w:pPr>
      <w:r>
        <w:t xml:space="preserve">The Commission should discontinue authorization of new Rule 20A work credits for allocation after December 31, 2022. </w:t>
      </w:r>
    </w:p>
    <w:p w:rsidRPr="008254C4" w:rsidR="00B94FAC" w:rsidP="008B4629" w:rsidRDefault="00D55A9C" w14:paraId="60DBFB61" w14:textId="77777777">
      <w:pPr>
        <w:pStyle w:val="FoF"/>
        <w:rPr>
          <w:rFonts w:eastAsia="Book Antiqua" w:cs="Book Antiqua"/>
          <w:szCs w:val="26"/>
        </w:rPr>
      </w:pPr>
      <w:r>
        <w:t>Electric utilities should not allocate new Rule 20A work credits after December 31, 2022.</w:t>
      </w:r>
      <w:r w:rsidR="0065148B">
        <w:t xml:space="preserve"> </w:t>
      </w:r>
      <w:r w:rsidR="004F4D1C">
        <w:t xml:space="preserve"> </w:t>
      </w:r>
    </w:p>
    <w:p w:rsidRPr="00394C6A" w:rsidR="00394C6A" w:rsidP="008B4629" w:rsidRDefault="00092961" w14:paraId="0235F8E4" w14:textId="15365809">
      <w:pPr>
        <w:pStyle w:val="FoF"/>
        <w:rPr>
          <w:rFonts w:eastAsia="Book Antiqua" w:cs="Book Antiqua"/>
          <w:szCs w:val="26"/>
        </w:rPr>
      </w:pPr>
      <w:r>
        <w:t xml:space="preserve">It </w:t>
      </w:r>
      <w:r w:rsidR="0065148B">
        <w:t xml:space="preserve">is reasonable to direct electric utilities to </w:t>
      </w:r>
      <w:r w:rsidR="007E661F">
        <w:t>report on the active or inactive status of each community</w:t>
      </w:r>
      <w:r w:rsidR="00BC3F2D">
        <w:t xml:space="preserve"> (in accordance with</w:t>
      </w:r>
      <w:r w:rsidRPr="00BC3F2D" w:rsidR="00BC3F2D">
        <w:t xml:space="preserve"> </w:t>
      </w:r>
      <w:r w:rsidR="00BC3F2D">
        <w:t>Resolution E-4971)</w:t>
      </w:r>
      <w:r w:rsidR="007E661F">
        <w:t xml:space="preserve"> and provide an accounting of unused work credits </w:t>
      </w:r>
      <w:r w:rsidR="00370118">
        <w:t xml:space="preserve">of inactive communities </w:t>
      </w:r>
      <w:r w:rsidR="007E661F">
        <w:t xml:space="preserve">and communities in need of work credits or funding to complete active </w:t>
      </w:r>
      <w:r w:rsidR="00012143">
        <w:t xml:space="preserve">Rule 20A </w:t>
      </w:r>
      <w:r w:rsidR="00B41CC1">
        <w:t>projects.</w:t>
      </w:r>
    </w:p>
    <w:p w:rsidR="00C37D36" w:rsidP="008B4629" w:rsidRDefault="00D55A9C" w14:paraId="46DD3291" w14:textId="56B53EC5">
      <w:pPr>
        <w:pStyle w:val="FoF"/>
        <w:rPr>
          <w:rFonts w:eastAsia="Book Antiqua" w:cs="Book Antiqua"/>
          <w:szCs w:val="26"/>
        </w:rPr>
      </w:pPr>
      <w:r>
        <w:t>The Commission should not establish a wind down period</w:t>
      </w:r>
      <w:r w:rsidR="00640CB4">
        <w:t xml:space="preserve"> or deadline</w:t>
      </w:r>
      <w:r>
        <w:t xml:space="preserve"> for the use of Rule 20A work credits at this time.</w:t>
      </w:r>
      <w:r w:rsidR="00492AF1">
        <w:t xml:space="preserve"> </w:t>
      </w:r>
    </w:p>
    <w:p w:rsidRPr="00AB7ACF" w:rsidR="00D55A9C" w:rsidP="008B4629" w:rsidRDefault="00D55A9C" w14:paraId="480764BB" w14:textId="7BD2E101">
      <w:pPr>
        <w:pStyle w:val="FoF"/>
        <w:rPr>
          <w:rFonts w:eastAsia="Book Antiqua" w:cs="Book Antiqua"/>
          <w:szCs w:val="26"/>
        </w:rPr>
      </w:pPr>
      <w:r>
        <w:t xml:space="preserve">The Commission should clarify that the </w:t>
      </w:r>
      <w:r w:rsidRPr="7DCF3CD3">
        <w:t xml:space="preserve">unregulated practice of work credit trading in secondary markets is banned effective immediately, including the practice of donating or bartering work credits.  </w:t>
      </w:r>
      <w:r w:rsidR="00552E6E">
        <w:t xml:space="preserve">Electric utilities should not facilitate unauthorized trades of work credits between communities executed after the effective date of this decision.  </w:t>
      </w:r>
      <w:r>
        <w:t xml:space="preserve">The Commission should provide exceptions for </w:t>
      </w:r>
      <w:r w:rsidRPr="6830C53D">
        <w:rPr>
          <w:rFonts w:eastAsia="Book Antiqua" w:cs="Book Antiqua"/>
          <w:color w:val="000000" w:themeColor="text1"/>
        </w:rPr>
        <w:t xml:space="preserve">intra-county donations of work credits from a county government to cities and towns within the county </w:t>
      </w:r>
      <w:r w:rsidR="00D05BB3">
        <w:rPr>
          <w:rFonts w:eastAsia="Book Antiqua" w:cs="Book Antiqua"/>
          <w:color w:val="000000" w:themeColor="text1"/>
        </w:rPr>
        <w:t>or from a city or town to its county government,</w:t>
      </w:r>
      <w:r w:rsidRPr="6830C53D" w:rsidR="00D05BB3">
        <w:rPr>
          <w:rFonts w:eastAsia="Book Antiqua" w:cs="Book Antiqua"/>
          <w:color w:val="000000" w:themeColor="text1"/>
        </w:rPr>
        <w:t xml:space="preserve"> </w:t>
      </w:r>
      <w:r w:rsidRPr="6830C53D">
        <w:rPr>
          <w:rFonts w:eastAsia="Book Antiqua" w:cs="Book Antiqua"/>
          <w:color w:val="000000" w:themeColor="text1"/>
        </w:rPr>
        <w:t>and to allow credit pooling amongst two or more adjoining municipalities for a project with community benefit for the adjoining municipalities.</w:t>
      </w:r>
      <w:r>
        <w:t xml:space="preserve">  </w:t>
      </w:r>
    </w:p>
    <w:p w:rsidRPr="003A027C" w:rsidR="00D55A9C" w:rsidP="008B4629" w:rsidRDefault="00D55A9C" w14:paraId="5EB02C47" w14:textId="16EAB10A">
      <w:pPr>
        <w:pStyle w:val="FoF"/>
        <w:rPr>
          <w:rFonts w:eastAsia="Book Antiqua" w:cs="Book Antiqua"/>
          <w:szCs w:val="26"/>
        </w:rPr>
      </w:pPr>
      <w:r>
        <w:t xml:space="preserve">The Commission should direct each electric utility to clarify in its Rule 20A Tariffs that (i) unauthorized work credit trading is not permitted, except for </w:t>
      </w:r>
      <w:r w:rsidRPr="6830C53D">
        <w:rPr>
          <w:rFonts w:eastAsia="Book Antiqua" w:cs="Book Antiqua"/>
          <w:color w:val="000000" w:themeColor="text1"/>
        </w:rPr>
        <w:t>intra-county donations of work credits from a county government to cities and towns within the county</w:t>
      </w:r>
      <w:r w:rsidR="00640CB4">
        <w:rPr>
          <w:rFonts w:eastAsia="Book Antiqua" w:cs="Book Antiqua"/>
          <w:color w:val="000000" w:themeColor="text1"/>
        </w:rPr>
        <w:t xml:space="preserve"> or from a city or town to its county government</w:t>
      </w:r>
      <w:r w:rsidRPr="6830C53D">
        <w:rPr>
          <w:rFonts w:eastAsia="Book Antiqua" w:cs="Book Antiqua"/>
          <w:color w:val="000000" w:themeColor="text1"/>
        </w:rPr>
        <w:t xml:space="preserve">, and </w:t>
      </w:r>
      <w:r w:rsidRPr="6830C53D">
        <w:rPr>
          <w:rFonts w:eastAsia="Book Antiqua" w:cs="Book Antiqua"/>
          <w:color w:val="000000" w:themeColor="text1"/>
        </w:rPr>
        <w:lastRenderedPageBreak/>
        <w:t>pooling of work credits amongst two or more adjoining municipalities for a project with community benefit for the adjoining municipalities,</w:t>
      </w:r>
      <w:r>
        <w:t xml:space="preserve"> and (ii) the utility does not have the discretion to allow communities to borrow work credits from future allocations beyond any 2022 allocation.</w:t>
      </w:r>
      <w:r w:rsidR="00D05BB3">
        <w:t xml:space="preserve"> </w:t>
      </w:r>
    </w:p>
    <w:p w:rsidRPr="0061296E" w:rsidR="00B94FAC" w:rsidP="008B4629" w:rsidRDefault="00D55A9C" w14:paraId="5CB3DE81" w14:textId="2AFF9D53">
      <w:pPr>
        <w:pStyle w:val="FoF"/>
        <w:rPr>
          <w:rFonts w:eastAsia="Book Antiqua" w:cs="Book Antiqua"/>
        </w:rPr>
      </w:pPr>
      <w:r>
        <w:t xml:space="preserve">PG&amp;E, SCE and SDG&amp;E should </w:t>
      </w:r>
      <w:r w:rsidR="0088780F">
        <w:t xml:space="preserve">jointly </w:t>
      </w:r>
      <w:r>
        <w:t xml:space="preserve">draft </w:t>
      </w:r>
      <w:r w:rsidR="0088780F">
        <w:t xml:space="preserve">consistent </w:t>
      </w:r>
      <w:r>
        <w:t>Rule 20 Guidebook</w:t>
      </w:r>
      <w:r w:rsidR="0088780F">
        <w:t>s</w:t>
      </w:r>
      <w:r>
        <w:t xml:space="preserve">. </w:t>
      </w:r>
    </w:p>
    <w:p w:rsidRPr="0061296E" w:rsidR="008213FE" w:rsidP="008B4629" w:rsidRDefault="0088780F" w14:paraId="0F812436" w14:textId="77777777">
      <w:pPr>
        <w:pStyle w:val="FoF"/>
        <w:rPr>
          <w:rFonts w:eastAsia="Book Antiqua" w:cs="Book Antiqua"/>
        </w:rPr>
      </w:pPr>
      <w:r>
        <w:t xml:space="preserve">The program guidebooks of each utility may diverge on details of certain procedures but should be consistent regarding major rules. </w:t>
      </w:r>
    </w:p>
    <w:p w:rsidRPr="0061296E" w:rsidR="008213FE" w:rsidP="008B4629" w:rsidRDefault="00D55A9C" w14:paraId="67B96D63" w14:textId="4CAEFBAB">
      <w:pPr>
        <w:pStyle w:val="FoF"/>
        <w:rPr>
          <w:rFonts w:eastAsia="Book Antiqua" w:cs="Book Antiqua"/>
        </w:rPr>
      </w:pPr>
      <w:r>
        <w:t>PG&amp;E, SCE and SDG&amp;E should meet and confer with the following utilities and stakeholders and incorporate their input into the guidebook: Liberty,</w:t>
      </w:r>
      <w:r w:rsidRPr="00974F07">
        <w:t xml:space="preserve"> PacifiCorp</w:t>
      </w:r>
      <w:r>
        <w:t xml:space="preserve">, the League of California Cities, the California State Association of Counties, local governments, and representatives of rural communities such as Rural County Representatives of California, and communications carriers. </w:t>
      </w:r>
      <w:r w:rsidR="00D90696">
        <w:t xml:space="preserve"> </w:t>
      </w:r>
    </w:p>
    <w:p w:rsidRPr="0061296E" w:rsidR="008213FE" w:rsidP="008B4629" w:rsidRDefault="00D55A9C" w14:paraId="3EF25712" w14:textId="77777777">
      <w:pPr>
        <w:pStyle w:val="FoF"/>
        <w:rPr>
          <w:rFonts w:eastAsia="Book Antiqua" w:cs="Book Antiqua"/>
        </w:rPr>
      </w:pPr>
      <w:r>
        <w:t xml:space="preserve">The guidebook should detail costs and responsibilities of each party at each stage of projects on an average project timeline per subprogram.  </w:t>
      </w:r>
    </w:p>
    <w:p w:rsidRPr="0061296E" w:rsidR="00B94FAC" w:rsidP="008B4629" w:rsidRDefault="00D55A9C" w14:paraId="3F349582" w14:textId="4FA66EB8">
      <w:pPr>
        <w:pStyle w:val="FoF"/>
        <w:rPr>
          <w:rFonts w:eastAsia="Book Antiqua" w:cs="Book Antiqua"/>
        </w:rPr>
      </w:pPr>
      <w:r>
        <w:t>The guidebook should also provide clear IOU contacts for projects pertinent to each subprogram, a timeline to anticipate annual reports, and links to the Rule 20 program webpages of the Commission and the IOUs.</w:t>
      </w:r>
      <w:r w:rsidR="00D90696">
        <w:t xml:space="preserve"> </w:t>
      </w:r>
      <w:r>
        <w:t xml:space="preserve"> </w:t>
      </w:r>
    </w:p>
    <w:p w:rsidRPr="0061296E" w:rsidR="008213FE" w:rsidP="008213FE" w:rsidRDefault="00D55A9C" w14:paraId="10255A93" w14:textId="55AEAFBD">
      <w:pPr>
        <w:pStyle w:val="FoF"/>
        <w:rPr>
          <w:rFonts w:eastAsia="Book Antiqua" w:cs="Book Antiqua"/>
        </w:rPr>
      </w:pPr>
      <w:r>
        <w:t xml:space="preserve">Within </w:t>
      </w:r>
      <w:r w:rsidR="001A7EBF">
        <w:t xml:space="preserve">120 </w:t>
      </w:r>
      <w:r>
        <w:t>days of the effective date of this decision, PG&amp;E</w:t>
      </w:r>
      <w:r w:rsidR="0088780F">
        <w:t>, SCE and SDG&amp;E</w:t>
      </w:r>
      <w:r>
        <w:t xml:space="preserve"> should </w:t>
      </w:r>
      <w:r w:rsidR="0088780F">
        <w:t xml:space="preserve">each </w:t>
      </w:r>
      <w:r>
        <w:t>file and serve on th</w:t>
      </w:r>
      <w:r w:rsidR="00FA1792">
        <w:t>e</w:t>
      </w:r>
      <w:r>
        <w:t xml:space="preserve"> service list</w:t>
      </w:r>
      <w:r w:rsidR="00FA1792">
        <w:t xml:space="preserve"> of this proceeding</w:t>
      </w:r>
      <w:r>
        <w:t xml:space="preserve"> a Tier 2 advice letter to update the Rule 20 Guidebook on behalf of PG&amp;E, SCE, and SDG&amp;E.  </w:t>
      </w:r>
    </w:p>
    <w:p w:rsidRPr="0061296E" w:rsidR="008213FE" w:rsidP="008213FE" w:rsidRDefault="00D55A9C" w14:paraId="03451B66" w14:textId="66E2C18C">
      <w:pPr>
        <w:pStyle w:val="FoF"/>
        <w:rPr>
          <w:rFonts w:eastAsia="Book Antiqua" w:cs="Book Antiqua"/>
        </w:rPr>
      </w:pPr>
      <w:r>
        <w:t xml:space="preserve">Within 90 days of </w:t>
      </w:r>
      <w:r w:rsidR="0088780F">
        <w:t>the date that the first</w:t>
      </w:r>
      <w:r>
        <w:t xml:space="preserve"> Rule 20 Guidebook</w:t>
      </w:r>
      <w:r w:rsidR="0088780F">
        <w:t xml:space="preserve"> is approved in accordance with this decision</w:t>
      </w:r>
      <w:r>
        <w:t xml:space="preserve">, Liberty and PacifiCorp should each file and serve an updated guidebook for its Rule 20 programs based on the approved Rule 20 </w:t>
      </w:r>
      <w:r>
        <w:lastRenderedPageBreak/>
        <w:t>Guidebook</w:t>
      </w:r>
      <w:r w:rsidR="0088780F">
        <w:t>s</w:t>
      </w:r>
      <w:r>
        <w:t xml:space="preserve"> for PG&amp;E, SCE, and SDG&amp;E.</w:t>
      </w:r>
      <w:r w:rsidR="000E164E">
        <w:t xml:space="preserve"> </w:t>
      </w:r>
      <w:r w:rsidR="003D7CA1">
        <w:t xml:space="preserve"> </w:t>
      </w:r>
      <w:r w:rsidR="000E164E">
        <w:t>Electric utilities should post their updated Rule 20 Guidebooks to their Rule 20 websites.</w:t>
      </w:r>
      <w:r w:rsidR="00364EAC">
        <w:t xml:space="preserve">  </w:t>
      </w:r>
    </w:p>
    <w:p w:rsidRPr="008213FE" w:rsidR="00D55A9C" w:rsidRDefault="00364EAC" w14:paraId="279F9189" w14:textId="04106025">
      <w:pPr>
        <w:pStyle w:val="FoF"/>
        <w:rPr>
          <w:rFonts w:eastAsia="Book Antiqua" w:cs="Book Antiqua"/>
        </w:rPr>
      </w:pPr>
      <w:r>
        <w:t>PG&amp;E, SCE and/or SDG&amp;E may hire a third-party facilitator to assist with the joint development of the Rule 20 Guidebooks</w:t>
      </w:r>
      <w:r w:rsidR="00EA3BF4">
        <w:t xml:space="preserve"> and absorb the costs of the third-party facilitator through their existing Rule 20 budgets</w:t>
      </w:r>
      <w:r w:rsidR="00F338A3">
        <w:t>.</w:t>
      </w:r>
    </w:p>
    <w:p w:rsidRPr="00E421B0" w:rsidR="00D55A9C" w:rsidP="008B4629" w:rsidRDefault="00D55A9C" w14:paraId="2F9F0445" w14:textId="00044C7C">
      <w:pPr>
        <w:pStyle w:val="FoF"/>
        <w:rPr>
          <w:rFonts w:eastAsia="Book Antiqua" w:cs="Book Antiqua"/>
          <w:szCs w:val="26"/>
        </w:rPr>
      </w:pPr>
      <w:r>
        <w:t xml:space="preserve">Each utility should file a Tier 1 advice letter to establish and/or modify an existing Rule 20 one-way balancing account, with subaccounts for each of its Rule 20 sub-programs, within 30 days of this decision. </w:t>
      </w:r>
      <w:r w:rsidR="00D90696">
        <w:t xml:space="preserve"> </w:t>
      </w:r>
      <w:r w:rsidRPr="00F24F95">
        <w:rPr>
          <w:szCs w:val="26"/>
        </w:rPr>
        <w:t xml:space="preserve">Each account </w:t>
      </w:r>
      <w:r>
        <w:rPr>
          <w:szCs w:val="26"/>
        </w:rPr>
        <w:t>should</w:t>
      </w:r>
      <w:r w:rsidRPr="00F24F95">
        <w:rPr>
          <w:szCs w:val="26"/>
        </w:rPr>
        <w:t xml:space="preserve"> track</w:t>
      </w:r>
      <w:r>
        <w:rPr>
          <w:szCs w:val="26"/>
        </w:rPr>
        <w:t xml:space="preserve"> all costs to be included in the Rule 20 Annual Report, in addition to any figures typically tracked in a balancing account</w:t>
      </w:r>
      <w:r w:rsidRPr="00F24F95">
        <w:rPr>
          <w:szCs w:val="26"/>
        </w:rPr>
        <w:t>.</w:t>
      </w:r>
    </w:p>
    <w:p w:rsidRPr="001B670F" w:rsidR="00D55A9C" w:rsidP="008B4629" w:rsidRDefault="00D55A9C" w14:paraId="02739A32" w14:textId="77777777">
      <w:pPr>
        <w:pStyle w:val="FoF"/>
        <w:rPr>
          <w:rFonts w:eastAsia="Book Antiqua" w:cs="Book Antiqua"/>
          <w:szCs w:val="26"/>
        </w:rPr>
      </w:pPr>
      <w:r>
        <w:t>Any funds authorized in a General Rate Case for the purpose of a Rule 20 Program should be reserved exclusively for the purpose and benefit of the Rule 20 Programs as authorized in the Rule 20 tariff. Rule 20 Program funds should not be reallocated to any other purpose unless expressly authorized by the Commission.</w:t>
      </w:r>
    </w:p>
    <w:p w:rsidRPr="0061296E" w:rsidR="008213FE" w:rsidP="008B4629" w:rsidRDefault="00D55A9C" w14:paraId="56A5D811" w14:textId="2427F3F3">
      <w:pPr>
        <w:pStyle w:val="FoF"/>
        <w:rPr>
          <w:rFonts w:eastAsia="Book Antiqua" w:cs="Book Antiqua"/>
          <w:szCs w:val="26"/>
        </w:rPr>
      </w:pPr>
      <w:r w:rsidRPr="001B670F">
        <w:rPr>
          <w:rFonts w:ascii="Times New Roman" w:hAnsi="Times New Roman" w:cs="Times New Roman"/>
        </w:rPr>
        <w:t> </w:t>
      </w:r>
      <w:r w:rsidRPr="001B670F">
        <w:t xml:space="preserve">By </w:t>
      </w:r>
      <w:r w:rsidR="00D8635E">
        <w:t>April 1</w:t>
      </w:r>
      <w:r w:rsidRPr="001B670F">
        <w:t xml:space="preserve"> each year, each electric utility sh</w:t>
      </w:r>
      <w:r>
        <w:t>ould</w:t>
      </w:r>
      <w:r w:rsidRPr="001B670F">
        <w:t xml:space="preserve"> (i) serve a confidential version of the Rule 20 Annual Report to the Commission’s Energy Division, and (ii) </w:t>
      </w:r>
      <w:r w:rsidR="00364EAC">
        <w:t>serve to th</w:t>
      </w:r>
      <w:r w:rsidR="009778C4">
        <w:t>e</w:t>
      </w:r>
      <w:r w:rsidR="00364EAC">
        <w:t xml:space="preserve"> service list</w:t>
      </w:r>
      <w:r w:rsidR="009778C4">
        <w:t xml:space="preserve"> of this proceeding</w:t>
      </w:r>
      <w:r w:rsidR="00364EAC">
        <w:t xml:space="preserve"> (and the service list of any successor proceeding) and </w:t>
      </w:r>
      <w:r w:rsidRPr="001B670F">
        <w:t>post a public version of the Rule 20 Annual Report on its Rule 20 webpage.</w:t>
      </w:r>
      <w:r w:rsidRPr="001B670F">
        <w:rPr>
          <w:rFonts w:ascii="Times New Roman" w:hAnsi="Times New Roman" w:cs="Times New Roman"/>
        </w:rPr>
        <w:t> </w:t>
      </w:r>
      <w:r w:rsidRPr="001B670F">
        <w:t xml:space="preserve"> </w:t>
      </w:r>
    </w:p>
    <w:p w:rsidRPr="0061296E" w:rsidR="008213FE" w:rsidP="008B4629" w:rsidRDefault="00D55A9C" w14:paraId="58FF568E" w14:textId="77777777">
      <w:pPr>
        <w:pStyle w:val="FoF"/>
        <w:rPr>
          <w:rFonts w:eastAsia="Book Antiqua" w:cs="Book Antiqua"/>
          <w:szCs w:val="26"/>
        </w:rPr>
      </w:pPr>
      <w:r w:rsidRPr="001B670F">
        <w:t>The Rule 20 Annual Report sh</w:t>
      </w:r>
      <w:r>
        <w:t xml:space="preserve">ould </w:t>
      </w:r>
      <w:r w:rsidRPr="001B670F">
        <w:t>follow the guidelines on</w:t>
      </w:r>
      <w:r w:rsidRPr="001B670F">
        <w:rPr>
          <w:rFonts w:ascii="Times New Roman" w:hAnsi="Times New Roman" w:cs="Times New Roman"/>
        </w:rPr>
        <w:t> </w:t>
      </w:r>
      <w:r w:rsidRPr="001B670F">
        <w:t>the Commission's webpage for Rule 20.</w:t>
      </w:r>
      <w:r w:rsidRPr="001B670F">
        <w:rPr>
          <w:rFonts w:ascii="Times New Roman" w:hAnsi="Times New Roman" w:cs="Times New Roman"/>
        </w:rPr>
        <w:t xml:space="preserve"> </w:t>
      </w:r>
      <w:r w:rsidR="00D90696">
        <w:rPr>
          <w:rFonts w:ascii="Times New Roman" w:hAnsi="Times New Roman" w:cs="Times New Roman"/>
        </w:rPr>
        <w:t xml:space="preserve"> </w:t>
      </w:r>
      <w:r w:rsidRPr="001B670F">
        <w:rPr>
          <w:rFonts w:ascii="Times New Roman" w:hAnsi="Times New Roman" w:cs="Times New Roman"/>
        </w:rPr>
        <w:t> </w:t>
      </w:r>
    </w:p>
    <w:p w:rsidRPr="0061296E" w:rsidR="008213FE" w:rsidP="008B4629" w:rsidRDefault="00D55A9C" w14:paraId="1741892A" w14:textId="77777777">
      <w:pPr>
        <w:pStyle w:val="FoF"/>
        <w:rPr>
          <w:rFonts w:eastAsia="Book Antiqua" w:cs="Book Antiqua"/>
          <w:szCs w:val="26"/>
        </w:rPr>
      </w:pPr>
      <w:r w:rsidRPr="001B670F">
        <w:t>The public version of the Rule 20 Annual Report s</w:t>
      </w:r>
      <w:r>
        <w:t>hould</w:t>
      </w:r>
      <w:r w:rsidRPr="001B670F">
        <w:t xml:space="preserve"> include nonconfidential information about the Rule 20 subprograms at the level of detail described in Attachment A. </w:t>
      </w:r>
      <w:r w:rsidR="00D90696">
        <w:t xml:space="preserve"> </w:t>
      </w:r>
    </w:p>
    <w:p w:rsidRPr="001B670F" w:rsidR="00D55A9C" w:rsidP="008B4629" w:rsidRDefault="00D55A9C" w14:paraId="27EF1C73" w14:textId="56A8729B">
      <w:pPr>
        <w:pStyle w:val="FoF"/>
        <w:rPr>
          <w:rFonts w:eastAsia="Book Antiqua" w:cs="Book Antiqua"/>
          <w:szCs w:val="26"/>
        </w:rPr>
      </w:pPr>
      <w:r w:rsidRPr="001B670F">
        <w:lastRenderedPageBreak/>
        <w:t>The confidential version of the Rule 20 Annual Report sh</w:t>
      </w:r>
      <w:r>
        <w:t>ould</w:t>
      </w:r>
      <w:r w:rsidRPr="001B670F">
        <w:t xml:space="preserve"> also include information about Rule 20 projects at the level of detail described in Attachment B. </w:t>
      </w:r>
      <w:r w:rsidR="00D8635E">
        <w:t xml:space="preserve">This new reporting requirement will replace previous requirements to provide annual reports to the Commission </w:t>
      </w:r>
      <w:r w:rsidR="007557A6">
        <w:t xml:space="preserve">on </w:t>
      </w:r>
      <w:r w:rsidR="00D8635E">
        <w:t xml:space="preserve">January 1, 2022. </w:t>
      </w:r>
    </w:p>
    <w:p w:rsidR="00FF0EAC" w:rsidP="00FF0EAC" w:rsidRDefault="00D55A9C" w14:paraId="5AB28826" w14:textId="2BC66DD2">
      <w:pPr>
        <w:pStyle w:val="FoF"/>
        <w:rPr>
          <w:rFonts w:eastAsia="Book Antiqua" w:cs="Book Antiqua"/>
          <w:szCs w:val="26"/>
        </w:rPr>
      </w:pPr>
      <w:r>
        <w:t xml:space="preserve">By </w:t>
      </w:r>
      <w:r w:rsidR="00D8635E">
        <w:t>April 1</w:t>
      </w:r>
      <w:r w:rsidRPr="001B670F">
        <w:t xml:space="preserve"> each year, each electric utility sh</w:t>
      </w:r>
      <w:r>
        <w:t>ould</w:t>
      </w:r>
      <w:r w:rsidRPr="001B670F">
        <w:t xml:space="preserve"> send a Rule 20 Annual Update to each local government in its service territory.</w:t>
      </w:r>
      <w:r w:rsidR="00D90696">
        <w:t xml:space="preserve">  </w:t>
      </w:r>
      <w:r w:rsidRPr="001B670F">
        <w:t>The Rule 20 Annual Updates sh</w:t>
      </w:r>
      <w:r>
        <w:t>ould</w:t>
      </w:r>
      <w:r w:rsidRPr="001B670F">
        <w:t xml:space="preserve"> follow the guidelines on</w:t>
      </w:r>
      <w:r w:rsidRPr="001B670F">
        <w:rPr>
          <w:rFonts w:ascii="Times New Roman" w:hAnsi="Times New Roman" w:cs="Times New Roman"/>
        </w:rPr>
        <w:t> </w:t>
      </w:r>
      <w:r w:rsidRPr="001B670F">
        <w:t>the Commission's webpage for Rule 20.  Each Rule 20 Annual Update sh</w:t>
      </w:r>
      <w:r>
        <w:t>ould</w:t>
      </w:r>
      <w:r w:rsidRPr="001B670F">
        <w:t xml:space="preserve"> include information about the status of a local government's projects and work credits at the level of detail described in Attachment A.</w:t>
      </w:r>
      <w:r w:rsidRPr="001B670F">
        <w:rPr>
          <w:rFonts w:ascii="Times New Roman" w:hAnsi="Times New Roman" w:cs="Times New Roman"/>
        </w:rPr>
        <w:t> </w:t>
      </w:r>
      <w:r w:rsidRPr="001B670F">
        <w:t xml:space="preserve"> </w:t>
      </w:r>
    </w:p>
    <w:p w:rsidR="00D524F8" w:rsidP="00D524F8" w:rsidRDefault="00D55A9C" w14:paraId="19CC530A" w14:textId="766FE222">
      <w:pPr>
        <w:pStyle w:val="FoF"/>
        <w:rPr>
          <w:rFonts w:eastAsia="Book Antiqua" w:cs="Book Antiqua"/>
          <w:szCs w:val="26"/>
        </w:rPr>
      </w:pPr>
      <w:r>
        <w:t>Each electric utility should retain</w:t>
      </w:r>
      <w:r w:rsidR="00762FFD">
        <w:t>, starting from the effective date of this decision,</w:t>
      </w:r>
      <w:r>
        <w:t xml:space="preserve"> the following documentation for its Rule 20 programs for a minimum of fifteen years from the completion of the project: (a) all project bids, purchase orders, contracts, invoices, and payments, and (b) all calculations of overhead costs and any other charges for the utility’s work on a project by line item. </w:t>
      </w:r>
      <w:r w:rsidR="00D90696">
        <w:t xml:space="preserve"> </w:t>
      </w:r>
      <w:r>
        <w:t xml:space="preserve">Each electric utility should provide a copy of this information to any local government or ratepayer advocate within </w:t>
      </w:r>
      <w:r w:rsidR="002B719C">
        <w:t>30</w:t>
      </w:r>
      <w:r>
        <w:t xml:space="preserve"> days of written request enclosing a signed nondisclosure agreement in the standard form attached to the Rule 20 guidebook.</w:t>
      </w:r>
    </w:p>
    <w:p w:rsidRPr="0004282D" w:rsidR="0004282D" w:rsidP="0004282D" w:rsidRDefault="0004282D" w14:paraId="72B528DE" w14:textId="32C2ABE8">
      <w:pPr>
        <w:pStyle w:val="FoF"/>
        <w:rPr>
          <w:rFonts w:eastAsia="Book Antiqua" w:cs="Book Antiqua"/>
          <w:szCs w:val="26"/>
        </w:rPr>
      </w:pPr>
      <w:r>
        <w:t>It is appropriate to exempt BVES from the new requirements of Section</w:t>
      </w:r>
      <w:r w:rsidR="00375A9C">
        <w:t>s 4 and</w:t>
      </w:r>
      <w:r>
        <w:t xml:space="preserve"> 5 of this decision until the Commission authorizes Rule 20 funding for BVES.</w:t>
      </w:r>
    </w:p>
    <w:p w:rsidRPr="00E061EE" w:rsidR="00D55A9C" w:rsidP="008B4629" w:rsidRDefault="00D55A9C" w14:paraId="48B172A2" w14:textId="4DCAA8A9">
      <w:pPr>
        <w:pStyle w:val="FoF"/>
        <w:rPr>
          <w:rFonts w:eastAsia="Book Antiqua" w:cs="Book Antiqua"/>
          <w:szCs w:val="26"/>
        </w:rPr>
      </w:pPr>
      <w:r>
        <w:t>The Commission should waive the audit requirements set forth in the OIR for SCE and SDG&amp;E.</w:t>
      </w:r>
    </w:p>
    <w:p w:rsidR="00E061EE" w:rsidP="008B4629" w:rsidRDefault="00E061EE" w14:paraId="10ECB7AF" w14:textId="1C6C28E9">
      <w:pPr>
        <w:pStyle w:val="FoF"/>
        <w:rPr>
          <w:rFonts w:eastAsia="Book Antiqua" w:cs="Book Antiqua"/>
          <w:szCs w:val="26"/>
        </w:rPr>
      </w:pPr>
      <w:r>
        <w:t xml:space="preserve">This decision resolves the Phase 1 issues identified in Section 3 of this decision. </w:t>
      </w:r>
      <w:r w:rsidR="00BD4A0A">
        <w:rPr>
          <w:rFonts w:eastAsia="Book Antiqua" w:cs="Book Antiqua"/>
          <w:szCs w:val="26"/>
        </w:rPr>
        <w:t>I</w:t>
      </w:r>
      <w:r w:rsidRPr="00BD4A0A" w:rsidR="00BD4A0A">
        <w:rPr>
          <w:rFonts w:eastAsia="Book Antiqua" w:cs="Book Antiqua"/>
          <w:szCs w:val="26"/>
        </w:rPr>
        <w:t xml:space="preserve">t is not necessary for this proceeding to address </w:t>
      </w:r>
      <w:proofErr w:type="gramStart"/>
      <w:r w:rsidRPr="00BD4A0A" w:rsidR="00BD4A0A">
        <w:rPr>
          <w:rFonts w:eastAsia="Book Antiqua" w:cs="Book Antiqua"/>
          <w:szCs w:val="26"/>
        </w:rPr>
        <w:t>all of</w:t>
      </w:r>
      <w:proofErr w:type="gramEnd"/>
      <w:r w:rsidRPr="00BD4A0A" w:rsidR="00BD4A0A">
        <w:rPr>
          <w:rFonts w:eastAsia="Book Antiqua" w:cs="Book Antiqua"/>
          <w:szCs w:val="26"/>
        </w:rPr>
        <w:t xml:space="preserve"> the 29 sub-questions listed in the scoping memo</w:t>
      </w:r>
      <w:r>
        <w:rPr>
          <w:rFonts w:eastAsia="Book Antiqua" w:cs="Book Antiqua"/>
          <w:szCs w:val="26"/>
        </w:rPr>
        <w:t>.</w:t>
      </w:r>
    </w:p>
    <w:p w:rsidRPr="00BD4A0A" w:rsidR="00BD4A0A" w:rsidP="008B4629" w:rsidRDefault="00E061EE" w14:paraId="6082A205" w14:textId="790672D1">
      <w:pPr>
        <w:pStyle w:val="FoF"/>
        <w:rPr>
          <w:rFonts w:eastAsia="Book Antiqua" w:cs="Book Antiqua"/>
          <w:szCs w:val="26"/>
        </w:rPr>
      </w:pPr>
      <w:r>
        <w:rPr>
          <w:rFonts w:eastAsia="Book Antiqua" w:cs="Book Antiqua"/>
          <w:szCs w:val="26"/>
        </w:rPr>
        <w:lastRenderedPageBreak/>
        <w:t xml:space="preserve">We </w:t>
      </w:r>
      <w:r w:rsidR="00BD4A0A">
        <w:rPr>
          <w:rFonts w:eastAsia="Book Antiqua" w:cs="Book Antiqua"/>
          <w:szCs w:val="26"/>
        </w:rPr>
        <w:t>should</w:t>
      </w:r>
      <w:r w:rsidRPr="00BD4A0A" w:rsidR="00BD4A0A">
        <w:rPr>
          <w:rFonts w:eastAsia="Book Antiqua" w:cs="Book Antiqua"/>
          <w:szCs w:val="26"/>
        </w:rPr>
        <w:t xml:space="preserve"> address the following select issues in Phase 2 of this proceeding: </w:t>
      </w:r>
    </w:p>
    <w:p w:rsidR="00BD4A0A" w:rsidP="008B4629" w:rsidRDefault="00BD4A0A" w14:paraId="6B7B6B34" w14:textId="77777777">
      <w:pPr>
        <w:pStyle w:val="FoF"/>
        <w:rPr>
          <w:rFonts w:eastAsia="Book Antiqua" w:cs="Book Antiqua"/>
          <w:szCs w:val="26"/>
        </w:rPr>
      </w:pPr>
      <w:r w:rsidRPr="00BD4A0A">
        <w:rPr>
          <w:rFonts w:eastAsia="Book Antiqua" w:cs="Book Antiqua"/>
          <w:szCs w:val="26"/>
        </w:rPr>
        <w:t xml:space="preserve">Whether to add Rule 20A project eligibility criteria for wildfire safety and emergency-related undergrounding or otherwise modify Rule 20A project eligibility </w:t>
      </w:r>
      <w:proofErr w:type="gramStart"/>
      <w:r w:rsidRPr="00BD4A0A">
        <w:rPr>
          <w:rFonts w:eastAsia="Book Antiqua" w:cs="Book Antiqua"/>
          <w:szCs w:val="26"/>
        </w:rPr>
        <w:t>criteria;</w:t>
      </w:r>
      <w:proofErr w:type="gramEnd"/>
    </w:p>
    <w:p w:rsidR="00272710" w:rsidP="008B4629" w:rsidRDefault="00BD4A0A" w14:paraId="084E6D5E" w14:textId="77777777">
      <w:pPr>
        <w:pStyle w:val="FoF"/>
        <w:rPr>
          <w:rFonts w:eastAsia="Book Antiqua" w:cs="Book Antiqua"/>
          <w:szCs w:val="26"/>
        </w:rPr>
      </w:pPr>
      <w:r w:rsidRPr="00BD4A0A">
        <w:rPr>
          <w:rFonts w:eastAsia="Book Antiqua" w:cs="Book Antiqua"/>
          <w:szCs w:val="26"/>
        </w:rPr>
        <w:t xml:space="preserve">Whether to modify the Rule 20A program to support projects in underserved and disadvantaged </w:t>
      </w:r>
      <w:proofErr w:type="gramStart"/>
      <w:r w:rsidRPr="00BD4A0A">
        <w:rPr>
          <w:rFonts w:eastAsia="Book Antiqua" w:cs="Book Antiqua"/>
          <w:szCs w:val="26"/>
        </w:rPr>
        <w:t>communities;</w:t>
      </w:r>
      <w:proofErr w:type="gramEnd"/>
    </w:p>
    <w:p w:rsidR="00272710" w:rsidP="008B4629" w:rsidRDefault="00BD4A0A" w14:paraId="5590DF9C" w14:textId="77777777">
      <w:pPr>
        <w:pStyle w:val="FoF"/>
        <w:rPr>
          <w:rFonts w:eastAsia="Book Antiqua" w:cs="Book Antiqua"/>
          <w:szCs w:val="26"/>
        </w:rPr>
      </w:pPr>
      <w:r w:rsidRPr="00BD4A0A">
        <w:t xml:space="preserve">Whether to take additional steps </w:t>
      </w:r>
      <w:r w:rsidRPr="00272710">
        <w:t xml:space="preserve">to support the completion of active Rule 20A projects; and </w:t>
      </w:r>
    </w:p>
    <w:p w:rsidRPr="00272710" w:rsidR="00BD4A0A" w:rsidP="008B4629" w:rsidRDefault="00BD4A0A" w14:paraId="0F6C4469" w14:textId="7CA4B3C1">
      <w:pPr>
        <w:pStyle w:val="FoF"/>
        <w:rPr>
          <w:rFonts w:eastAsia="Book Antiqua" w:cs="Book Antiqua"/>
          <w:szCs w:val="26"/>
        </w:rPr>
      </w:pPr>
      <w:r w:rsidRPr="00272710">
        <w:t>Whether to modify or discontinue the Rule 20D program.</w:t>
      </w:r>
    </w:p>
    <w:p w:rsidRPr="00272710" w:rsidR="00D55A9C" w:rsidP="008B4629" w:rsidRDefault="00D55A9C" w14:paraId="5A879C99" w14:textId="77777777">
      <w:pPr>
        <w:pStyle w:val="FoF"/>
      </w:pPr>
      <w:r w:rsidRPr="00272710">
        <w:t>The Commission should extend the statutory deadline imposed by Public Utilities Code Section 1701.5(a) for 12 months after the date of this decision to consider Phase 2 issues.</w:t>
      </w:r>
    </w:p>
    <w:p w:rsidRPr="009D0321" w:rsidR="00D55A9C" w:rsidP="00C07292" w:rsidRDefault="00D55A9C" w14:paraId="1F8F7B11" w14:textId="77777777">
      <w:pPr>
        <w:pStyle w:val="mainex0"/>
      </w:pPr>
      <w:bookmarkStart w:name="_Toc73945849" w:id="39"/>
      <w:r w:rsidRPr="00C07292">
        <w:t>ORDER</w:t>
      </w:r>
      <w:bookmarkEnd w:id="33"/>
      <w:bookmarkEnd w:id="34"/>
      <w:bookmarkEnd w:id="35"/>
      <w:bookmarkEnd w:id="36"/>
      <w:bookmarkEnd w:id="39"/>
    </w:p>
    <w:p w:rsidRPr="009D0321" w:rsidR="00D55A9C" w:rsidP="00D55A9C" w:rsidRDefault="00D55A9C" w14:paraId="5E70FAB7" w14:textId="77777777">
      <w:pPr>
        <w:pStyle w:val="mainex0"/>
        <w:keepNext/>
        <w:keepLines/>
        <w:rPr>
          <w:rFonts w:ascii="Arial" w:hAnsi="Arial"/>
        </w:rPr>
      </w:pPr>
    </w:p>
    <w:bookmarkEnd w:id="37"/>
    <w:bookmarkEnd w:id="38"/>
    <w:p w:rsidRPr="009D0321" w:rsidR="00D55A9C" w:rsidP="00C07292" w:rsidRDefault="00D55A9C" w14:paraId="2F4F1985" w14:textId="77777777">
      <w:r w:rsidRPr="00C07292">
        <w:rPr>
          <w:b/>
          <w:bCs/>
        </w:rPr>
        <w:t>IT IS ORDERED</w:t>
      </w:r>
      <w:r w:rsidRPr="009D0321">
        <w:t xml:space="preserve"> that:</w:t>
      </w:r>
    </w:p>
    <w:p w:rsidRPr="00C07292" w:rsidR="00D55A9C" w:rsidP="002745EC" w:rsidRDefault="00D55A9C" w14:paraId="0892D165" w14:textId="0D643747">
      <w:pPr>
        <w:pStyle w:val="FoF"/>
        <w:numPr>
          <w:ilvl w:val="0"/>
          <w:numId w:val="37"/>
        </w:numPr>
      </w:pPr>
      <w:r w:rsidRPr="00C07292">
        <w:t xml:space="preserve">The California Public Utilities Commission shall discontinue authorization of new Electric Rule 20A work credits for allocation after December 31, 2022.  </w:t>
      </w:r>
    </w:p>
    <w:p w:rsidR="008213FE" w:rsidP="00CA0B10" w:rsidRDefault="00D55A9C" w14:paraId="212B74A4" w14:textId="77777777">
      <w:pPr>
        <w:pStyle w:val="OP"/>
      </w:pPr>
      <w:r w:rsidRPr="00C07292">
        <w:t>Electric utilities shall not allocate new Rule 20A work credits after December 31, 2022.</w:t>
      </w:r>
      <w:r w:rsidRPr="00991BBC" w:rsidR="00991BBC">
        <w:t xml:space="preserve"> </w:t>
      </w:r>
      <w:r w:rsidR="00595ACC">
        <w:t xml:space="preserve"> </w:t>
      </w:r>
    </w:p>
    <w:p w:rsidRPr="00CA0B10" w:rsidR="009F36CA" w:rsidP="00CA0B10" w:rsidRDefault="00991BBC" w14:paraId="064E05BC" w14:textId="3D1DA608">
      <w:pPr>
        <w:pStyle w:val="OP"/>
      </w:pPr>
      <w:r w:rsidRPr="00C07292">
        <w:t xml:space="preserve">Southern California Edison Company, San Diego Gas &amp; Electric Company, Pacific Gas and Electric Company, Liberty Utilities, and PacifiCorp shall </w:t>
      </w:r>
      <w:r>
        <w:t xml:space="preserve">each </w:t>
      </w:r>
      <w:r w:rsidR="00ED5337">
        <w:br/>
      </w:r>
      <w:r w:rsidR="009F36CA">
        <w:t>(a) notify</w:t>
      </w:r>
      <w:r w:rsidR="00366939">
        <w:t xml:space="preserve"> in writing</w:t>
      </w:r>
      <w:r w:rsidR="009F36CA">
        <w:t xml:space="preserve"> each community within 30 days of this decision of the community’s status (active or inactive), the community’s current work credit balance, and if applicable, how to change its status from inactive to active; </w:t>
      </w:r>
      <w:r w:rsidR="00ED5337">
        <w:br/>
      </w:r>
      <w:r w:rsidR="009F36CA">
        <w:t xml:space="preserve">(b) </w:t>
      </w:r>
      <w:r w:rsidR="00CA0B10">
        <w:t>serve on the service list of this proceeding by February 1, 2022</w:t>
      </w:r>
      <w:r w:rsidR="008213FE">
        <w:t>,</w:t>
      </w:r>
      <w:r w:rsidR="00CA0B10">
        <w:t xml:space="preserve"> </w:t>
      </w:r>
      <w:r w:rsidR="009F36CA">
        <w:t xml:space="preserve">a list of currently inactive communities, as defined in Resolution E-4971, and the unused </w:t>
      </w:r>
      <w:r w:rsidR="009F36CA">
        <w:lastRenderedPageBreak/>
        <w:t>work credit balances of these currently inactive communities; (c)</w:t>
      </w:r>
      <w:r w:rsidR="00CA0B10">
        <w:t xml:space="preserve"> s</w:t>
      </w:r>
      <w:r w:rsidR="009F36CA">
        <w:t>erve on th</w:t>
      </w:r>
      <w:r w:rsidR="00CA0B10">
        <w:t>e</w:t>
      </w:r>
      <w:r w:rsidR="009F36CA">
        <w:t xml:space="preserve"> service list</w:t>
      </w:r>
      <w:r w:rsidR="00CA0B10">
        <w:t xml:space="preserve"> of this proceeding</w:t>
      </w:r>
      <w:r w:rsidR="009F36CA">
        <w:t xml:space="preserve"> by February 1, 2022</w:t>
      </w:r>
      <w:r w:rsidR="008213FE">
        <w:t>,</w:t>
      </w:r>
      <w:r w:rsidR="009F36CA">
        <w:t xml:space="preserve"> a list of currently active communities, as defined in Resolution E-4971, with current work credit balances, projected work credit balances (as of December 31, 2022), all Rule 20A projects (proposed and under construction) per community, current Rule 20A project cost estimates, and projected work credit shortfall (the difference between projected work credit balances and total Rule 20A estimated project costs).</w:t>
      </w:r>
    </w:p>
    <w:p w:rsidR="00991BBC" w:rsidP="00991BBC" w:rsidRDefault="00D55A9C" w14:paraId="42971BD2" w14:textId="77777777">
      <w:pPr>
        <w:pStyle w:val="OP"/>
      </w:pPr>
      <w:r w:rsidRPr="00C07292">
        <w:t>The unregulated practice of trading Rule 20A work credits in secondary markets is banned, effective immediately, with exceptions (a) for intra-county donations of work credits from a county government to cities and towns within the county</w:t>
      </w:r>
      <w:r w:rsidRPr="00991BBC" w:rsidR="00D05BB3">
        <w:rPr>
          <w:rFonts w:eastAsia="Book Antiqua" w:cs="Book Antiqua"/>
          <w:color w:val="000000" w:themeColor="text1"/>
        </w:rPr>
        <w:t xml:space="preserve"> or from a city or town to its county government,</w:t>
      </w:r>
      <w:r w:rsidRPr="00C07292">
        <w:t xml:space="preserve"> and (b) to allow credit pooling amongst two or more adjoining municipalities for a project with community benefit for the adjoining municipalities.  </w:t>
      </w:r>
      <w:r w:rsidRPr="00C07292" w:rsidR="00552E6E">
        <w:t xml:space="preserve">Southern California Edison Company, San Diego Gas &amp; Electric Company, Pacific Gas and Electric Company, Bear Valley Electric Service Company, Liberty Utilities, and PacifiCorp </w:t>
      </w:r>
      <w:r w:rsidR="00552E6E">
        <w:t xml:space="preserve">shall not facilitate unauthorized trades of work credits between communities executed after the effective date of this decision.  </w:t>
      </w:r>
      <w:bookmarkStart w:name="_Hlk67915212" w:id="40"/>
    </w:p>
    <w:p w:rsidRPr="00C07292" w:rsidR="00D55A9C" w:rsidP="00C07292" w:rsidRDefault="00D55A9C" w14:paraId="5FFD9D8C" w14:textId="07459EF7">
      <w:pPr>
        <w:pStyle w:val="OP"/>
      </w:pPr>
      <w:r w:rsidRPr="00C07292">
        <w:t>Southern California Edison Company, San Diego Gas &amp; Electric Company, Pacific Gas and Electric Company, Liberty Utilities</w:t>
      </w:r>
      <w:bookmarkEnd w:id="40"/>
      <w:r w:rsidRPr="00C07292">
        <w:t>, and PacifiCorp shall each file a Tier 1 advice letter within 30 days of the effective date of this decision with its current Electric Rule 20 Tariff, including the following modifications to implement this decision: (a) clarify that unauthorized work credit trading is not permitted, except for intra-county donations of work credits from a county government to cities and towns within the county</w:t>
      </w:r>
      <w:r w:rsidR="00D05BB3">
        <w:t xml:space="preserve"> </w:t>
      </w:r>
      <w:r w:rsidR="00D05BB3">
        <w:rPr>
          <w:rFonts w:eastAsia="Book Antiqua" w:cs="Book Antiqua"/>
          <w:color w:val="000000" w:themeColor="text1"/>
        </w:rPr>
        <w:t>or from a city or town to its county government</w:t>
      </w:r>
      <w:r w:rsidRPr="00C07292">
        <w:t xml:space="preserve">, and pooling of work credits amongst two or more adjoining municipalities for a project with community benefit for the adjoining </w:t>
      </w:r>
      <w:r w:rsidRPr="00C07292">
        <w:lastRenderedPageBreak/>
        <w:t>municipalities, (b) clarify that the utility does not have the discretion to allow communities to borrow work credits from future allocations beyond any 2022 allocation, and (c) modify the project eligibility criteria in its Rule 20A Tariff to provide as follows: “(iii) Wheelchair access is limited or impeded in a manner that is not compliant with the Americans with Disabilities Act; (iv) The street or road or right-of-way adjoins or passes through a civic area or public recreation area or an area of significant scenic, cultural, and/or historic interest to the general public; or (v) The street or road or right-of way is considered an arterial street or major collector as defined by the California Department of Transportation’s California Road System functional classification system.”  Each electric utility shall serve this advice letter on the service list of this proceeding.</w:t>
      </w:r>
    </w:p>
    <w:p w:rsidR="008213FE" w:rsidP="00924F1E" w:rsidRDefault="006F7550" w14:paraId="6AEF90FA" w14:textId="19B65E4F">
      <w:pPr>
        <w:pStyle w:val="OP"/>
      </w:pPr>
      <w:bookmarkStart w:name="_Hlk72857342" w:id="41"/>
      <w:r w:rsidRPr="006F7550">
        <w:t xml:space="preserve">Southern California Edison Company (SCE), San Diego Gas &amp; Electric Company (SDG&amp;E), </w:t>
      </w:r>
      <w:r>
        <w:t xml:space="preserve">and </w:t>
      </w:r>
      <w:r w:rsidRPr="006F7550">
        <w:t xml:space="preserve">Pacific Gas and Electric Company (PG&amp;E) </w:t>
      </w:r>
      <w:bookmarkEnd w:id="41"/>
      <w:r w:rsidRPr="00C07292" w:rsidR="00D55A9C">
        <w:t xml:space="preserve">shall </w:t>
      </w:r>
      <w:r w:rsidR="0088780F">
        <w:t xml:space="preserve">jointly </w:t>
      </w:r>
      <w:r w:rsidRPr="00C07292" w:rsidR="00D55A9C">
        <w:t>draft Electric Rule 20 Guidebook</w:t>
      </w:r>
      <w:r w:rsidR="0088780F">
        <w:t>s</w:t>
      </w:r>
      <w:r w:rsidRPr="00C07292" w:rsidR="00D55A9C">
        <w:t xml:space="preserve">. PG&amp;E, SCE and SDG&amp;E shall meet and confer with the following utilities and stakeholders and incorporate their input into the guidebook: </w:t>
      </w:r>
      <w:r w:rsidRPr="006F7550">
        <w:t>Liberty Utilities</w:t>
      </w:r>
      <w:r w:rsidRPr="00C07292" w:rsidR="00D55A9C">
        <w:t xml:space="preserve">, PacifiCorp, the League of California Cities, the California State Association of Counties, local governments, and representatives of rural communities such as Rural County Representatives of California, and communications carriers. </w:t>
      </w:r>
    </w:p>
    <w:p w:rsidR="00924F1E" w:rsidP="00924F1E" w:rsidRDefault="00D55A9C" w14:paraId="1E29A934" w14:textId="73A2E011">
      <w:pPr>
        <w:pStyle w:val="OP"/>
      </w:pPr>
      <w:r w:rsidRPr="00C07292">
        <w:t xml:space="preserve">Within </w:t>
      </w:r>
      <w:r w:rsidR="001A7EBF">
        <w:t>120</w:t>
      </w:r>
      <w:r w:rsidRPr="00C07292" w:rsidR="001A7EBF">
        <w:t xml:space="preserve"> </w:t>
      </w:r>
      <w:r w:rsidRPr="00C07292">
        <w:t xml:space="preserve">days of the effective date of this decision, </w:t>
      </w:r>
      <w:r w:rsidRPr="00924F1E" w:rsidR="00924F1E">
        <w:t>Southern California Edison Company (SCE), San Diego Gas &amp; Electric Company (SDG&amp;E), and Pacific Gas and Electric Company (PG&amp;E)</w:t>
      </w:r>
      <w:r w:rsidRPr="00C07292">
        <w:t xml:space="preserve"> shall </w:t>
      </w:r>
      <w:r w:rsidR="0088780F">
        <w:t xml:space="preserve">each </w:t>
      </w:r>
      <w:r w:rsidRPr="00C07292">
        <w:t>file and serve on th</w:t>
      </w:r>
      <w:r w:rsidR="00310FA4">
        <w:t>e</w:t>
      </w:r>
      <w:r w:rsidRPr="00C07292">
        <w:t xml:space="preserve"> service list</w:t>
      </w:r>
      <w:r w:rsidR="00310FA4">
        <w:t xml:space="preserve"> of this proceeding</w:t>
      </w:r>
      <w:r w:rsidRPr="00C07292">
        <w:t xml:space="preserve"> a Tier 2 advice letter to adopt </w:t>
      </w:r>
      <w:r w:rsidR="0088780F">
        <w:t>its</w:t>
      </w:r>
      <w:r w:rsidRPr="00C07292" w:rsidR="0088780F">
        <w:t xml:space="preserve"> </w:t>
      </w:r>
      <w:r w:rsidRPr="00C07292">
        <w:t>Rule 20 Guidebook.</w:t>
      </w:r>
      <w:r w:rsidR="000E164E">
        <w:t xml:space="preserve"> </w:t>
      </w:r>
    </w:p>
    <w:p w:rsidR="00924F1E" w:rsidP="00924F1E" w:rsidRDefault="00924F1E" w14:paraId="3C1371D3" w14:textId="4A7AE4BC">
      <w:pPr>
        <w:pStyle w:val="OP"/>
      </w:pPr>
      <w:r w:rsidRPr="00924F1E">
        <w:t xml:space="preserve">Southern California Edison Company (SCE), San Diego Gas &amp; Electric Company (SDG&amp;E), and Pacific Gas and Electric Company (PG&amp;E) </w:t>
      </w:r>
      <w:r w:rsidR="000E164E">
        <w:t xml:space="preserve">shall each </w:t>
      </w:r>
      <w:r w:rsidR="000E164E">
        <w:lastRenderedPageBreak/>
        <w:t xml:space="preserve">post its approved Electric Rule 20 Guidebook to its Electric Rule 20 website within 15 days of approval of </w:t>
      </w:r>
      <w:r w:rsidR="00BA6FD9">
        <w:t>its g</w:t>
      </w:r>
      <w:r w:rsidR="000E164E">
        <w:t>uidebook.</w:t>
      </w:r>
      <w:r w:rsidR="0083373C">
        <w:t xml:space="preserve">  </w:t>
      </w:r>
    </w:p>
    <w:p w:rsidRPr="00C07292" w:rsidR="00D55A9C" w:rsidP="00924F1E" w:rsidRDefault="00924F1E" w14:paraId="1F91DF6D" w14:textId="622F710E">
      <w:pPr>
        <w:pStyle w:val="OP"/>
      </w:pPr>
      <w:r w:rsidRPr="00924F1E">
        <w:t xml:space="preserve">Southern California Edison Company (SCE), San Diego Gas &amp; Electric Company (SDG&amp;E), and Pacific Gas and Electric Company (PG&amp;E) </w:t>
      </w:r>
      <w:r w:rsidR="0083373C">
        <w:t xml:space="preserve">may hire a third-party facilitator to assist with the joint development of the Rule 20 Guidebooks </w:t>
      </w:r>
      <w:r w:rsidR="00DE6F3B">
        <w:t>and absorb this modest expenditure through their existing Rule 20 budgets.</w:t>
      </w:r>
    </w:p>
    <w:p w:rsidR="00924F1E" w:rsidP="00C07292" w:rsidRDefault="00D55A9C" w14:paraId="30A5FBE8" w14:textId="314D5A5D">
      <w:pPr>
        <w:pStyle w:val="OP"/>
      </w:pPr>
      <w:r w:rsidRPr="00C07292">
        <w:t xml:space="preserve">Within 90 days of </w:t>
      </w:r>
      <w:r w:rsidR="0088780F">
        <w:t>the date that the</w:t>
      </w:r>
      <w:r w:rsidRPr="00C07292">
        <w:t xml:space="preserve"> </w:t>
      </w:r>
      <w:r w:rsidR="0088780F">
        <w:t xml:space="preserve">first </w:t>
      </w:r>
      <w:r w:rsidRPr="00C07292">
        <w:t xml:space="preserve">Rule 20 Guidebook </w:t>
      </w:r>
      <w:r w:rsidR="00593DD8">
        <w:t>is</w:t>
      </w:r>
      <w:r w:rsidR="0088780F">
        <w:t xml:space="preserve"> approved in accordance with this decision</w:t>
      </w:r>
      <w:r w:rsidRPr="00C07292">
        <w:t xml:space="preserve">, Liberty </w:t>
      </w:r>
      <w:r w:rsidR="007E5295">
        <w:t xml:space="preserve">Utilities </w:t>
      </w:r>
      <w:r w:rsidRPr="00C07292">
        <w:t xml:space="preserve">and PacifiCorp shall each file and serve a Tier 2 advice letter requesting approval for an updated Rule 20 Guidebook based on the approved Rule 20 Guidebook for </w:t>
      </w:r>
      <w:r w:rsidRPr="006F7550" w:rsidR="006F7550">
        <w:t>Southern California Edison Company, San Diego Gas &amp; Electric Company, and Pacific Gas and Electric Company</w:t>
      </w:r>
      <w:r w:rsidRPr="00C07292">
        <w:t>.</w:t>
      </w:r>
      <w:r w:rsidR="00BA6FD9">
        <w:t xml:space="preserve"> </w:t>
      </w:r>
    </w:p>
    <w:p w:rsidRPr="00C07292" w:rsidR="00D55A9C" w:rsidP="00C07292" w:rsidRDefault="00BA6FD9" w14:paraId="3A350ABA" w14:textId="35776815">
      <w:pPr>
        <w:pStyle w:val="OP"/>
      </w:pPr>
      <w:r>
        <w:t xml:space="preserve">Liberty Utilities and PacifiCorp shall each post its approved Electric </w:t>
      </w:r>
      <w:r w:rsidR="00ED5337">
        <w:br/>
      </w:r>
      <w:r>
        <w:t>Rule 20 Guidebook to its Electric Rule 20 website within 15 days of approval of its guidebook.</w:t>
      </w:r>
    </w:p>
    <w:p w:rsidRPr="00C07292" w:rsidR="00D55A9C" w:rsidP="00C07292" w:rsidRDefault="006F7550" w14:paraId="1FE948E8" w14:textId="40E0CC0A">
      <w:pPr>
        <w:pStyle w:val="OP"/>
      </w:pPr>
      <w:r w:rsidRPr="006F7550">
        <w:t>Southern California Edison Company, San Diego Gas &amp; Electric Company, Pacific Gas and Electric Company</w:t>
      </w:r>
      <w:r w:rsidRPr="00C07292" w:rsidR="00D55A9C">
        <w:t>, Liberty</w:t>
      </w:r>
      <w:r w:rsidR="007E5295">
        <w:t xml:space="preserve"> Utilities</w:t>
      </w:r>
      <w:r w:rsidRPr="00C07292" w:rsidR="00D55A9C">
        <w:t xml:space="preserve"> and PacifiCorp shall each file a Tier 1 advice letter to establish and/or modify an existing Rule 20 one-way balancing account, with subaccounts for each of its Rule 20 programs within </w:t>
      </w:r>
      <w:r w:rsidR="00ED5337">
        <w:br/>
      </w:r>
      <w:r w:rsidRPr="00C07292" w:rsidR="00D55A9C">
        <w:t>30 days of the effective date of this decision. Each account shall track all costs to be included in the Rule 20 Annual Report, in addition to any figures typically tracked in a balancing account.</w:t>
      </w:r>
    </w:p>
    <w:p w:rsidRPr="00C07292" w:rsidR="00D55A9C" w:rsidP="00C07292" w:rsidRDefault="00D55A9C" w14:paraId="539E9CC2" w14:textId="4C767B8A">
      <w:pPr>
        <w:pStyle w:val="OP"/>
      </w:pPr>
      <w:r w:rsidRPr="00C07292">
        <w:t>Any funds authorized in a General Rate Case for the purpose of a Rule 20 Program shall be reserved exclusively for the purpose and benefit of the Rule 20 Programs as authorized in the Rule 20 tariff.</w:t>
      </w:r>
      <w:r w:rsidR="00D90696">
        <w:t xml:space="preserve"> </w:t>
      </w:r>
      <w:r w:rsidRPr="00C07292">
        <w:t xml:space="preserve"> Rule 20 Program funds shall not be </w:t>
      </w:r>
      <w:r w:rsidRPr="00C07292">
        <w:lastRenderedPageBreak/>
        <w:t xml:space="preserve">reallocated to any other purpose without the express authorization of the Commission. </w:t>
      </w:r>
      <w:r w:rsidR="00D90696">
        <w:t xml:space="preserve"> </w:t>
      </w:r>
      <w:r w:rsidRPr="00C07292">
        <w:t>The Rule 20 Annual Report should follow the guidelines on</w:t>
      </w:r>
      <w:r w:rsidRPr="00C07292">
        <w:rPr>
          <w:rFonts w:ascii="Times New Roman" w:hAnsi="Times New Roman" w:cs="Times New Roman"/>
        </w:rPr>
        <w:t> </w:t>
      </w:r>
      <w:r w:rsidRPr="00C07292">
        <w:t xml:space="preserve">the Commission's webpage for Rule 20.  </w:t>
      </w:r>
    </w:p>
    <w:p w:rsidRPr="00C07292" w:rsidR="00D55A9C" w:rsidP="00C07292" w:rsidRDefault="00D55A9C" w14:paraId="06F0AC53" w14:textId="4B65F2DA">
      <w:pPr>
        <w:pStyle w:val="OP"/>
      </w:pPr>
      <w:r w:rsidRPr="00C07292">
        <w:t xml:space="preserve">By </w:t>
      </w:r>
      <w:r w:rsidR="00D8635E">
        <w:t>April 1</w:t>
      </w:r>
      <w:r w:rsidRPr="00C07292">
        <w:t xml:space="preserve"> each year, </w:t>
      </w:r>
      <w:r w:rsidRPr="006F7550" w:rsidR="006F7550">
        <w:t>Southern California Edison Company, San Diego Gas &amp; Electric Company, Pacific Gas and Electric Company</w:t>
      </w:r>
      <w:r w:rsidRPr="00C07292">
        <w:t>, Liberty</w:t>
      </w:r>
      <w:r w:rsidR="00387574">
        <w:t xml:space="preserve"> Utilities</w:t>
      </w:r>
      <w:r w:rsidRPr="00C07292">
        <w:t xml:space="preserve"> and PacifiCorp shall each (i) serve a confidential version of the Rule 20 Annual Report to the Commission’s Energy Division, and (ii) </w:t>
      </w:r>
      <w:r w:rsidR="00364EAC">
        <w:t>serve to th</w:t>
      </w:r>
      <w:r w:rsidR="00310FA4">
        <w:t>e</w:t>
      </w:r>
      <w:r w:rsidR="00364EAC">
        <w:t xml:space="preserve"> service list</w:t>
      </w:r>
      <w:r w:rsidR="00310FA4">
        <w:t xml:space="preserve"> of this proceeding</w:t>
      </w:r>
      <w:r w:rsidR="00364EAC">
        <w:t xml:space="preserve"> (and the service list of any successor proceeding) </w:t>
      </w:r>
      <w:r w:rsidR="00E4290C">
        <w:t xml:space="preserve">and </w:t>
      </w:r>
      <w:r w:rsidRPr="00C07292">
        <w:t>post a public version of the Rule 20 Annual Report on its Rule 20 webpage.</w:t>
      </w:r>
      <w:r w:rsidRPr="00C07292">
        <w:rPr>
          <w:rFonts w:ascii="Times New Roman" w:hAnsi="Times New Roman" w:cs="Times New Roman"/>
        </w:rPr>
        <w:t> </w:t>
      </w:r>
      <w:r w:rsidRPr="00C07292">
        <w:t xml:space="preserve"> </w:t>
      </w:r>
    </w:p>
    <w:p w:rsidRPr="00C07292" w:rsidR="00D55A9C" w:rsidP="00C07292" w:rsidRDefault="00D55A9C" w14:paraId="5A0FAA91" w14:textId="1193D57D">
      <w:pPr>
        <w:pStyle w:val="OP"/>
      </w:pPr>
      <w:r w:rsidRPr="00C07292">
        <w:t xml:space="preserve">By </w:t>
      </w:r>
      <w:r w:rsidR="00D8635E">
        <w:t>April 1</w:t>
      </w:r>
      <w:r w:rsidRPr="00C07292">
        <w:t xml:space="preserve"> each year, </w:t>
      </w:r>
      <w:r w:rsidRPr="006F7550" w:rsidR="006F7550">
        <w:t>Southern California Edison Company, San Diego Gas &amp; Electric Company, Pacific Gas and Electric Company</w:t>
      </w:r>
      <w:r w:rsidRPr="00C07292">
        <w:t xml:space="preserve">, Liberty </w:t>
      </w:r>
      <w:r w:rsidR="007E5295">
        <w:t xml:space="preserve">Utilities </w:t>
      </w:r>
      <w:r w:rsidRPr="00C07292">
        <w:t>and PacifiCorp shall each send a Rule 20 Annual Update to each local government in its service territory.</w:t>
      </w:r>
      <w:r w:rsidRPr="00C07292">
        <w:rPr>
          <w:rFonts w:ascii="Times New Roman" w:hAnsi="Times New Roman" w:cs="Times New Roman"/>
        </w:rPr>
        <w:t> </w:t>
      </w:r>
      <w:r w:rsidRPr="00C07292">
        <w:t xml:space="preserve"> The Rule 20 Annual Updates should follow the guidelines on</w:t>
      </w:r>
      <w:r w:rsidRPr="00C07292">
        <w:rPr>
          <w:rFonts w:ascii="Times New Roman" w:hAnsi="Times New Roman" w:cs="Times New Roman"/>
        </w:rPr>
        <w:t> </w:t>
      </w:r>
      <w:r w:rsidRPr="00C07292">
        <w:t xml:space="preserve">the Commission's webpage for Rule 20.  </w:t>
      </w:r>
    </w:p>
    <w:p w:rsidRPr="00C07292" w:rsidR="00D55A9C" w:rsidP="00C07292" w:rsidRDefault="00762FFD" w14:paraId="260F6248" w14:textId="0B007061">
      <w:pPr>
        <w:pStyle w:val="OP"/>
      </w:pPr>
      <w:r>
        <w:t xml:space="preserve">Starting from the effective date of this decision, </w:t>
      </w:r>
      <w:r w:rsidRPr="006F7550" w:rsidR="006F7550">
        <w:t>Southern California Edison Company</w:t>
      </w:r>
      <w:r w:rsidR="006F7550">
        <w:t xml:space="preserve"> (SCE)</w:t>
      </w:r>
      <w:r w:rsidRPr="006F7550" w:rsidR="006F7550">
        <w:t>, San Diego Gas &amp; Electric Company</w:t>
      </w:r>
      <w:r w:rsidR="006F7550">
        <w:t xml:space="preserve"> (SDG&amp;E)</w:t>
      </w:r>
      <w:r w:rsidRPr="006F7550" w:rsidR="006F7550">
        <w:t>, Pacific Gas and Electric Company</w:t>
      </w:r>
      <w:r w:rsidR="006F7550">
        <w:t xml:space="preserve"> (PG&amp;E)</w:t>
      </w:r>
      <w:r w:rsidRPr="00C07292" w:rsidR="00D55A9C">
        <w:t xml:space="preserve">, Liberty </w:t>
      </w:r>
      <w:r w:rsidR="007E5295">
        <w:t xml:space="preserve">Utilities (Liberty) </w:t>
      </w:r>
      <w:r w:rsidRPr="00C07292" w:rsidR="00D55A9C">
        <w:t xml:space="preserve">and PacifiCorp shall each retain the following documentation for its Rule 20 programs for a minimum of </w:t>
      </w:r>
      <w:r w:rsidR="00ED5337">
        <w:br/>
      </w:r>
      <w:r w:rsidRPr="00C07292" w:rsidR="00D55A9C">
        <w:t>15 years from the completion of the project: (a) all project bids, purchase orders, contracts, invoices, and payments, and (b) all calculations of overhead costs and any other charges for the utility’s work on a project by line item.</w:t>
      </w:r>
      <w:r w:rsidR="00D90696">
        <w:t xml:space="preserve">  </w:t>
      </w:r>
      <w:r w:rsidRPr="00C07292" w:rsidR="00D55A9C">
        <w:t xml:space="preserve">PG&amp;E, SCE, SDG&amp;E, Liberty and PacifiCorp shall each provide a copy of this information to any local government or ratepayer advocate within </w:t>
      </w:r>
      <w:r w:rsidR="00D73E3C">
        <w:t>30</w:t>
      </w:r>
      <w:r w:rsidRPr="00C07292" w:rsidR="00D55A9C">
        <w:t xml:space="preserve"> days of written request enclosing a signed nondisclosure agreement in the standard form attached to the Rule 20 guidebook.</w:t>
      </w:r>
    </w:p>
    <w:p w:rsidRPr="00C07292" w:rsidR="00D55A9C" w:rsidP="00C07292" w:rsidRDefault="00D55A9C" w14:paraId="373A2352" w14:textId="77777777">
      <w:pPr>
        <w:pStyle w:val="OP"/>
      </w:pPr>
      <w:r w:rsidRPr="00C07292">
        <w:lastRenderedPageBreak/>
        <w:t xml:space="preserve">The statutory deadline of this proceeding is extended for 12 months after the effective date of this decision. </w:t>
      </w:r>
    </w:p>
    <w:p w:rsidRPr="00C07292" w:rsidR="00D55A9C" w:rsidP="00C07292" w:rsidRDefault="00D55A9C" w14:paraId="4C69DF59" w14:textId="7F112D0C">
      <w:pPr>
        <w:pStyle w:val="OP"/>
      </w:pPr>
      <w:r w:rsidRPr="00C07292">
        <w:t>The Commission waives the audit requirements set forth in the Order Instituting Rulemaking to Consider Revisions to Electric Rule 20 and Related Matters for S</w:t>
      </w:r>
      <w:r w:rsidR="00272710">
        <w:t xml:space="preserve">outhern California </w:t>
      </w:r>
      <w:r w:rsidRPr="00C07292">
        <w:t>E</w:t>
      </w:r>
      <w:r w:rsidR="00272710">
        <w:t>dison Company</w:t>
      </w:r>
      <w:r w:rsidRPr="00C07292">
        <w:t xml:space="preserve"> and </w:t>
      </w:r>
      <w:r w:rsidRPr="006F7550" w:rsidR="00272710">
        <w:t>San Diego Gas &amp; Electric Company</w:t>
      </w:r>
      <w:r w:rsidRPr="00C07292">
        <w:t>.</w:t>
      </w:r>
    </w:p>
    <w:p w:rsidRPr="00C07292" w:rsidR="00D55A9C" w:rsidP="003670D0" w:rsidRDefault="00D55A9C" w14:paraId="14AA3C04" w14:textId="77777777">
      <w:pPr>
        <w:pStyle w:val="OP"/>
        <w:keepNext/>
        <w:keepLines/>
        <w:ind w:firstLine="547"/>
      </w:pPr>
      <w:r w:rsidRPr="00C07292">
        <w:t>All motions not previously ruled on are hereby denied.</w:t>
      </w:r>
    </w:p>
    <w:p w:rsidRPr="00C07292" w:rsidR="00D55A9C" w:rsidP="003670D0" w:rsidRDefault="00D55A9C" w14:paraId="61CD2165" w14:textId="77777777">
      <w:pPr>
        <w:pStyle w:val="OP"/>
        <w:keepNext/>
        <w:keepLines/>
        <w:ind w:firstLine="547"/>
      </w:pPr>
      <w:r w:rsidRPr="00C07292">
        <w:t>Rulemaking 17-05-010 remains open.</w:t>
      </w:r>
    </w:p>
    <w:p w:rsidR="008F0116" w:rsidP="008F0116" w:rsidRDefault="008F0116" w14:paraId="0FA7F1BA" w14:textId="77777777">
      <w:r>
        <w:t>This order is effective today.</w:t>
      </w:r>
    </w:p>
    <w:p w:rsidR="001E796D" w:rsidP="001E796D" w:rsidRDefault="008F0116" w14:paraId="50F21E3B" w14:textId="57ECFA7E">
      <w:r>
        <w:t xml:space="preserve">Dated </w:t>
      </w:r>
      <w:r w:rsidR="00C062E1">
        <w:t>June 3, 2021</w:t>
      </w:r>
      <w:r>
        <w:t>, at San Francisco, California</w:t>
      </w:r>
      <w:r w:rsidR="00D55A9C">
        <w:t>.</w:t>
      </w:r>
    </w:p>
    <w:p w:rsidR="00C062E1" w:rsidP="001E796D" w:rsidRDefault="00C062E1" w14:paraId="5E88139B" w14:textId="77777777"/>
    <w:p w:rsidRPr="00AE0DE2" w:rsidR="00C062E1" w:rsidP="00C062E1" w:rsidRDefault="00C062E1" w14:paraId="290E0678" w14:textId="77777777">
      <w:pPr>
        <w:autoSpaceDE w:val="0"/>
        <w:autoSpaceDN w:val="0"/>
        <w:adjustRightInd w:val="0"/>
        <w:spacing w:line="240" w:lineRule="auto"/>
        <w:ind w:left="4320"/>
        <w:jc w:val="both"/>
        <w:rPr>
          <w:rFonts w:cs="Times New Roman"/>
          <w:szCs w:val="20"/>
        </w:rPr>
      </w:pPr>
      <w:r w:rsidRPr="00AE0DE2">
        <w:rPr>
          <w:rFonts w:cs="Times New Roman"/>
          <w:szCs w:val="20"/>
        </w:rPr>
        <w:t>MARYBEL BATJER</w:t>
      </w:r>
    </w:p>
    <w:p w:rsidR="00C062E1" w:rsidP="00C062E1" w:rsidRDefault="00C062E1" w14:paraId="1A1AEBE8" w14:textId="77777777">
      <w:pPr>
        <w:autoSpaceDE w:val="0"/>
        <w:autoSpaceDN w:val="0"/>
        <w:adjustRightInd w:val="0"/>
        <w:spacing w:line="240" w:lineRule="auto"/>
        <w:ind w:firstLine="5490"/>
        <w:jc w:val="both"/>
        <w:rPr>
          <w:rFonts w:cs="Times New Roman"/>
          <w:szCs w:val="20"/>
        </w:rPr>
      </w:pPr>
      <w:r w:rsidRPr="00AE0DE2">
        <w:rPr>
          <w:rFonts w:cs="Times New Roman"/>
          <w:szCs w:val="20"/>
        </w:rPr>
        <w:t>President</w:t>
      </w:r>
    </w:p>
    <w:p w:rsidRPr="00AE0DE2" w:rsidR="00C062E1" w:rsidP="00C062E1" w:rsidRDefault="00C062E1" w14:paraId="15D8F39B" w14:textId="77777777">
      <w:pPr>
        <w:autoSpaceDE w:val="0"/>
        <w:autoSpaceDN w:val="0"/>
        <w:adjustRightInd w:val="0"/>
        <w:spacing w:line="240" w:lineRule="auto"/>
        <w:ind w:left="4320"/>
        <w:jc w:val="both"/>
        <w:rPr>
          <w:rFonts w:cs="Times New Roman"/>
          <w:szCs w:val="20"/>
        </w:rPr>
      </w:pPr>
      <w:r w:rsidRPr="00AE0DE2">
        <w:rPr>
          <w:rFonts w:cs="Times New Roman"/>
          <w:szCs w:val="20"/>
        </w:rPr>
        <w:t>MARTHA GUZMAN ACEVES</w:t>
      </w:r>
    </w:p>
    <w:p w:rsidRPr="00AE0DE2" w:rsidR="00C062E1" w:rsidP="00C062E1" w:rsidRDefault="00C062E1" w14:paraId="3F06505C" w14:textId="77777777">
      <w:pPr>
        <w:autoSpaceDE w:val="0"/>
        <w:autoSpaceDN w:val="0"/>
        <w:adjustRightInd w:val="0"/>
        <w:spacing w:line="240" w:lineRule="auto"/>
        <w:ind w:left="4320"/>
        <w:jc w:val="both"/>
        <w:rPr>
          <w:rFonts w:cs="Times New Roman"/>
          <w:szCs w:val="20"/>
        </w:rPr>
      </w:pPr>
      <w:r w:rsidRPr="00AE0DE2">
        <w:rPr>
          <w:rFonts w:cs="Times New Roman"/>
          <w:szCs w:val="20"/>
        </w:rPr>
        <w:t>CLIFFORD RECHTSCHAFFEN</w:t>
      </w:r>
    </w:p>
    <w:p w:rsidR="00C062E1" w:rsidP="00C062E1" w:rsidRDefault="00C062E1" w14:paraId="7045A519" w14:textId="77777777">
      <w:pPr>
        <w:autoSpaceDE w:val="0"/>
        <w:autoSpaceDN w:val="0"/>
        <w:adjustRightInd w:val="0"/>
        <w:spacing w:line="240" w:lineRule="auto"/>
        <w:ind w:left="4320"/>
        <w:jc w:val="both"/>
        <w:rPr>
          <w:rFonts w:cs="Times New Roman"/>
          <w:szCs w:val="20"/>
        </w:rPr>
      </w:pPr>
      <w:r w:rsidRPr="00AE0DE2">
        <w:rPr>
          <w:rFonts w:cs="Times New Roman"/>
          <w:szCs w:val="20"/>
        </w:rPr>
        <w:t>GENEVIEVE SHIROMA</w:t>
      </w:r>
    </w:p>
    <w:p w:rsidRPr="00AE0DE2" w:rsidR="00C062E1" w:rsidP="00C062E1" w:rsidRDefault="00C062E1" w14:paraId="3ADB9B74" w14:textId="77777777">
      <w:pPr>
        <w:autoSpaceDE w:val="0"/>
        <w:autoSpaceDN w:val="0"/>
        <w:adjustRightInd w:val="0"/>
        <w:spacing w:line="240" w:lineRule="auto"/>
        <w:ind w:left="3600" w:firstLine="1530"/>
        <w:jc w:val="both"/>
        <w:rPr>
          <w:rFonts w:cs="Times New Roman"/>
          <w:szCs w:val="20"/>
        </w:rPr>
      </w:pPr>
      <w:r>
        <w:rPr>
          <w:rFonts w:cs="Times New Roman"/>
          <w:szCs w:val="20"/>
        </w:rPr>
        <w:t>DARCIE HOUCK</w:t>
      </w:r>
    </w:p>
    <w:p w:rsidR="00C062E1" w:rsidP="00C062E1" w:rsidRDefault="00C062E1" w14:paraId="32C39BC6" w14:textId="15E79639">
      <w:pPr>
        <w:spacing w:line="240" w:lineRule="auto"/>
        <w:ind w:firstLine="5400"/>
      </w:pPr>
      <w:r w:rsidRPr="00AE0DE2">
        <w:rPr>
          <w:rFonts w:cs="Times New Roman"/>
          <w:szCs w:val="20"/>
        </w:rPr>
        <w:t>Commissioners</w:t>
      </w:r>
    </w:p>
    <w:p w:rsidR="00C062E1" w:rsidP="001E796D" w:rsidRDefault="00C062E1" w14:paraId="30C6591D" w14:textId="77777777"/>
    <w:p w:rsidRPr="001E796D" w:rsidR="00C062E1" w:rsidP="001E796D" w:rsidRDefault="00C062E1" w14:paraId="0DC85992" w14:textId="153BC377">
      <w:pPr>
        <w:sectPr w:rsidRPr="001E796D" w:rsidR="00C062E1" w:rsidSect="002D43FB">
          <w:headerReference w:type="default" r:id="rId11"/>
          <w:footerReference w:type="default" r:id="rId12"/>
          <w:pgSz w:w="12240" w:h="15840"/>
          <w:pgMar w:top="1728" w:right="1440" w:bottom="1440" w:left="1440" w:header="720" w:footer="720" w:gutter="0"/>
          <w:cols w:space="720"/>
          <w:docGrid w:linePitch="360"/>
        </w:sectPr>
      </w:pPr>
    </w:p>
    <w:p w:rsidR="00C57EA6" w:rsidP="00C57EA6" w:rsidRDefault="00C57EA6" w14:paraId="56CA0240" w14:textId="77777777">
      <w:pPr>
        <w:ind w:firstLine="0"/>
        <w:rPr>
          <w:b/>
        </w:rPr>
      </w:pPr>
    </w:p>
    <w:p w:rsidR="00C57EA6" w:rsidP="00C57EA6" w:rsidRDefault="00C57EA6" w14:paraId="0C2A0D82" w14:textId="77777777">
      <w:pPr>
        <w:ind w:firstLine="0"/>
        <w:rPr>
          <w:b/>
        </w:rPr>
      </w:pPr>
    </w:p>
    <w:p w:rsidR="00C57EA6" w:rsidP="00C57EA6" w:rsidRDefault="00C57EA6" w14:paraId="76745175" w14:textId="77777777">
      <w:pPr>
        <w:ind w:firstLine="0"/>
        <w:jc w:val="center"/>
        <w:rPr>
          <w:b/>
          <w:sz w:val="44"/>
          <w:szCs w:val="44"/>
        </w:rPr>
      </w:pPr>
    </w:p>
    <w:p w:rsidR="00C57EA6" w:rsidP="00C57EA6" w:rsidRDefault="00C57EA6" w14:paraId="4D1737EF" w14:textId="77777777">
      <w:pPr>
        <w:ind w:firstLine="0"/>
        <w:jc w:val="center"/>
        <w:rPr>
          <w:b/>
          <w:sz w:val="44"/>
          <w:szCs w:val="44"/>
        </w:rPr>
      </w:pPr>
    </w:p>
    <w:p w:rsidR="00C57EA6" w:rsidP="00C57EA6" w:rsidRDefault="00C57EA6" w14:paraId="6710B182" w14:textId="77777777">
      <w:pPr>
        <w:ind w:firstLine="0"/>
        <w:jc w:val="center"/>
        <w:rPr>
          <w:b/>
          <w:sz w:val="44"/>
          <w:szCs w:val="44"/>
        </w:rPr>
      </w:pPr>
    </w:p>
    <w:p w:rsidRPr="00C57EA6" w:rsidR="00C57EA6" w:rsidP="00C57EA6" w:rsidRDefault="00C57EA6" w14:paraId="133E16F0" w14:textId="0EC99974">
      <w:pPr>
        <w:ind w:firstLine="0"/>
        <w:jc w:val="center"/>
        <w:rPr>
          <w:b/>
          <w:sz w:val="44"/>
          <w:szCs w:val="44"/>
        </w:rPr>
      </w:pPr>
      <w:r w:rsidRPr="00C57EA6">
        <w:rPr>
          <w:b/>
          <w:sz w:val="44"/>
          <w:szCs w:val="44"/>
        </w:rPr>
        <w:t>ATTACHMENT A</w:t>
      </w:r>
    </w:p>
    <w:p w:rsidR="00C57EA6" w:rsidP="00C57EA6" w:rsidRDefault="00C57EA6" w14:paraId="14071129" w14:textId="77777777">
      <w:pPr>
        <w:ind w:firstLine="0"/>
        <w:rPr>
          <w:b/>
        </w:rPr>
      </w:pPr>
    </w:p>
    <w:p w:rsidR="00C57EA6" w:rsidP="00C57EA6" w:rsidRDefault="00C57EA6" w14:paraId="601C5CA7" w14:textId="77777777">
      <w:pPr>
        <w:ind w:firstLine="0"/>
        <w:rPr>
          <w:b/>
        </w:rPr>
      </w:pPr>
    </w:p>
    <w:p w:rsidR="00C57EA6" w:rsidP="00C57EA6" w:rsidRDefault="00C57EA6" w14:paraId="23191478" w14:textId="77777777">
      <w:pPr>
        <w:ind w:firstLine="0"/>
        <w:rPr>
          <w:b/>
        </w:rPr>
      </w:pPr>
    </w:p>
    <w:p w:rsidR="00C57EA6" w:rsidP="00C57EA6" w:rsidRDefault="00C57EA6" w14:paraId="54BFDE8D" w14:textId="3B1B5859">
      <w:pPr>
        <w:ind w:firstLine="0"/>
        <w:rPr>
          <w:b/>
        </w:rPr>
        <w:sectPr w:rsidR="00C57EA6" w:rsidSect="00A14454">
          <w:headerReference w:type="default" r:id="rId13"/>
          <w:footerReference w:type="default" r:id="rId14"/>
          <w:headerReference w:type="first" r:id="rId15"/>
          <w:footerReference w:type="first" r:id="rId16"/>
          <w:pgSz w:w="12240" w:h="15840" w:code="1"/>
          <w:pgMar w:top="1728" w:right="1440" w:bottom="1440" w:left="1440" w:header="720" w:footer="720" w:gutter="0"/>
          <w:pgNumType w:start="1"/>
          <w:cols w:space="720"/>
          <w:titlePg/>
        </w:sectPr>
      </w:pPr>
    </w:p>
    <w:p w:rsidR="004E5B4C" w:rsidP="00AD5358" w:rsidRDefault="004E5B4C" w14:paraId="7744552D" w14:textId="404FE98F">
      <w:pPr>
        <w:ind w:firstLine="0"/>
        <w:jc w:val="center"/>
        <w:rPr>
          <w:b/>
        </w:rPr>
      </w:pPr>
    </w:p>
    <w:p w:rsidR="00D55A9C" w:rsidP="00AD5358" w:rsidRDefault="00D55A9C" w14:paraId="17E00A37" w14:textId="75A93432">
      <w:pPr>
        <w:ind w:firstLine="0"/>
        <w:jc w:val="center"/>
        <w:rPr>
          <w:b/>
        </w:rPr>
      </w:pPr>
      <w:r w:rsidRPr="1C3ACD32">
        <w:rPr>
          <w:b/>
        </w:rPr>
        <w:t>Attachment A</w:t>
      </w:r>
    </w:p>
    <w:p w:rsidRPr="001E796D" w:rsidR="00D55A9C" w:rsidP="001E796D" w:rsidRDefault="00D55A9C" w14:paraId="2B594F33" w14:textId="51BCB093">
      <w:pPr>
        <w:ind w:firstLine="0"/>
        <w:jc w:val="center"/>
        <w:rPr>
          <w:rStyle w:val="normaltextrun"/>
          <w:b/>
          <w:bCs/>
          <w:szCs w:val="26"/>
        </w:rPr>
      </w:pPr>
      <w:r>
        <w:rPr>
          <w:b/>
          <w:bCs/>
          <w:szCs w:val="26"/>
        </w:rPr>
        <w:t>Annual Reports for Rule 20 Programs</w:t>
      </w:r>
    </w:p>
    <w:p w:rsidR="00D55A9C" w:rsidP="00D55A9C" w:rsidRDefault="00D55A9C" w14:paraId="1C40338B" w14:textId="77777777">
      <w:pPr>
        <w:pStyle w:val="paragraph"/>
        <w:spacing w:before="0" w:beforeAutospacing="0" w:after="0" w:afterAutospacing="0"/>
        <w:textAlignment w:val="baseline"/>
        <w:rPr>
          <w:rStyle w:val="normaltextrun"/>
          <w:rFonts w:ascii="Book Antiqua" w:hAnsi="Book Antiqua" w:cs="Segoe UI"/>
        </w:rPr>
      </w:pPr>
      <w:r>
        <w:rPr>
          <w:rStyle w:val="normaltextrun"/>
          <w:rFonts w:ascii="Book Antiqua" w:hAnsi="Book Antiqua" w:cs="Segoe UI"/>
        </w:rPr>
        <w:t>The Annual Reports for Rule 20 Programs shall include information at the community level as well as at the project level.  The Commission’s Energy Division will post guidelines for the Annual Reports by November 1 each year on the Commission’s webpage for Rule 20, currently located at</w:t>
      </w:r>
      <w:r w:rsidRPr="00447056">
        <w:rPr>
          <w:rStyle w:val="normaltextrun"/>
          <w:rFonts w:ascii="Book Antiqua" w:hAnsi="Book Antiqua" w:cs="Segoe UI"/>
        </w:rPr>
        <w:t xml:space="preserve"> www.cpuc.ca.gov/rule20.</w:t>
      </w:r>
      <w:r>
        <w:rPr>
          <w:rStyle w:val="normaltextrun"/>
          <w:rFonts w:ascii="Book Antiqua" w:hAnsi="Book Antiqua" w:cs="Segoe UI"/>
        </w:rPr>
        <w:t xml:space="preserve"> The guidelines will include filing guidance, format, definitions, and spreadsheet templates.</w:t>
      </w:r>
    </w:p>
    <w:p w:rsidR="00D55A9C" w:rsidP="00D55A9C" w:rsidRDefault="00D55A9C" w14:paraId="66061111" w14:textId="77777777">
      <w:pPr>
        <w:pStyle w:val="paragraph"/>
        <w:spacing w:before="0" w:beforeAutospacing="0" w:after="0" w:afterAutospacing="0"/>
        <w:textAlignment w:val="baseline"/>
        <w:rPr>
          <w:rFonts w:ascii="Segoe UI" w:hAnsi="Segoe UI" w:cs="Segoe UI"/>
          <w:sz w:val="18"/>
          <w:szCs w:val="18"/>
        </w:rPr>
      </w:pPr>
    </w:p>
    <w:p w:rsidR="00D55A9C" w:rsidP="00D55A9C" w:rsidRDefault="00D55A9C" w14:paraId="11C9B483" w14:textId="7777777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b/>
          <w:bCs/>
        </w:rPr>
        <w:t>Community Level Data</w:t>
      </w:r>
      <w:r>
        <w:rPr>
          <w:rStyle w:val="eop"/>
          <w:rFonts w:ascii="Book Antiqua" w:hAnsi="Book Antiqua" w:cs="Segoe UI"/>
        </w:rPr>
        <w:t> </w:t>
      </w:r>
    </w:p>
    <w:p w:rsidR="00D55A9C" w:rsidP="00D55A9C" w:rsidRDefault="00D55A9C" w14:paraId="021EB852" w14:textId="7777777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rPr>
        <w:t>Community level data shall provide an overview of each community and their participation in each Rule 20 program to date.  It shall include, but not be limited to:</w:t>
      </w:r>
      <w:r>
        <w:rPr>
          <w:rStyle w:val="eop"/>
          <w:rFonts w:ascii="Book Antiqua" w:hAnsi="Book Antiqua" w:cs="Segoe UI"/>
        </w:rPr>
        <w:t> </w:t>
      </w:r>
    </w:p>
    <w:p w:rsidR="00D55A9C" w:rsidP="00D55A9C" w:rsidRDefault="00D55A9C" w14:paraId="6F91D423" w14:textId="77777777">
      <w:pPr>
        <w:pStyle w:val="paragraph"/>
        <w:numPr>
          <w:ilvl w:val="0"/>
          <w:numId w:val="30"/>
        </w:numPr>
        <w:spacing w:before="0" w:beforeAutospacing="0" w:after="0" w:afterAutospacing="0"/>
        <w:textAlignment w:val="baseline"/>
        <w:rPr>
          <w:rFonts w:ascii="Calibri" w:hAnsi="Calibri" w:cs="Calibri"/>
        </w:rPr>
      </w:pPr>
      <w:r>
        <w:rPr>
          <w:rStyle w:val="normaltextrun"/>
          <w:rFonts w:ascii="Book Antiqua" w:hAnsi="Book Antiqua" w:cs="Calibri"/>
        </w:rPr>
        <w:t>the names of all communities,</w:t>
      </w:r>
      <w:r>
        <w:rPr>
          <w:rStyle w:val="eop"/>
          <w:rFonts w:ascii="Book Antiqua" w:hAnsi="Book Antiqua" w:cs="Calibri"/>
        </w:rPr>
        <w:t> </w:t>
      </w:r>
    </w:p>
    <w:p w:rsidR="00D55A9C" w:rsidP="00D55A9C" w:rsidRDefault="00D55A9C" w14:paraId="48844551" w14:textId="77777777">
      <w:pPr>
        <w:pStyle w:val="paragraph"/>
        <w:numPr>
          <w:ilvl w:val="0"/>
          <w:numId w:val="30"/>
        </w:numPr>
        <w:spacing w:before="0" w:beforeAutospacing="0" w:after="0" w:afterAutospacing="0"/>
        <w:textAlignment w:val="baseline"/>
      </w:pPr>
      <w:r>
        <w:rPr>
          <w:rStyle w:val="normaltextrun"/>
          <w:rFonts w:ascii="Book Antiqua" w:hAnsi="Book Antiqua"/>
        </w:rPr>
        <w:t>a geographic information system (GIS) shape file,</w:t>
      </w:r>
      <w:r>
        <w:rPr>
          <w:rStyle w:val="eop"/>
          <w:rFonts w:ascii="Book Antiqua" w:hAnsi="Book Antiqua"/>
        </w:rPr>
        <w:t> </w:t>
      </w:r>
    </w:p>
    <w:p w:rsidR="00D55A9C" w:rsidP="00D55A9C" w:rsidRDefault="00D55A9C" w14:paraId="156415E9" w14:textId="77777777">
      <w:pPr>
        <w:pStyle w:val="paragraph"/>
        <w:numPr>
          <w:ilvl w:val="0"/>
          <w:numId w:val="30"/>
        </w:numPr>
        <w:spacing w:before="0" w:beforeAutospacing="0" w:after="0" w:afterAutospacing="0"/>
        <w:textAlignment w:val="baseline"/>
      </w:pPr>
      <w:r>
        <w:rPr>
          <w:rStyle w:val="normaltextrun"/>
          <w:rFonts w:ascii="Book Antiqua" w:hAnsi="Book Antiqua"/>
        </w:rPr>
        <w:t>the number of primary circuit miles converted to date,</w:t>
      </w:r>
      <w:r>
        <w:rPr>
          <w:rStyle w:val="eop"/>
          <w:rFonts w:ascii="Book Antiqua" w:hAnsi="Book Antiqua"/>
        </w:rPr>
        <w:t> </w:t>
      </w:r>
    </w:p>
    <w:p w:rsidR="00D55A9C" w:rsidP="00D55A9C" w:rsidRDefault="00D55A9C" w14:paraId="3BA94B2F" w14:textId="77777777">
      <w:pPr>
        <w:pStyle w:val="paragraph"/>
        <w:numPr>
          <w:ilvl w:val="0"/>
          <w:numId w:val="30"/>
        </w:numPr>
        <w:spacing w:before="0" w:beforeAutospacing="0" w:after="0" w:afterAutospacing="0"/>
        <w:textAlignment w:val="baseline"/>
      </w:pPr>
      <w:r>
        <w:rPr>
          <w:rStyle w:val="normaltextrun"/>
          <w:rFonts w:ascii="Book Antiqua" w:hAnsi="Book Antiqua"/>
        </w:rPr>
        <w:t>the total value of projects completed to date,</w:t>
      </w:r>
      <w:r>
        <w:rPr>
          <w:rStyle w:val="eop"/>
          <w:rFonts w:ascii="Book Antiqua" w:hAnsi="Book Antiqua"/>
        </w:rPr>
        <w:t> </w:t>
      </w:r>
    </w:p>
    <w:p w:rsidR="00D55A9C" w:rsidP="00D55A9C" w:rsidRDefault="00D55A9C" w14:paraId="68B6251C" w14:textId="77777777">
      <w:pPr>
        <w:pStyle w:val="paragraph"/>
        <w:numPr>
          <w:ilvl w:val="0"/>
          <w:numId w:val="30"/>
        </w:numPr>
        <w:spacing w:before="0" w:beforeAutospacing="0" w:after="0" w:afterAutospacing="0"/>
        <w:textAlignment w:val="baseline"/>
      </w:pPr>
      <w:r>
        <w:rPr>
          <w:rStyle w:val="normaltextrun"/>
          <w:rFonts w:ascii="Book Antiqua" w:hAnsi="Book Antiqua"/>
        </w:rPr>
        <w:t>the names of relevant applicants, and</w:t>
      </w:r>
      <w:r>
        <w:rPr>
          <w:rStyle w:val="eop"/>
          <w:rFonts w:ascii="Book Antiqua" w:hAnsi="Book Antiqua"/>
        </w:rPr>
        <w:t> </w:t>
      </w:r>
    </w:p>
    <w:p w:rsidR="00D55A9C" w:rsidP="00D55A9C" w:rsidRDefault="00D55A9C" w14:paraId="2EBA979D" w14:textId="77777777">
      <w:pPr>
        <w:pStyle w:val="paragraph"/>
        <w:numPr>
          <w:ilvl w:val="0"/>
          <w:numId w:val="30"/>
        </w:numPr>
        <w:spacing w:before="0" w:beforeAutospacing="0" w:after="0" w:afterAutospacing="0"/>
        <w:textAlignment w:val="baseline"/>
      </w:pPr>
      <w:r>
        <w:rPr>
          <w:rStyle w:val="normaltextrun"/>
          <w:rFonts w:ascii="Book Antiqua" w:hAnsi="Book Antiqua"/>
        </w:rPr>
        <w:t>the number of </w:t>
      </w:r>
      <w:proofErr w:type="gramStart"/>
      <w:r>
        <w:rPr>
          <w:rStyle w:val="normaltextrun"/>
          <w:rFonts w:ascii="Book Antiqua" w:hAnsi="Book Antiqua"/>
        </w:rPr>
        <w:t>project</w:t>
      </w:r>
      <w:proofErr w:type="gramEnd"/>
      <w:r>
        <w:rPr>
          <w:rStyle w:val="normaltextrun"/>
          <w:rFonts w:ascii="Book Antiqua" w:hAnsi="Book Antiqua"/>
        </w:rPr>
        <w:t> in each stage.</w:t>
      </w:r>
      <w:r>
        <w:rPr>
          <w:rStyle w:val="eop"/>
          <w:rFonts w:ascii="Book Antiqua" w:hAnsi="Book Antiqua"/>
        </w:rPr>
        <w:t> </w:t>
      </w:r>
    </w:p>
    <w:p w:rsidR="00D55A9C" w:rsidP="00D55A9C" w:rsidRDefault="00D55A9C" w14:paraId="47571FDA" w14:textId="77777777">
      <w:pPr>
        <w:pStyle w:val="paragraph"/>
        <w:spacing w:before="0" w:beforeAutospacing="0" w:after="0" w:afterAutospacing="0"/>
        <w:textAlignment w:val="baseline"/>
        <w:rPr>
          <w:rStyle w:val="normaltextrun"/>
          <w:rFonts w:ascii="Book Antiqua" w:hAnsi="Book Antiqua"/>
        </w:rPr>
      </w:pPr>
    </w:p>
    <w:p w:rsidR="00D55A9C" w:rsidP="00D55A9C" w:rsidRDefault="00D55A9C" w14:paraId="746DC269" w14:textId="77777777">
      <w:pPr>
        <w:pStyle w:val="paragraph"/>
        <w:spacing w:before="0" w:beforeAutospacing="0" w:after="0" w:afterAutospacing="0"/>
        <w:textAlignment w:val="baseline"/>
      </w:pPr>
      <w:r>
        <w:rPr>
          <w:rStyle w:val="normaltextrun"/>
          <w:rFonts w:ascii="Book Antiqua" w:hAnsi="Book Antiqua"/>
        </w:rPr>
        <w:t>For the Rule 20A Program, community level data shall include comprehensive work credit data for each local government the utility serves for all years Rule 20A has been in operation, the status (active or inactive) of each local government, and more.</w:t>
      </w:r>
      <w:r>
        <w:rPr>
          <w:rStyle w:val="eop"/>
          <w:rFonts w:ascii="Book Antiqua" w:hAnsi="Book Antiqua"/>
        </w:rPr>
        <w:t> </w:t>
      </w:r>
    </w:p>
    <w:p w:rsidR="00D55A9C" w:rsidP="00D55A9C" w:rsidRDefault="00D55A9C" w14:paraId="31C83CA4" w14:textId="77777777">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rPr>
        <w:t> </w:t>
      </w:r>
    </w:p>
    <w:p w:rsidR="00D55A9C" w:rsidP="00D55A9C" w:rsidRDefault="00D55A9C" w14:paraId="69CB3B37" w14:textId="7777777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b/>
          <w:bCs/>
        </w:rPr>
        <w:t>Project Level Data</w:t>
      </w:r>
      <w:r>
        <w:rPr>
          <w:rStyle w:val="eop"/>
          <w:rFonts w:ascii="Book Antiqua" w:hAnsi="Book Antiqua" w:cs="Segoe UI"/>
        </w:rPr>
        <w:t> </w:t>
      </w:r>
    </w:p>
    <w:p w:rsidR="00D55A9C" w:rsidP="00D55A9C" w:rsidRDefault="00D55A9C" w14:paraId="34AB8C71" w14:textId="7777777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rPr>
        <w:t>Project level data shall include, but not be limited to:</w:t>
      </w:r>
      <w:r>
        <w:rPr>
          <w:rStyle w:val="eop"/>
          <w:rFonts w:ascii="Book Antiqua" w:hAnsi="Book Antiqua" w:cs="Segoe UI"/>
        </w:rPr>
        <w:t> </w:t>
      </w:r>
    </w:p>
    <w:p w:rsidR="00D55A9C" w:rsidP="00D55A9C" w:rsidRDefault="00D55A9C" w14:paraId="34378E43" w14:textId="77777777">
      <w:pPr>
        <w:pStyle w:val="paragraph"/>
        <w:numPr>
          <w:ilvl w:val="0"/>
          <w:numId w:val="31"/>
        </w:numPr>
        <w:spacing w:before="0" w:beforeAutospacing="0" w:after="0" w:afterAutospacing="0"/>
        <w:textAlignment w:val="baseline"/>
        <w:rPr>
          <w:rFonts w:ascii="Calibri" w:hAnsi="Calibri" w:cs="Calibri"/>
        </w:rPr>
      </w:pPr>
      <w:r>
        <w:rPr>
          <w:rStyle w:val="normaltextrun"/>
          <w:rFonts w:ascii="Book Antiqua" w:hAnsi="Book Antiqua" w:cs="Calibri"/>
        </w:rPr>
        <w:t>an overview of each project to date – anticipated, in progress by stage, and completed,</w:t>
      </w:r>
      <w:r>
        <w:rPr>
          <w:rStyle w:val="eop"/>
          <w:rFonts w:ascii="Book Antiqua" w:hAnsi="Book Antiqua" w:cs="Calibri"/>
        </w:rPr>
        <w:t> </w:t>
      </w:r>
    </w:p>
    <w:p w:rsidR="00D55A9C" w:rsidP="00D55A9C" w:rsidRDefault="00D55A9C" w14:paraId="5259778E" w14:textId="77777777">
      <w:pPr>
        <w:pStyle w:val="paragraph"/>
        <w:numPr>
          <w:ilvl w:val="0"/>
          <w:numId w:val="31"/>
        </w:numPr>
        <w:spacing w:before="0" w:beforeAutospacing="0" w:after="0" w:afterAutospacing="0"/>
        <w:textAlignment w:val="baseline"/>
      </w:pPr>
      <w:r>
        <w:rPr>
          <w:rStyle w:val="normaltextrun"/>
          <w:rFonts w:ascii="Book Antiqua" w:hAnsi="Book Antiqua"/>
        </w:rPr>
        <w:t>the number of primary circuit miles (to be) converted,</w:t>
      </w:r>
      <w:r>
        <w:rPr>
          <w:rStyle w:val="normaltextrun"/>
          <w:rFonts w:ascii="Book Antiqua" w:hAnsi="Book Antiqua"/>
          <w:strike/>
        </w:rPr>
        <w:t> </w:t>
      </w:r>
      <w:r>
        <w:rPr>
          <w:rStyle w:val="eop"/>
          <w:rFonts w:ascii="Book Antiqua" w:hAnsi="Book Antiqua"/>
        </w:rPr>
        <w:t> </w:t>
      </w:r>
    </w:p>
    <w:p w:rsidR="00D55A9C" w:rsidP="00D55A9C" w:rsidRDefault="00D55A9C" w14:paraId="4D4C6CE9" w14:textId="77777777">
      <w:pPr>
        <w:pStyle w:val="paragraph"/>
        <w:numPr>
          <w:ilvl w:val="0"/>
          <w:numId w:val="31"/>
        </w:numPr>
        <w:spacing w:before="0" w:beforeAutospacing="0" w:after="0" w:afterAutospacing="0"/>
        <w:textAlignment w:val="baseline"/>
      </w:pPr>
      <w:r>
        <w:rPr>
          <w:rStyle w:val="normaltextrun"/>
          <w:rFonts w:ascii="Book Antiqua" w:hAnsi="Book Antiqua"/>
        </w:rPr>
        <w:t>the project timeline to date,</w:t>
      </w:r>
      <w:r>
        <w:rPr>
          <w:rStyle w:val="eop"/>
          <w:rFonts w:ascii="Book Antiqua" w:hAnsi="Book Antiqua"/>
        </w:rPr>
        <w:t> </w:t>
      </w:r>
    </w:p>
    <w:p w:rsidR="00D55A9C" w:rsidP="00D55A9C" w:rsidRDefault="00D55A9C" w14:paraId="07FAF6D2" w14:textId="77777777">
      <w:pPr>
        <w:pStyle w:val="paragraph"/>
        <w:numPr>
          <w:ilvl w:val="0"/>
          <w:numId w:val="31"/>
        </w:numPr>
        <w:spacing w:before="0" w:beforeAutospacing="0" w:after="0" w:afterAutospacing="0"/>
        <w:textAlignment w:val="baseline"/>
      </w:pPr>
      <w:r>
        <w:rPr>
          <w:rStyle w:val="normaltextrun"/>
          <w:rFonts w:ascii="Book Antiqua" w:hAnsi="Book Antiqua"/>
        </w:rPr>
        <w:t>project area characteristics,</w:t>
      </w:r>
      <w:r>
        <w:rPr>
          <w:rStyle w:val="eop"/>
          <w:rFonts w:ascii="Book Antiqua" w:hAnsi="Book Antiqua"/>
        </w:rPr>
        <w:t> </w:t>
      </w:r>
    </w:p>
    <w:p w:rsidR="00D55A9C" w:rsidP="00D55A9C" w:rsidRDefault="00D55A9C" w14:paraId="41DB9767" w14:textId="77777777">
      <w:pPr>
        <w:pStyle w:val="paragraph"/>
        <w:numPr>
          <w:ilvl w:val="0"/>
          <w:numId w:val="31"/>
        </w:numPr>
        <w:spacing w:before="0" w:beforeAutospacing="0" w:after="0" w:afterAutospacing="0"/>
        <w:textAlignment w:val="baseline"/>
      </w:pPr>
      <w:r>
        <w:rPr>
          <w:rStyle w:val="normaltextrun"/>
          <w:rFonts w:ascii="Book Antiqua" w:hAnsi="Book Antiqua"/>
        </w:rPr>
        <w:t>issues identified (environmental, cultural, and/or others) with date identified,</w:t>
      </w:r>
      <w:r>
        <w:rPr>
          <w:rStyle w:val="eop"/>
          <w:rFonts w:ascii="Book Antiqua" w:hAnsi="Book Antiqua"/>
        </w:rPr>
        <w:t> </w:t>
      </w:r>
    </w:p>
    <w:p w:rsidR="00D55A9C" w:rsidP="00D55A9C" w:rsidRDefault="00D55A9C" w14:paraId="204C1E57" w14:textId="77777777">
      <w:pPr>
        <w:pStyle w:val="paragraph"/>
        <w:numPr>
          <w:ilvl w:val="0"/>
          <w:numId w:val="31"/>
        </w:numPr>
        <w:spacing w:before="0" w:beforeAutospacing="0" w:after="0" w:afterAutospacing="0"/>
        <w:textAlignment w:val="baseline"/>
      </w:pPr>
      <w:r>
        <w:rPr>
          <w:rStyle w:val="normaltextrun"/>
          <w:rFonts w:ascii="Book Antiqua" w:hAnsi="Book Antiqua"/>
        </w:rPr>
        <w:t>total project cost</w:t>
      </w:r>
      <w:r>
        <w:rPr>
          <w:rStyle w:val="eop"/>
          <w:rFonts w:ascii="Book Antiqua" w:hAnsi="Book Antiqua"/>
        </w:rPr>
        <w:t> </w:t>
      </w:r>
    </w:p>
    <w:p w:rsidR="00D55A9C" w:rsidP="00D55A9C" w:rsidRDefault="00D55A9C" w14:paraId="2334B3DE" w14:textId="77777777">
      <w:pPr>
        <w:pStyle w:val="paragraph"/>
        <w:numPr>
          <w:ilvl w:val="0"/>
          <w:numId w:val="31"/>
        </w:numPr>
        <w:spacing w:before="0" w:beforeAutospacing="0" w:after="0" w:afterAutospacing="0"/>
        <w:textAlignment w:val="baseline"/>
      </w:pPr>
      <w:r>
        <w:rPr>
          <w:rStyle w:val="normaltextrun"/>
          <w:rFonts w:ascii="Book Antiqua" w:hAnsi="Book Antiqua"/>
        </w:rPr>
        <w:t>total project cost disaggregated by responsible party at current stage and what it pays for,</w:t>
      </w:r>
      <w:r>
        <w:rPr>
          <w:rStyle w:val="eop"/>
          <w:rFonts w:ascii="Book Antiqua" w:hAnsi="Book Antiqua"/>
        </w:rPr>
        <w:t> </w:t>
      </w:r>
    </w:p>
    <w:p w:rsidR="00D55A9C" w:rsidP="00D55A9C" w:rsidRDefault="00D55A9C" w14:paraId="37E51155" w14:textId="77777777">
      <w:pPr>
        <w:pStyle w:val="paragraph"/>
        <w:numPr>
          <w:ilvl w:val="0"/>
          <w:numId w:val="31"/>
        </w:numPr>
        <w:spacing w:before="0" w:beforeAutospacing="0" w:after="0" w:afterAutospacing="0"/>
        <w:textAlignment w:val="baseline"/>
      </w:pPr>
      <w:r>
        <w:rPr>
          <w:rStyle w:val="normaltextrun"/>
          <w:rFonts w:ascii="Book Antiqua" w:hAnsi="Book Antiqua"/>
        </w:rPr>
        <w:t>project work completed, and</w:t>
      </w:r>
      <w:r>
        <w:rPr>
          <w:rStyle w:val="eop"/>
          <w:rFonts w:ascii="Book Antiqua" w:hAnsi="Book Antiqua"/>
        </w:rPr>
        <w:t> </w:t>
      </w:r>
    </w:p>
    <w:p w:rsidR="00D55A9C" w:rsidP="00D55A9C" w:rsidRDefault="00D55A9C" w14:paraId="69D6C0DE" w14:textId="77777777">
      <w:pPr>
        <w:pStyle w:val="paragraph"/>
        <w:numPr>
          <w:ilvl w:val="0"/>
          <w:numId w:val="31"/>
        </w:numPr>
        <w:spacing w:before="0" w:beforeAutospacing="0" w:after="0" w:afterAutospacing="0"/>
        <w:textAlignment w:val="baseline"/>
      </w:pPr>
      <w:r>
        <w:rPr>
          <w:rStyle w:val="normaltextrun"/>
          <w:rFonts w:ascii="Book Antiqua" w:hAnsi="Book Antiqua"/>
        </w:rPr>
        <w:t>any remaining poles and other facilities.  </w:t>
      </w:r>
      <w:r>
        <w:rPr>
          <w:rStyle w:val="eop"/>
          <w:rFonts w:ascii="Book Antiqua" w:hAnsi="Book Antiqua"/>
        </w:rPr>
        <w:t> </w:t>
      </w:r>
    </w:p>
    <w:p w:rsidR="00D55A9C" w:rsidP="00D55A9C" w:rsidRDefault="00D55A9C" w14:paraId="6EB2006D" w14:textId="77777777">
      <w:pPr>
        <w:pStyle w:val="paragraph"/>
        <w:spacing w:before="0" w:beforeAutospacing="0" w:after="0" w:afterAutospacing="0"/>
        <w:textAlignment w:val="baseline"/>
        <w:rPr>
          <w:rStyle w:val="normaltextrun"/>
          <w:rFonts w:ascii="Book Antiqua" w:hAnsi="Book Antiqua"/>
        </w:rPr>
      </w:pPr>
    </w:p>
    <w:p w:rsidR="001E796D" w:rsidP="004E5B4C" w:rsidRDefault="00D55A9C" w14:paraId="02886209" w14:textId="3D00F74B">
      <w:pPr>
        <w:pStyle w:val="paragraph"/>
        <w:keepNext/>
        <w:keepLines/>
        <w:spacing w:before="0" w:beforeAutospacing="0" w:after="0" w:afterAutospacing="0"/>
        <w:textAlignment w:val="baseline"/>
        <w:rPr>
          <w:rStyle w:val="eop"/>
          <w:rFonts w:ascii="Book Antiqua" w:hAnsi="Book Antiqua"/>
        </w:rPr>
      </w:pPr>
      <w:r>
        <w:rPr>
          <w:rStyle w:val="normaltextrun"/>
          <w:rFonts w:ascii="Book Antiqua" w:hAnsi="Book Antiqua"/>
        </w:rPr>
        <w:lastRenderedPageBreak/>
        <w:t>For the Rule 20A Program Annual Report, project level data shall include the public interest criteria under which the project qualifies, and the total costs paid with each source of funds (</w:t>
      </w:r>
      <w:proofErr w:type="gramStart"/>
      <w:r w:rsidRPr="0018441F">
        <w:rPr>
          <w:rStyle w:val="normaltextrun"/>
          <w:rFonts w:ascii="Book Antiqua" w:hAnsi="Book Antiqua"/>
          <w:i/>
          <w:iCs/>
        </w:rPr>
        <w:t>i.e.</w:t>
      </w:r>
      <w:proofErr w:type="gramEnd"/>
      <w:r>
        <w:rPr>
          <w:rStyle w:val="normaltextrun"/>
          <w:rFonts w:ascii="Book Antiqua" w:hAnsi="Book Antiqua"/>
        </w:rPr>
        <w:t> ratepayer, shareholders, community, and etc.).</w:t>
      </w:r>
      <w:r>
        <w:rPr>
          <w:rStyle w:val="eop"/>
          <w:rFonts w:ascii="Book Antiqua" w:hAnsi="Book Antiqua"/>
        </w:rPr>
        <w:t> </w:t>
      </w:r>
      <w:r w:rsidR="000861CD">
        <w:rPr>
          <w:rStyle w:val="eop"/>
          <w:rFonts w:ascii="Book Antiqua" w:hAnsi="Book Antiqua"/>
        </w:rPr>
        <w:t xml:space="preserve">Energy </w:t>
      </w:r>
      <w:r w:rsidRPr="000861CD" w:rsidR="000861CD">
        <w:rPr>
          <w:rStyle w:val="eop"/>
          <w:rFonts w:ascii="Book Antiqua" w:hAnsi="Book Antiqua"/>
        </w:rPr>
        <w:t>D</w:t>
      </w:r>
      <w:r w:rsidR="000861CD">
        <w:rPr>
          <w:rStyle w:val="eop"/>
          <w:rFonts w:ascii="Book Antiqua" w:hAnsi="Book Antiqua"/>
        </w:rPr>
        <w:t>ivision</w:t>
      </w:r>
      <w:r w:rsidRPr="000861CD" w:rsidR="000861CD">
        <w:rPr>
          <w:rStyle w:val="eop"/>
          <w:rFonts w:ascii="Book Antiqua" w:hAnsi="Book Antiqua"/>
        </w:rPr>
        <w:t xml:space="preserve"> </w:t>
      </w:r>
      <w:r w:rsidR="003D517D">
        <w:rPr>
          <w:rStyle w:val="eop"/>
          <w:rFonts w:ascii="Book Antiqua" w:hAnsi="Book Antiqua"/>
        </w:rPr>
        <w:t>may require less detailed reports</w:t>
      </w:r>
      <w:r w:rsidR="00516EC5">
        <w:rPr>
          <w:rStyle w:val="eop"/>
          <w:rFonts w:ascii="Book Antiqua" w:hAnsi="Book Antiqua"/>
        </w:rPr>
        <w:t xml:space="preserve"> </w:t>
      </w:r>
      <w:r w:rsidRPr="000861CD" w:rsidR="000861CD">
        <w:rPr>
          <w:rStyle w:val="eop"/>
          <w:rFonts w:ascii="Book Antiqua" w:hAnsi="Book Antiqua"/>
        </w:rPr>
        <w:t xml:space="preserve">for </w:t>
      </w:r>
      <w:r w:rsidR="000861CD">
        <w:rPr>
          <w:rStyle w:val="eop"/>
          <w:rFonts w:ascii="Book Antiqua" w:hAnsi="Book Antiqua"/>
        </w:rPr>
        <w:t>Rule 20</w:t>
      </w:r>
      <w:r w:rsidR="003D517D">
        <w:rPr>
          <w:rStyle w:val="eop"/>
          <w:rFonts w:ascii="Book Antiqua" w:hAnsi="Book Antiqua"/>
        </w:rPr>
        <w:t>B and Rule 20C</w:t>
      </w:r>
      <w:r w:rsidR="009B047E">
        <w:rPr>
          <w:rStyle w:val="eop"/>
          <w:rFonts w:ascii="Book Antiqua" w:hAnsi="Book Antiqua"/>
        </w:rPr>
        <w:t xml:space="preserve"> projects</w:t>
      </w:r>
      <w:r w:rsidRPr="000861CD" w:rsidR="000861CD">
        <w:rPr>
          <w:rStyle w:val="eop"/>
          <w:rFonts w:ascii="Book Antiqua" w:hAnsi="Book Antiqua"/>
        </w:rPr>
        <w:t>.</w:t>
      </w:r>
    </w:p>
    <w:p w:rsidR="00534494" w:rsidP="004E5B4C" w:rsidRDefault="001E796D" w14:paraId="0825374E" w14:textId="0C6C2871">
      <w:pPr>
        <w:keepNext/>
        <w:keepLines/>
        <w:ind w:firstLine="0"/>
        <w:jc w:val="center"/>
        <w:rPr>
          <w:b/>
          <w:bCs/>
          <w:szCs w:val="26"/>
        </w:rPr>
      </w:pPr>
      <w:r>
        <w:rPr>
          <w:b/>
          <w:bCs/>
          <w:szCs w:val="26"/>
        </w:rPr>
        <w:t>(END OF ATTACHMENT A)</w:t>
      </w:r>
    </w:p>
    <w:p w:rsidR="004E5B4C" w:rsidP="004E5B4C" w:rsidRDefault="004E5B4C" w14:paraId="2C582270" w14:textId="4C2DDCAE">
      <w:pPr>
        <w:keepNext/>
        <w:keepLines/>
        <w:ind w:firstLine="0"/>
        <w:jc w:val="center"/>
        <w:rPr>
          <w:b/>
          <w:bCs/>
          <w:szCs w:val="26"/>
        </w:rPr>
      </w:pPr>
    </w:p>
    <w:p w:rsidR="004E5B4C" w:rsidP="004E5B4C" w:rsidRDefault="004E5B4C" w14:paraId="3DF07C10" w14:textId="77777777">
      <w:pPr>
        <w:keepNext/>
        <w:keepLines/>
        <w:ind w:firstLine="0"/>
        <w:jc w:val="center"/>
        <w:rPr>
          <w:b/>
          <w:bCs/>
          <w:szCs w:val="26"/>
        </w:rPr>
        <w:sectPr w:rsidR="004E5B4C" w:rsidSect="00A14454">
          <w:footerReference w:type="default" r:id="rId17"/>
          <w:headerReference w:type="first" r:id="rId18"/>
          <w:footerReference w:type="first" r:id="rId19"/>
          <w:pgSz w:w="12240" w:h="15840" w:code="1"/>
          <w:pgMar w:top="1728" w:right="1440" w:bottom="1440" w:left="1440" w:header="720" w:footer="720" w:gutter="0"/>
          <w:pgNumType w:start="1"/>
          <w:cols w:space="720"/>
          <w:titlePg/>
        </w:sectPr>
      </w:pPr>
    </w:p>
    <w:p w:rsidR="007933A5" w:rsidP="004E5B4C" w:rsidRDefault="007933A5" w14:paraId="664FF668" w14:textId="77777777">
      <w:pPr>
        <w:keepNext/>
        <w:keepLines/>
        <w:ind w:firstLine="0"/>
        <w:jc w:val="center"/>
        <w:rPr>
          <w:b/>
          <w:bCs/>
          <w:sz w:val="44"/>
          <w:szCs w:val="44"/>
        </w:rPr>
      </w:pPr>
    </w:p>
    <w:p w:rsidR="007933A5" w:rsidP="004E5B4C" w:rsidRDefault="007933A5" w14:paraId="18587065" w14:textId="77777777">
      <w:pPr>
        <w:keepNext/>
        <w:keepLines/>
        <w:ind w:firstLine="0"/>
        <w:jc w:val="center"/>
        <w:rPr>
          <w:b/>
          <w:bCs/>
          <w:sz w:val="44"/>
          <w:szCs w:val="44"/>
        </w:rPr>
      </w:pPr>
    </w:p>
    <w:p w:rsidR="007933A5" w:rsidP="004E5B4C" w:rsidRDefault="007933A5" w14:paraId="125DFFE5" w14:textId="77777777">
      <w:pPr>
        <w:keepNext/>
        <w:keepLines/>
        <w:ind w:firstLine="0"/>
        <w:jc w:val="center"/>
        <w:rPr>
          <w:b/>
          <w:bCs/>
          <w:sz w:val="44"/>
          <w:szCs w:val="44"/>
        </w:rPr>
      </w:pPr>
    </w:p>
    <w:p w:rsidR="007933A5" w:rsidP="004E5B4C" w:rsidRDefault="007933A5" w14:paraId="079E1FE7" w14:textId="77777777">
      <w:pPr>
        <w:keepNext/>
        <w:keepLines/>
        <w:ind w:firstLine="0"/>
        <w:jc w:val="center"/>
        <w:rPr>
          <w:b/>
          <w:bCs/>
          <w:sz w:val="44"/>
          <w:szCs w:val="44"/>
        </w:rPr>
      </w:pPr>
    </w:p>
    <w:p w:rsidR="007933A5" w:rsidP="004E5B4C" w:rsidRDefault="007933A5" w14:paraId="57DD9513" w14:textId="77777777">
      <w:pPr>
        <w:keepNext/>
        <w:keepLines/>
        <w:ind w:firstLine="0"/>
        <w:jc w:val="center"/>
        <w:rPr>
          <w:b/>
          <w:bCs/>
          <w:sz w:val="44"/>
          <w:szCs w:val="44"/>
        </w:rPr>
      </w:pPr>
    </w:p>
    <w:p w:rsidRPr="007933A5" w:rsidR="004E5B4C" w:rsidP="004E5B4C" w:rsidRDefault="007933A5" w14:paraId="1677EFAE" w14:textId="583A83C2">
      <w:pPr>
        <w:keepNext/>
        <w:keepLines/>
        <w:ind w:firstLine="0"/>
        <w:jc w:val="center"/>
        <w:rPr>
          <w:b/>
          <w:bCs/>
          <w:sz w:val="44"/>
          <w:szCs w:val="44"/>
        </w:rPr>
      </w:pPr>
      <w:r>
        <w:rPr>
          <w:b/>
          <w:bCs/>
          <w:sz w:val="44"/>
          <w:szCs w:val="44"/>
        </w:rPr>
        <w:t>ATTACHMENT B</w:t>
      </w:r>
    </w:p>
    <w:p w:rsidR="007933A5" w:rsidP="004E5B4C" w:rsidRDefault="007933A5" w14:paraId="61EBF91C" w14:textId="77777777">
      <w:pPr>
        <w:keepNext/>
        <w:keepLines/>
        <w:ind w:firstLine="0"/>
        <w:jc w:val="center"/>
        <w:rPr>
          <w:b/>
          <w:bCs/>
          <w:szCs w:val="26"/>
        </w:rPr>
        <w:sectPr w:rsidR="007933A5" w:rsidSect="00A14454">
          <w:headerReference w:type="first" r:id="rId20"/>
          <w:footerReference w:type="first" r:id="rId21"/>
          <w:pgSz w:w="12240" w:h="15840" w:code="1"/>
          <w:pgMar w:top="1728" w:right="1440" w:bottom="1440" w:left="1440" w:header="720" w:footer="720" w:gutter="0"/>
          <w:pgNumType w:start="1"/>
          <w:cols w:space="720"/>
          <w:titlePg/>
        </w:sectPr>
      </w:pPr>
    </w:p>
    <w:p w:rsidR="00D55A9C" w:rsidP="004E5B4C" w:rsidRDefault="00D55A9C" w14:paraId="0DA16F8D" w14:textId="6AA1F2C9">
      <w:pPr>
        <w:keepNext/>
        <w:keepLines/>
        <w:ind w:firstLine="0"/>
        <w:jc w:val="center"/>
        <w:rPr>
          <w:b/>
          <w:bCs/>
          <w:szCs w:val="26"/>
        </w:rPr>
      </w:pPr>
      <w:r w:rsidRPr="00AA3004">
        <w:rPr>
          <w:b/>
          <w:bCs/>
          <w:szCs w:val="26"/>
        </w:rPr>
        <w:lastRenderedPageBreak/>
        <w:t xml:space="preserve">Attachment </w:t>
      </w:r>
      <w:r>
        <w:rPr>
          <w:b/>
          <w:bCs/>
          <w:szCs w:val="26"/>
        </w:rPr>
        <w:t>B</w:t>
      </w:r>
    </w:p>
    <w:p w:rsidRPr="00AA3004" w:rsidR="00D55A9C" w:rsidP="001E796D" w:rsidRDefault="00D55A9C" w14:paraId="05412FCB" w14:textId="77777777">
      <w:pPr>
        <w:ind w:firstLine="0"/>
        <w:jc w:val="center"/>
        <w:rPr>
          <w:b/>
          <w:bCs/>
          <w:szCs w:val="26"/>
        </w:rPr>
      </w:pPr>
      <w:r>
        <w:rPr>
          <w:b/>
          <w:bCs/>
          <w:szCs w:val="26"/>
        </w:rPr>
        <w:t>Confidential Project Cost Information</w:t>
      </w:r>
    </w:p>
    <w:p w:rsidRPr="00384CDE" w:rsidR="00D55A9C" w:rsidP="00D55A9C" w:rsidRDefault="00D55A9C" w14:paraId="30D341BC" w14:textId="77777777">
      <w:pPr>
        <w:pStyle w:val="paragraph"/>
        <w:spacing w:before="0" w:beforeAutospacing="0" w:after="0" w:afterAutospacing="0"/>
        <w:textAlignment w:val="baseline"/>
        <w:rPr>
          <w:rStyle w:val="normaltextrun"/>
          <w:rFonts w:ascii="Segoe UI" w:hAnsi="Segoe UI" w:cs="Segoe UI"/>
          <w:sz w:val="18"/>
          <w:szCs w:val="18"/>
        </w:rPr>
      </w:pPr>
      <w:r>
        <w:rPr>
          <w:rStyle w:val="eop"/>
          <w:rFonts w:ascii="Book Antiqua" w:hAnsi="Book Antiqua" w:cs="Segoe UI"/>
        </w:rPr>
        <w:t> </w:t>
      </w:r>
    </w:p>
    <w:p w:rsidRPr="003579D5" w:rsidR="001E796D" w:rsidP="001E796D" w:rsidRDefault="00D55A9C" w14:paraId="6B76FEED" w14:textId="045D5A68">
      <w:pPr>
        <w:pStyle w:val="paragraph"/>
        <w:spacing w:before="0" w:beforeAutospacing="0" w:after="0" w:afterAutospacing="0"/>
        <w:textAlignment w:val="baseline"/>
        <w:rPr>
          <w:rStyle w:val="normaltextrun"/>
          <w:rFonts w:ascii="Book Antiqua" w:hAnsi="Book Antiqua"/>
        </w:rPr>
      </w:pPr>
      <w:r>
        <w:rPr>
          <w:rStyle w:val="normaltextrun"/>
          <w:rFonts w:ascii="Book Antiqua" w:hAnsi="Book Antiqua" w:cs="Segoe UI"/>
        </w:rPr>
        <w:t>The Annual Reports for Rule 20 Programs shall include confidential project information including, but not be limited to, bid documents, purchase orders, project contracts, invoices, and payments made.  </w:t>
      </w:r>
    </w:p>
    <w:p w:rsidRPr="001E796D" w:rsidR="001E796D" w:rsidP="001E796D" w:rsidRDefault="001E796D" w14:paraId="68BA1AF2" w14:textId="77777777">
      <w:pPr>
        <w:pStyle w:val="paragraph"/>
        <w:spacing w:before="0" w:beforeAutospacing="0" w:after="0" w:afterAutospacing="0"/>
        <w:textAlignment w:val="baseline"/>
        <w:rPr>
          <w:rStyle w:val="normaltextrun"/>
          <w:rFonts w:ascii="Book Antiqua" w:hAnsi="Book Antiqua" w:cs="Segoe UI"/>
        </w:rPr>
      </w:pPr>
    </w:p>
    <w:p w:rsidRPr="001E796D" w:rsidR="00D55A9C" w:rsidP="001E796D" w:rsidRDefault="00D55A9C" w14:paraId="053998B1" w14:textId="0C620830">
      <w:pPr>
        <w:pStyle w:val="paragraph"/>
        <w:spacing w:before="0" w:beforeAutospacing="0" w:after="0" w:afterAutospacing="0"/>
        <w:textAlignment w:val="baseline"/>
        <w:rPr>
          <w:rFonts w:ascii="Book Antiqua" w:hAnsi="Book Antiqua" w:cs="Segoe UI"/>
        </w:rPr>
      </w:pPr>
      <w:r w:rsidRPr="001E796D">
        <w:rPr>
          <w:rStyle w:val="normaltextrun"/>
          <w:rFonts w:ascii="Book Antiqua" w:hAnsi="Book Antiqua" w:cs="Segoe UI"/>
        </w:rPr>
        <w:t xml:space="preserve">The Commission’s Energy Division will post guidelines for the Confidential Project Cost Information component of the Annual Reports by November 1 each year on the Commission’s webpage for Rule 20, currently located at www.cpuc.ca.gov/rule20. </w:t>
      </w:r>
      <w:r w:rsidR="006C1F39">
        <w:rPr>
          <w:rStyle w:val="eop"/>
          <w:rFonts w:ascii="Book Antiqua" w:hAnsi="Book Antiqua"/>
        </w:rPr>
        <w:t xml:space="preserve">Energy </w:t>
      </w:r>
      <w:r w:rsidRPr="000861CD" w:rsidR="006C1F39">
        <w:rPr>
          <w:rStyle w:val="eop"/>
          <w:rFonts w:ascii="Book Antiqua" w:hAnsi="Book Antiqua"/>
        </w:rPr>
        <w:t>D</w:t>
      </w:r>
      <w:r w:rsidR="006C1F39">
        <w:rPr>
          <w:rStyle w:val="eop"/>
          <w:rFonts w:ascii="Book Antiqua" w:hAnsi="Book Antiqua"/>
        </w:rPr>
        <w:t>ivision</w:t>
      </w:r>
      <w:r w:rsidRPr="000861CD" w:rsidR="006C1F39">
        <w:rPr>
          <w:rStyle w:val="eop"/>
          <w:rFonts w:ascii="Book Antiqua" w:hAnsi="Book Antiqua"/>
        </w:rPr>
        <w:t xml:space="preserve"> </w:t>
      </w:r>
      <w:r w:rsidR="006C1F39">
        <w:rPr>
          <w:rStyle w:val="eop"/>
          <w:rFonts w:ascii="Book Antiqua" w:hAnsi="Book Antiqua"/>
        </w:rPr>
        <w:t xml:space="preserve">may require less detailed reports </w:t>
      </w:r>
      <w:r w:rsidRPr="000861CD" w:rsidR="006C1F39">
        <w:rPr>
          <w:rStyle w:val="eop"/>
          <w:rFonts w:ascii="Book Antiqua" w:hAnsi="Book Antiqua"/>
        </w:rPr>
        <w:t xml:space="preserve">for </w:t>
      </w:r>
      <w:r w:rsidR="006C1F39">
        <w:rPr>
          <w:rStyle w:val="eop"/>
          <w:rFonts w:ascii="Book Antiqua" w:hAnsi="Book Antiqua"/>
        </w:rPr>
        <w:t>Rule 20B and Rule 20C projects</w:t>
      </w:r>
      <w:r w:rsidRPr="000861CD" w:rsidR="006C1F39">
        <w:rPr>
          <w:rStyle w:val="eop"/>
          <w:rFonts w:ascii="Book Antiqua" w:hAnsi="Book Antiqua"/>
        </w:rPr>
        <w:t>.</w:t>
      </w:r>
    </w:p>
    <w:p w:rsidR="00D55A9C" w:rsidP="00D55A9C" w:rsidRDefault="00D55A9C" w14:paraId="0DA3639E" w14:textId="77777777">
      <w:pPr>
        <w:pStyle w:val="paragraph"/>
        <w:spacing w:before="0" w:beforeAutospacing="0" w:after="0" w:afterAutospacing="0"/>
        <w:textAlignment w:val="baseline"/>
        <w:rPr>
          <w:rStyle w:val="normaltextrun"/>
          <w:rFonts w:ascii="Book Antiqua" w:hAnsi="Book Antiqua" w:cs="Segoe UI"/>
        </w:rPr>
      </w:pPr>
    </w:p>
    <w:p w:rsidR="00D55A9C" w:rsidP="00D55A9C" w:rsidRDefault="00D55A9C" w14:paraId="50316968" w14:textId="77777777">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rPr>
        <w:t>A summary table of key data points shall include, but not be limited to, the top bid prices, the project tied to those bids, the community/applicant ties to that project, payments made, and date of payment.</w:t>
      </w:r>
      <w:r>
        <w:rPr>
          <w:rStyle w:val="eop"/>
          <w:rFonts w:ascii="Book Antiqua" w:hAnsi="Book Antiqua" w:cs="Segoe UI"/>
        </w:rPr>
        <w:t> </w:t>
      </w:r>
    </w:p>
    <w:p w:rsidR="001E796D" w:rsidP="001E796D" w:rsidRDefault="001E796D" w14:paraId="4E31F32B" w14:textId="77777777">
      <w:pPr>
        <w:ind w:firstLine="0"/>
        <w:rPr>
          <w:szCs w:val="26"/>
        </w:rPr>
      </w:pPr>
    </w:p>
    <w:p w:rsidRPr="00D55A9C" w:rsidR="00D55A9C" w:rsidP="001E796D" w:rsidRDefault="00534494" w14:paraId="4B68AE12" w14:textId="631D90CD">
      <w:pPr>
        <w:ind w:firstLine="0"/>
        <w:jc w:val="center"/>
        <w:rPr>
          <w:b/>
          <w:bCs/>
          <w:szCs w:val="26"/>
        </w:rPr>
      </w:pPr>
      <w:r>
        <w:rPr>
          <w:b/>
          <w:bCs/>
          <w:szCs w:val="26"/>
        </w:rPr>
        <w:t xml:space="preserve">(END OF ATTACHMENT </w:t>
      </w:r>
      <w:r w:rsidR="001E796D">
        <w:rPr>
          <w:b/>
          <w:bCs/>
          <w:szCs w:val="26"/>
        </w:rPr>
        <w:t>B</w:t>
      </w:r>
      <w:r>
        <w:rPr>
          <w:b/>
          <w:bCs/>
          <w:szCs w:val="26"/>
        </w:rPr>
        <w:t>)</w:t>
      </w:r>
    </w:p>
    <w:sectPr w:rsidRPr="00D55A9C" w:rsidR="00D55A9C" w:rsidSect="00A14454">
      <w:headerReference w:type="first" r:id="rId22"/>
      <w:footerReference w:type="first" r:id="rId23"/>
      <w:pgSz w:w="12240" w:h="15840" w:code="1"/>
      <w:pgMar w:top="1728"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D2DE" w14:textId="77777777" w:rsidR="00D3337E" w:rsidRDefault="00D3337E" w:rsidP="0098138E">
      <w:pPr>
        <w:spacing w:line="240" w:lineRule="auto"/>
      </w:pPr>
      <w:r>
        <w:separator/>
      </w:r>
    </w:p>
  </w:endnote>
  <w:endnote w:type="continuationSeparator" w:id="0">
    <w:p w14:paraId="63271B16" w14:textId="77777777" w:rsidR="00D3337E" w:rsidRDefault="00D3337E" w:rsidP="0098138E">
      <w:pPr>
        <w:spacing w:line="240" w:lineRule="auto"/>
      </w:pPr>
      <w:r>
        <w:continuationSeparator/>
      </w:r>
    </w:p>
  </w:endnote>
  <w:endnote w:type="continuationNotice" w:id="1">
    <w:p w14:paraId="3572E6CC" w14:textId="77777777" w:rsidR="00D3337E" w:rsidRDefault="00D333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F555" w14:textId="04931D23" w:rsidR="00375A9C" w:rsidRDefault="00D3337E" w:rsidP="007E0FEE">
    <w:pPr>
      <w:tabs>
        <w:tab w:val="center" w:pos="4680"/>
      </w:tabs>
      <w:ind w:firstLine="0"/>
      <w:rPr>
        <w:noProof/>
      </w:rPr>
    </w:pPr>
    <w:sdt>
      <w:sdtPr>
        <w:id w:val="-568887585"/>
        <w:docPartObj>
          <w:docPartGallery w:val="Page Numbers (Bottom of Page)"/>
          <w:docPartUnique/>
        </w:docPartObj>
      </w:sdtPr>
      <w:sdtEndPr>
        <w:rPr>
          <w:noProof/>
        </w:rPr>
      </w:sdtEndPr>
      <w:sdtContent>
        <w:r w:rsidR="00C062E1" w:rsidRPr="00C062E1">
          <w:rPr>
            <w:sz w:val="16"/>
            <w:szCs w:val="16"/>
          </w:rPr>
          <w:t>387099230</w:t>
        </w:r>
        <w:r w:rsidR="00375A9C">
          <w:rPr>
            <w:rFonts w:ascii="Arial" w:hAnsi="Arial" w:cs="Arial"/>
            <w:sz w:val="16"/>
            <w:szCs w:val="16"/>
          </w:rPr>
          <w:tab/>
        </w:r>
        <w:r w:rsidR="00375A9C">
          <w:t xml:space="preserve">- </w:t>
        </w:r>
        <w:r w:rsidR="00375A9C">
          <w:fldChar w:fldCharType="begin"/>
        </w:r>
        <w:r w:rsidR="00375A9C">
          <w:instrText xml:space="preserve"> PAGE   \* MERGEFORMAT </w:instrText>
        </w:r>
        <w:r w:rsidR="00375A9C">
          <w:fldChar w:fldCharType="separate"/>
        </w:r>
        <w:r w:rsidR="00375A9C">
          <w:rPr>
            <w:noProof/>
          </w:rPr>
          <w:t>2</w:t>
        </w:r>
        <w:r w:rsidR="00375A9C">
          <w:rPr>
            <w:noProof/>
          </w:rPr>
          <w:fldChar w:fldCharType="end"/>
        </w:r>
      </w:sdtContent>
    </w:sdt>
    <w:r w:rsidR="00375A9C">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CA8F" w14:textId="77777777" w:rsidR="00375A9C" w:rsidRDefault="00375A9C" w:rsidP="007E0FEE">
    <w:pPr>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402C" w14:textId="24822B17" w:rsidR="00375A9C" w:rsidRPr="00D55A9C" w:rsidRDefault="00375A9C" w:rsidP="00A14454">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A4FF" w14:textId="148376D0" w:rsidR="00375A9C" w:rsidRPr="008B6F40" w:rsidRDefault="00392E65" w:rsidP="00ED5337">
    <w:pPr>
      <w:pStyle w:val="Footer"/>
      <w:jc w:val="center"/>
    </w:pPr>
    <w:r>
      <w:t>A-</w:t>
    </w:r>
    <w:r w:rsidR="00ED5337">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1532" w14:textId="0C5F8F61" w:rsidR="00375A9C" w:rsidRPr="00C57EA6" w:rsidRDefault="00375A9C" w:rsidP="00C57E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C4C0" w14:textId="77777777" w:rsidR="007933A5" w:rsidRPr="008B6F40" w:rsidRDefault="007933A5" w:rsidP="00ED5337">
    <w:pPr>
      <w:pStyle w:val="Footer"/>
      <w:jc w:val="center"/>
    </w:pPr>
    <w:r>
      <w:t>A-2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6ABB" w14:textId="076FE49C" w:rsidR="00C57EA6" w:rsidRPr="00C57EA6" w:rsidRDefault="007933A5" w:rsidP="007933A5">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94F0" w14:textId="77777777" w:rsidR="004E5B4C" w:rsidRPr="008B6F40" w:rsidRDefault="004E5B4C" w:rsidP="008B6F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E7AE" w14:textId="77777777" w:rsidR="007933A5" w:rsidRPr="008B6F40" w:rsidRDefault="007933A5" w:rsidP="008B6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D1ED" w14:textId="77777777" w:rsidR="00D3337E" w:rsidRDefault="00D3337E" w:rsidP="00DF58E7">
      <w:pPr>
        <w:spacing w:line="240" w:lineRule="auto"/>
        <w:ind w:firstLine="0"/>
      </w:pPr>
      <w:r>
        <w:separator/>
      </w:r>
    </w:p>
  </w:footnote>
  <w:footnote w:type="continuationSeparator" w:id="0">
    <w:p w14:paraId="2E4D6771" w14:textId="77777777" w:rsidR="00D3337E" w:rsidRDefault="00D3337E" w:rsidP="00DF58E7">
      <w:pPr>
        <w:spacing w:line="240" w:lineRule="auto"/>
        <w:ind w:firstLine="0"/>
      </w:pPr>
      <w:r>
        <w:continuationSeparator/>
      </w:r>
    </w:p>
  </w:footnote>
  <w:footnote w:type="continuationNotice" w:id="1">
    <w:p w14:paraId="37F1F57A" w14:textId="77777777" w:rsidR="00D3337E" w:rsidRPr="00DF58E7" w:rsidRDefault="00D3337E" w:rsidP="00DF58E7">
      <w:pPr>
        <w:spacing w:line="240" w:lineRule="auto"/>
        <w:ind w:firstLine="0"/>
        <w:jc w:val="right"/>
        <w:rPr>
          <w:i/>
          <w:sz w:val="22"/>
        </w:rPr>
      </w:pPr>
    </w:p>
  </w:footnote>
  <w:footnote w:id="2">
    <w:p w14:paraId="15870586" w14:textId="77777777" w:rsidR="00375A9C" w:rsidRDefault="00375A9C" w:rsidP="00D55A9C">
      <w:pPr>
        <w:pStyle w:val="FootnoteText"/>
      </w:pPr>
      <w:r>
        <w:rPr>
          <w:rStyle w:val="FootnoteReference"/>
        </w:rPr>
        <w:footnoteRef/>
      </w:r>
      <w:r>
        <w:t xml:space="preserve"> Electric utility respondents:</w:t>
      </w:r>
      <w:r w:rsidRPr="00974F07">
        <w:t xml:space="preserve"> Pacific Gas and Electric Company</w:t>
      </w:r>
      <w:r>
        <w:t xml:space="preserve"> (PG&amp;E)</w:t>
      </w:r>
      <w:r w:rsidRPr="00974F07">
        <w:t>, Southern California Edison Company</w:t>
      </w:r>
      <w:r>
        <w:t xml:space="preserve"> (SCE)</w:t>
      </w:r>
      <w:r w:rsidRPr="00974F07">
        <w:t>, San Diego Gas &amp; Electric Company</w:t>
      </w:r>
      <w:r>
        <w:t xml:space="preserve"> (SDG&amp;E)</w:t>
      </w:r>
      <w:r w:rsidRPr="00974F07">
        <w:t>, Bear Valley Electric Service Company</w:t>
      </w:r>
      <w:r>
        <w:t xml:space="preserve"> (BVES)</w:t>
      </w:r>
      <w:r w:rsidRPr="00974F07">
        <w:t>, Liberty Utilities</w:t>
      </w:r>
      <w:r>
        <w:t xml:space="preserve"> (Liberty)</w:t>
      </w:r>
      <w:r w:rsidRPr="00974F07">
        <w:t>, and PacifiCorp</w:t>
      </w:r>
      <w:r>
        <w:t xml:space="preserve">. Facilities-based communications provider respondents: </w:t>
      </w:r>
      <w:r w:rsidRPr="00974F07">
        <w:t>Incumbent Local Exchange Carriers, AT&amp;T California, Cal</w:t>
      </w:r>
      <w:r w:rsidRPr="00974F07">
        <w:noBreakHyphen/>
        <w:t>Ore Telephone Company, Calaveras Telephone Company, Citizens Telecommunications Company of California, Ducor Telephone Company, Foresthill Telephone Company, Happy Valley Telephone Company, Hornitos Telephone Company, Kerman Telephone Company, Pinnacles Telephone Company, Ponderosa Telephone Company, Sierra Telephone Company, Siskiyou Telephone Company, Frontier California, Volcano Telephone Company, Consolidated Communications of California, Winterhaven Telephone Company</w:t>
      </w:r>
      <w:r>
        <w:t>,</w:t>
      </w:r>
      <w:r w:rsidRPr="00974F07">
        <w:t xml:space="preserve"> and other facilities based communication providers</w:t>
      </w:r>
      <w:r>
        <w:t>.</w:t>
      </w:r>
    </w:p>
  </w:footnote>
  <w:footnote w:id="3">
    <w:p w14:paraId="77EB9362" w14:textId="77777777" w:rsidR="00375A9C" w:rsidRDefault="00375A9C" w:rsidP="00D55A9C">
      <w:pPr>
        <w:pStyle w:val="FootnoteText"/>
      </w:pPr>
      <w:r>
        <w:rPr>
          <w:rStyle w:val="FootnoteReference"/>
        </w:rPr>
        <w:footnoteRef/>
      </w:r>
      <w:r>
        <w:t xml:space="preserve"> </w:t>
      </w:r>
      <w:r w:rsidRPr="00C22EFF">
        <w:t xml:space="preserve">The following parties filed comments on </w:t>
      </w:r>
      <w:r w:rsidRPr="00E06876">
        <w:t>the OIR: SCE, PG&amp;E, SDG&amp;E, BVES, PacifiCorp, Liberty, The Utility Reform Network (TURN), The Office of Ratepayer Advocates (now known as the Public Advocates Office or Cal Advocates), The City of Laguna</w:t>
      </w:r>
      <w:r w:rsidRPr="00C22EFF">
        <w:t xml:space="preserve"> Beach, the City and County of San Francisco (CCSF), AT&amp;T, Consolidated Communications (Consolidated), Small Local Exchange Carriers (Small LECs), California Cable &amp; Telecommunications Association (CCTA), and California Association of Competitive Telecommunications Companies (CALTEL).</w:t>
      </w:r>
    </w:p>
  </w:footnote>
  <w:footnote w:id="4">
    <w:p w14:paraId="23820F2A" w14:textId="77777777" w:rsidR="00375A9C" w:rsidRDefault="00375A9C" w:rsidP="00D55A9C">
      <w:pPr>
        <w:pStyle w:val="FootnoteText"/>
      </w:pPr>
      <w:r>
        <w:rPr>
          <w:rStyle w:val="FootnoteReference"/>
        </w:rPr>
        <w:footnoteRef/>
      </w:r>
      <w:r>
        <w:t xml:space="preserve"> TURN, PacifiCorp, SCE, SDG&amp;E, PG&amp;E, County of Mendocino, County of Napa, CTIA, CCTA, City of San Jose, Town of Woodside, </w:t>
      </w:r>
      <w:r w:rsidRPr="00C22EFF">
        <w:t>Frontier California Inc.,</w:t>
      </w:r>
      <w:r>
        <w:t xml:space="preserve"> </w:t>
      </w:r>
      <w:r w:rsidRPr="00C22EFF">
        <w:t>AT&amp;T Mobility Wireless Operations Holdings, Inc.,</w:t>
      </w:r>
      <w:r>
        <w:t xml:space="preserve"> </w:t>
      </w:r>
      <w:r w:rsidRPr="00C22EFF">
        <w:t>Santa Barbara Cellular Systems, Ltd,</w:t>
      </w:r>
      <w:r>
        <w:t xml:space="preserve"> </w:t>
      </w:r>
      <w:r w:rsidRPr="00C22EFF">
        <w:t>Citizens Telecommunications Company of California Inc.,</w:t>
      </w:r>
      <w:r>
        <w:t xml:space="preserve"> </w:t>
      </w:r>
      <w:r w:rsidRPr="00C22EFF">
        <w:t>California Association of Competitive Telecommunications Companies,</w:t>
      </w:r>
      <w:r>
        <w:t xml:space="preserve"> </w:t>
      </w:r>
      <w:r w:rsidRPr="00C22EFF">
        <w:t>New Cingular Wireless PCS, LLC,</w:t>
      </w:r>
      <w:r>
        <w:t xml:space="preserve"> P</w:t>
      </w:r>
      <w:r w:rsidRPr="00C22EFF">
        <w:t>acific Bell Telephone Company,</w:t>
      </w:r>
      <w:r>
        <w:t xml:space="preserve"> and </w:t>
      </w:r>
      <w:r w:rsidRPr="00C22EFF">
        <w:t>Frontier Communications of the Southwest Inc.</w:t>
      </w:r>
    </w:p>
  </w:footnote>
  <w:footnote w:id="5">
    <w:p w14:paraId="4F8C7BC6" w14:textId="77777777" w:rsidR="00375A9C" w:rsidRDefault="00375A9C" w:rsidP="00D55A9C">
      <w:pPr>
        <w:pStyle w:val="FootnoteText"/>
      </w:pPr>
      <w:r>
        <w:rPr>
          <w:rStyle w:val="FootnoteReference"/>
        </w:rPr>
        <w:footnoteRef/>
      </w:r>
      <w:r>
        <w:t xml:space="preserve"> </w:t>
      </w:r>
      <w:r w:rsidRPr="00C22EFF">
        <w:t>Southern California Edison Company, San Diego Gas &amp; Electric Company,</w:t>
      </w:r>
      <w:r>
        <w:t xml:space="preserve"> </w:t>
      </w:r>
      <w:r w:rsidRPr="00C22EFF">
        <w:t>Pacific Gas and Electric Company, Bear Valley Electric Service Company,</w:t>
      </w:r>
      <w:r>
        <w:t xml:space="preserve"> </w:t>
      </w:r>
      <w:r w:rsidRPr="00C22EFF">
        <w:t>Liberty Utilities, and PacifiCorp</w:t>
      </w:r>
      <w:r>
        <w:t>.</w:t>
      </w:r>
    </w:p>
  </w:footnote>
  <w:footnote w:id="6">
    <w:p w14:paraId="5B7539A3" w14:textId="77777777" w:rsidR="00375A9C" w:rsidRDefault="00375A9C" w:rsidP="00D55A9C">
      <w:pPr>
        <w:pStyle w:val="FootnoteText"/>
      </w:pPr>
      <w:r>
        <w:rPr>
          <w:rStyle w:val="FootnoteReference"/>
        </w:rPr>
        <w:footnoteRef/>
      </w:r>
      <w:r>
        <w:t xml:space="preserve"> The Commission’s Business and Community Outreach team contacted 4,382 local government officials and staff to invite them to attend the April 22-23, 2019 workshop.  </w:t>
      </w:r>
    </w:p>
  </w:footnote>
  <w:footnote w:id="7">
    <w:p w14:paraId="3B3112D5" w14:textId="77777777" w:rsidR="00375A9C" w:rsidRDefault="00375A9C" w:rsidP="00D55A9C">
      <w:pPr>
        <w:pStyle w:val="FootnoteText"/>
      </w:pPr>
      <w:r>
        <w:rPr>
          <w:rStyle w:val="FootnoteReference"/>
        </w:rPr>
        <w:footnoteRef/>
      </w:r>
      <w:r>
        <w:t xml:space="preserve"> The Commission’s Business and Community Outreach team contacted 1,747 local government officials and staff to share the February Staff Proposal.  </w:t>
      </w:r>
    </w:p>
  </w:footnote>
  <w:footnote w:id="8">
    <w:p w14:paraId="64AC4F71" w14:textId="77777777" w:rsidR="00375A9C" w:rsidRDefault="00375A9C" w:rsidP="00D55A9C">
      <w:pPr>
        <w:pStyle w:val="FootnoteText"/>
      </w:pPr>
      <w:r>
        <w:rPr>
          <w:rStyle w:val="FootnoteReference"/>
        </w:rPr>
        <w:footnoteRef/>
      </w:r>
      <w:r>
        <w:t xml:space="preserve"> The Commission’s Business and Community Outreach team contacted 818 local government officials and staff to invite them to attend the March 2020 workshop.  </w:t>
      </w:r>
    </w:p>
  </w:footnote>
  <w:footnote w:id="9">
    <w:p w14:paraId="417088A1" w14:textId="77777777" w:rsidR="00375A9C" w:rsidRDefault="00375A9C" w:rsidP="00D55A9C">
      <w:pPr>
        <w:pStyle w:val="FootnoteText"/>
      </w:pPr>
      <w:r>
        <w:rPr>
          <w:rStyle w:val="FootnoteReference"/>
        </w:rPr>
        <w:footnoteRef/>
      </w:r>
      <w:r>
        <w:t xml:space="preserve"> </w:t>
      </w:r>
      <w:r w:rsidRPr="009B1BE5">
        <w:t>San Francisco Coalition to Underground Utilities</w:t>
      </w:r>
      <w:r>
        <w:t xml:space="preserve">, </w:t>
      </w:r>
      <w:r w:rsidRPr="009B1BE5">
        <w:t>City of Hayward</w:t>
      </w:r>
      <w:r>
        <w:t xml:space="preserve">, </w:t>
      </w:r>
      <w:r w:rsidRPr="009B1BE5">
        <w:t>City of Laguna Beach</w:t>
      </w:r>
      <w:r>
        <w:t xml:space="preserve">, </w:t>
      </w:r>
      <w:r w:rsidRPr="009B1BE5">
        <w:t>Southern California Edison Company</w:t>
      </w:r>
      <w:r>
        <w:t xml:space="preserve">, </w:t>
      </w:r>
      <w:r w:rsidRPr="009B1BE5">
        <w:t>City of Orinda</w:t>
      </w:r>
      <w:r>
        <w:t xml:space="preserve">, </w:t>
      </w:r>
      <w:r w:rsidRPr="009B1BE5">
        <w:t>City of Hayward</w:t>
      </w:r>
      <w:r>
        <w:t xml:space="preserve">, </w:t>
      </w:r>
      <w:r w:rsidRPr="009B1BE5">
        <w:t>Town of Los Altos Hills</w:t>
      </w:r>
      <w:r>
        <w:t xml:space="preserve">, </w:t>
      </w:r>
      <w:r w:rsidRPr="009B1BE5">
        <w:t>City of Santa Barbara,</w:t>
      </w:r>
      <w:r>
        <w:t xml:space="preserve"> </w:t>
      </w:r>
      <w:r w:rsidRPr="009B1BE5">
        <w:t>City of El Cerrito</w:t>
      </w:r>
      <w:r>
        <w:t xml:space="preserve">, </w:t>
      </w:r>
      <w:r w:rsidRPr="009B1BE5">
        <w:t>The City of Berkeley</w:t>
      </w:r>
      <w:r>
        <w:t xml:space="preserve">, </w:t>
      </w:r>
      <w:r w:rsidRPr="009B1BE5">
        <w:t>The City of Berkeley</w:t>
      </w:r>
      <w:r>
        <w:t xml:space="preserve">, </w:t>
      </w:r>
      <w:r w:rsidRPr="009B1BE5">
        <w:t>City of Burlingame</w:t>
      </w:r>
      <w:r>
        <w:t xml:space="preserve">, </w:t>
      </w:r>
      <w:r w:rsidRPr="009B1BE5">
        <w:t>League of California Cities</w:t>
      </w:r>
      <w:r>
        <w:t xml:space="preserve">, TURN, </w:t>
      </w:r>
      <w:r w:rsidRPr="009B1BE5">
        <w:t>County of Tuolumne</w:t>
      </w:r>
      <w:r>
        <w:t xml:space="preserve">, </w:t>
      </w:r>
      <w:r w:rsidRPr="00BD6FE8">
        <w:t>City of Chula Vista</w:t>
      </w:r>
      <w:r>
        <w:t xml:space="preserve">, </w:t>
      </w:r>
      <w:r w:rsidRPr="009275F3">
        <w:t>Golden State Water Compan</w:t>
      </w:r>
      <w:r>
        <w:t xml:space="preserve">y, </w:t>
      </w:r>
      <w:r w:rsidRPr="009275F3">
        <w:t>City of Napa</w:t>
      </w:r>
      <w:r>
        <w:t>, SDG&amp;E, Co</w:t>
      </w:r>
      <w:r w:rsidRPr="007D5CBF">
        <w:t>unty of Napa,</w:t>
      </w:r>
      <w:r>
        <w:t xml:space="preserve"> </w:t>
      </w:r>
      <w:r w:rsidRPr="007D5CBF">
        <w:t>County of Marin,</w:t>
      </w:r>
      <w:r>
        <w:t xml:space="preserve"> </w:t>
      </w:r>
      <w:r w:rsidRPr="007D5CBF">
        <w:t>County of Sonoma</w:t>
      </w:r>
      <w:r>
        <w:t xml:space="preserve">, PG&amp;E, City of San Jose, </w:t>
      </w:r>
      <w:r w:rsidRPr="000E6038">
        <w:t>California State Association of Counties</w:t>
      </w:r>
      <w:r>
        <w:t xml:space="preserve">, </w:t>
      </w:r>
      <w:r w:rsidRPr="00F475A6">
        <w:t>Clean Power Alliance of Southern California</w:t>
      </w:r>
      <w:r>
        <w:t xml:space="preserve">, </w:t>
      </w:r>
      <w:r w:rsidRPr="00F475A6">
        <w:t>City of Newport Beach</w:t>
      </w:r>
      <w:r>
        <w:t xml:space="preserve">, </w:t>
      </w:r>
      <w:r w:rsidRPr="00F475A6">
        <w:t>Los Angeles County</w:t>
      </w:r>
      <w:r>
        <w:t xml:space="preserve">, </w:t>
      </w:r>
      <w:r w:rsidRPr="00E47649">
        <w:t>City of Anaheim Public Utilities Department,</w:t>
      </w:r>
      <w:r>
        <w:t xml:space="preserve"> </w:t>
      </w:r>
      <w:r w:rsidRPr="00E47649">
        <w:t>California Municipal Utilities Association</w:t>
      </w:r>
      <w:r>
        <w:t xml:space="preserve">, PacifiCorp, </w:t>
      </w:r>
      <w:r w:rsidRPr="00432C80">
        <w:t>California Cable &amp; Telecommunications Association,</w:t>
      </w:r>
      <w:r>
        <w:t xml:space="preserve"> </w:t>
      </w:r>
      <w:r w:rsidRPr="00432C80">
        <w:t>AT&amp;T Services Inc.</w:t>
      </w:r>
      <w:r>
        <w:t xml:space="preserve">, Cal Advocates, </w:t>
      </w:r>
      <w:r w:rsidRPr="00432C80">
        <w:t>The County of San Diego</w:t>
      </w:r>
      <w:r>
        <w:t xml:space="preserve">, </w:t>
      </w:r>
      <w:r w:rsidRPr="00C64C1F">
        <w:t>City and County of San Francisco</w:t>
      </w:r>
      <w:r>
        <w:t xml:space="preserve">, </w:t>
      </w:r>
      <w:r w:rsidRPr="00C64C1F">
        <w:t>City of Del Mar</w:t>
      </w:r>
      <w:r>
        <w:t xml:space="preserve">, </w:t>
      </w:r>
      <w:r w:rsidRPr="00C64C1F">
        <w:t>City of Fresno</w:t>
      </w:r>
      <w:r>
        <w:t xml:space="preserve">, </w:t>
      </w:r>
      <w:r w:rsidRPr="00B92DE9">
        <w:tab/>
        <w:t>City of Culver City</w:t>
      </w:r>
      <w:r>
        <w:t xml:space="preserve">, and </w:t>
      </w:r>
      <w:r w:rsidRPr="00B92DE9">
        <w:t>City of El Cajon</w:t>
      </w:r>
      <w:r>
        <w:t>.</w:t>
      </w:r>
    </w:p>
  </w:footnote>
  <w:footnote w:id="10">
    <w:p w14:paraId="15365584" w14:textId="77777777" w:rsidR="00375A9C" w:rsidRDefault="00375A9C" w:rsidP="00D55A9C">
      <w:pPr>
        <w:pStyle w:val="FootnoteText"/>
      </w:pPr>
      <w:r>
        <w:rPr>
          <w:rStyle w:val="FootnoteReference"/>
        </w:rPr>
        <w:footnoteRef/>
      </w:r>
      <w:r>
        <w:t xml:space="preserve"> </w:t>
      </w:r>
      <w:r w:rsidRPr="00805353">
        <w:t>California Cable &amp; Telecommunications Association,</w:t>
      </w:r>
      <w:r>
        <w:t xml:space="preserve"> </w:t>
      </w:r>
      <w:r w:rsidRPr="00805353">
        <w:t>AT&amp;T Services Inc.</w:t>
      </w:r>
      <w:r>
        <w:t xml:space="preserve">, Liberty Utilities, Cal Advocates, SDG&amp;E, PG&amp;E, PacifiCorp, SCE, </w:t>
      </w:r>
      <w:r w:rsidRPr="00ED7C00">
        <w:t>California Municipal Utilities Association,</w:t>
      </w:r>
      <w:r>
        <w:t xml:space="preserve"> </w:t>
      </w:r>
      <w:r w:rsidRPr="00ED7C00">
        <w:t>City of Anaheim Public Utilities Department</w:t>
      </w:r>
      <w:r>
        <w:t xml:space="preserve">, </w:t>
      </w:r>
      <w:r w:rsidRPr="00EB786D">
        <w:t>City and County of San Francisco</w:t>
      </w:r>
      <w:r>
        <w:t xml:space="preserve">, and </w:t>
      </w:r>
      <w:r w:rsidRPr="007357D4">
        <w:t>City of San Jose</w:t>
      </w:r>
      <w:r>
        <w:t>.</w:t>
      </w:r>
    </w:p>
  </w:footnote>
  <w:footnote w:id="11">
    <w:p w14:paraId="607B784D" w14:textId="77777777" w:rsidR="00375A9C" w:rsidRDefault="00375A9C" w:rsidP="00D55A9C">
      <w:pPr>
        <w:pStyle w:val="FootnoteText"/>
      </w:pPr>
      <w:r>
        <w:rPr>
          <w:rStyle w:val="FootnoteReference"/>
        </w:rPr>
        <w:footnoteRef/>
      </w:r>
      <w:r>
        <w:t xml:space="preserve"> The Commission’s Business and Community Outreach team reached out to 4,124 local government officials and staff to share the September ruling.  </w:t>
      </w:r>
    </w:p>
  </w:footnote>
  <w:footnote w:id="12">
    <w:p w14:paraId="7BC30985" w14:textId="77777777" w:rsidR="00375A9C" w:rsidRDefault="00375A9C" w:rsidP="00D55A9C">
      <w:pPr>
        <w:pStyle w:val="FootnoteText"/>
      </w:pPr>
      <w:r>
        <w:rPr>
          <w:rStyle w:val="FootnoteReference"/>
        </w:rPr>
        <w:footnoteRef/>
      </w:r>
      <w:r>
        <w:t xml:space="preserve"> </w:t>
      </w:r>
      <w:r w:rsidRPr="00753E57">
        <w:t>City of Menlo Park</w:t>
      </w:r>
      <w:r>
        <w:t xml:space="preserve">, </w:t>
      </w:r>
      <w:r w:rsidRPr="00753E57">
        <w:t>California State Association of Counties</w:t>
      </w:r>
      <w:r>
        <w:t xml:space="preserve">, PG&amp;E, PacifiCorp, </w:t>
      </w:r>
      <w:r w:rsidRPr="000D74AC">
        <w:t>California Municipal Utilities Association, City of Anaheim Public Utilities Department,</w:t>
      </w:r>
      <w:r>
        <w:t xml:space="preserve"> SCE, TURN, SDG&amp;E, City of San Jose, </w:t>
      </w:r>
      <w:r w:rsidRPr="00EE7B03">
        <w:t>County of Tuolumne</w:t>
      </w:r>
      <w:r>
        <w:t xml:space="preserve">, Los Angeles County, </w:t>
      </w:r>
      <w:r w:rsidRPr="00FB5ED9">
        <w:t>League of California Cities</w:t>
      </w:r>
      <w:r>
        <w:t xml:space="preserve">, </w:t>
      </w:r>
      <w:r w:rsidRPr="00FB5ED9">
        <w:t>California Cable &amp; Telecommunications Association,</w:t>
      </w:r>
      <w:r>
        <w:t xml:space="preserve"> </w:t>
      </w:r>
      <w:r w:rsidRPr="00FB5ED9">
        <w:t xml:space="preserve">AT&amp;T </w:t>
      </w:r>
      <w:r>
        <w:t xml:space="preserve">California and </w:t>
      </w:r>
      <w:r w:rsidRPr="000A66E4">
        <w:t>Bear Valley Electric Service, Inc.</w:t>
      </w:r>
    </w:p>
  </w:footnote>
  <w:footnote w:id="13">
    <w:p w14:paraId="04513492" w14:textId="77777777" w:rsidR="00375A9C" w:rsidRDefault="00375A9C" w:rsidP="00D55A9C">
      <w:pPr>
        <w:pStyle w:val="FootnoteText"/>
      </w:pPr>
      <w:r>
        <w:rPr>
          <w:rStyle w:val="FootnoteReference"/>
        </w:rPr>
        <w:footnoteRef/>
      </w:r>
      <w:r>
        <w:t xml:space="preserve"> City of San Jose, </w:t>
      </w:r>
      <w:r w:rsidRPr="000D74AC">
        <w:t>California Municipal Utilities Association, City of Anaheim Public Utilities Department</w:t>
      </w:r>
      <w:r>
        <w:t xml:space="preserve">, PG&amp;E, SCE, Los Angeles County, TURN, </w:t>
      </w:r>
      <w:r w:rsidRPr="00272DAE">
        <w:t>County of Marin,</w:t>
      </w:r>
      <w:r>
        <w:t xml:space="preserve"> </w:t>
      </w:r>
      <w:r w:rsidRPr="00272DAE">
        <w:t>County of Sonom</w:t>
      </w:r>
      <w:r>
        <w:t xml:space="preserve">a, </w:t>
      </w:r>
      <w:r w:rsidRPr="00503B14">
        <w:t>California Cable &amp; Telecommunications Association, AT&amp;T California</w:t>
      </w:r>
      <w:r>
        <w:t xml:space="preserve">, </w:t>
      </w:r>
      <w:r w:rsidRPr="0061694A">
        <w:t>City of Whittier</w:t>
      </w:r>
      <w:r>
        <w:t xml:space="preserve"> and </w:t>
      </w:r>
      <w:r w:rsidRPr="0061694A">
        <w:t>California State Association of Counties</w:t>
      </w:r>
      <w:r>
        <w:t>.</w:t>
      </w:r>
    </w:p>
  </w:footnote>
  <w:footnote w:id="14">
    <w:p w14:paraId="3A5A8541" w14:textId="77777777" w:rsidR="00375A9C" w:rsidRDefault="00375A9C" w:rsidP="00D55A9C">
      <w:pPr>
        <w:pStyle w:val="FootnoteText"/>
      </w:pPr>
      <w:r>
        <w:rPr>
          <w:rStyle w:val="FootnoteReference"/>
        </w:rPr>
        <w:footnoteRef/>
      </w:r>
      <w:r>
        <w:t xml:space="preserve"> </w:t>
      </w:r>
      <w:r w:rsidRPr="00F64AF0">
        <w:t>February Staff Proposal</w:t>
      </w:r>
      <w:r>
        <w:t>.</w:t>
      </w:r>
    </w:p>
  </w:footnote>
  <w:footnote w:id="15">
    <w:p w14:paraId="3DB6DBA4" w14:textId="77777777" w:rsidR="00375A9C" w:rsidRDefault="00375A9C" w:rsidP="00D55A9C">
      <w:pPr>
        <w:pStyle w:val="FootnoteText"/>
      </w:pPr>
      <w:r>
        <w:rPr>
          <w:rStyle w:val="FootnoteReference"/>
        </w:rPr>
        <w:footnoteRef/>
      </w:r>
      <w:r>
        <w:t xml:space="preserve"> </w:t>
      </w:r>
      <w:r w:rsidRPr="00F64AF0">
        <w:t>February Staff Proposal</w:t>
      </w:r>
      <w:r>
        <w:t>.</w:t>
      </w:r>
    </w:p>
  </w:footnote>
  <w:footnote w:id="16">
    <w:p w14:paraId="2B14F1EE" w14:textId="77777777" w:rsidR="00375A9C" w:rsidRDefault="00375A9C" w:rsidP="00D55A9C">
      <w:pPr>
        <w:pStyle w:val="FootnoteText"/>
      </w:pPr>
      <w:r>
        <w:rPr>
          <w:rStyle w:val="FootnoteReference"/>
        </w:rPr>
        <w:footnoteRef/>
      </w:r>
      <w:r>
        <w:t xml:space="preserve"> Rule 20 Tariffs of PG&amp;E, SCE, and SDG&amp;E.</w:t>
      </w:r>
    </w:p>
  </w:footnote>
  <w:footnote w:id="17">
    <w:p w14:paraId="5D91F8A6" w14:textId="77777777" w:rsidR="00375A9C" w:rsidRDefault="00375A9C" w:rsidP="00D55A9C">
      <w:pPr>
        <w:pStyle w:val="FootnoteText"/>
      </w:pPr>
      <w:r>
        <w:rPr>
          <w:rStyle w:val="FootnoteReference"/>
        </w:rPr>
        <w:footnoteRef/>
      </w:r>
      <w:r>
        <w:t xml:space="preserve"> Rule 20 Tariffs of PG&amp;E, SCE, and SDG&amp;E.</w:t>
      </w:r>
    </w:p>
  </w:footnote>
  <w:footnote w:id="18">
    <w:p w14:paraId="43FCD331" w14:textId="77777777" w:rsidR="00375A9C" w:rsidRDefault="00375A9C" w:rsidP="00D55A9C">
      <w:pPr>
        <w:pStyle w:val="FootnoteText"/>
      </w:pPr>
      <w:r>
        <w:rPr>
          <w:rStyle w:val="FootnoteReference"/>
        </w:rPr>
        <w:footnoteRef/>
      </w:r>
      <w:r>
        <w:t xml:space="preserve"> </w:t>
      </w:r>
      <w:r w:rsidRPr="00F64AF0">
        <w:t>February Staff Proposal</w:t>
      </w:r>
      <w:r>
        <w:t>.</w:t>
      </w:r>
    </w:p>
  </w:footnote>
  <w:footnote w:id="19">
    <w:p w14:paraId="553EE54D" w14:textId="77777777" w:rsidR="00375A9C" w:rsidRDefault="00375A9C" w:rsidP="00D55A9C">
      <w:pPr>
        <w:pStyle w:val="FootnoteText"/>
      </w:pPr>
      <w:r>
        <w:rPr>
          <w:rStyle w:val="FootnoteReference"/>
        </w:rPr>
        <w:footnoteRef/>
      </w:r>
      <w:r>
        <w:t xml:space="preserve"> </w:t>
      </w:r>
      <w:r w:rsidRPr="00F64AF0">
        <w:t>February Staff Proposal</w:t>
      </w:r>
      <w:r>
        <w:t>.</w:t>
      </w:r>
    </w:p>
  </w:footnote>
  <w:footnote w:id="20">
    <w:p w14:paraId="68EFA764" w14:textId="77777777" w:rsidR="00375A9C" w:rsidRDefault="00375A9C" w:rsidP="00D55A9C">
      <w:pPr>
        <w:pStyle w:val="FootnoteText"/>
      </w:pPr>
      <w:r>
        <w:rPr>
          <w:rStyle w:val="FootnoteReference"/>
        </w:rPr>
        <w:footnoteRef/>
      </w:r>
      <w:r>
        <w:t xml:space="preserve"> </w:t>
      </w:r>
      <w:r w:rsidRPr="00F64AF0">
        <w:t>February Staff Proposal</w:t>
      </w:r>
      <w:r>
        <w:t>.</w:t>
      </w:r>
    </w:p>
  </w:footnote>
  <w:footnote w:id="21">
    <w:p w14:paraId="4CF5A129" w14:textId="77777777" w:rsidR="00375A9C" w:rsidRDefault="00375A9C" w:rsidP="00D55A9C">
      <w:pPr>
        <w:pStyle w:val="FootnoteText"/>
      </w:pPr>
      <w:r>
        <w:rPr>
          <w:rStyle w:val="FootnoteReference"/>
        </w:rPr>
        <w:footnoteRef/>
      </w:r>
      <w:r>
        <w:t xml:space="preserve"> </w:t>
      </w:r>
      <w:r w:rsidRPr="00F64AF0">
        <w:t>February Staff Proposal</w:t>
      </w:r>
      <w:r>
        <w:t>.</w:t>
      </w:r>
    </w:p>
  </w:footnote>
  <w:footnote w:id="22">
    <w:p w14:paraId="06348913" w14:textId="77777777" w:rsidR="00375A9C" w:rsidRDefault="00375A9C" w:rsidP="00D55A9C">
      <w:pPr>
        <w:pStyle w:val="FootnoteText"/>
      </w:pPr>
      <w:r>
        <w:rPr>
          <w:rStyle w:val="FootnoteReference"/>
        </w:rPr>
        <w:footnoteRef/>
      </w:r>
      <w:r>
        <w:t xml:space="preserve"> PG&amp;E Audit Report at 9.</w:t>
      </w:r>
    </w:p>
  </w:footnote>
  <w:footnote w:id="23">
    <w:p w14:paraId="287B55F3" w14:textId="77777777" w:rsidR="00375A9C" w:rsidRDefault="00375A9C" w:rsidP="00D55A9C">
      <w:pPr>
        <w:pStyle w:val="FootnoteText"/>
      </w:pPr>
      <w:r>
        <w:rPr>
          <w:rStyle w:val="FootnoteReference"/>
        </w:rPr>
        <w:footnoteRef/>
      </w:r>
      <w:r>
        <w:t xml:space="preserve"> D.17-05-013 at 72. </w:t>
      </w:r>
      <w:r w:rsidRPr="00CD739E">
        <w:t>Unspent funds were defined as the difference between PG&amp;E’s authorized annual budget and its recorded expenditures for each year.</w:t>
      </w:r>
    </w:p>
  </w:footnote>
  <w:footnote w:id="24">
    <w:p w14:paraId="1E9D2006" w14:textId="77777777" w:rsidR="00375A9C" w:rsidRDefault="00375A9C" w:rsidP="00D55A9C">
      <w:pPr>
        <w:pStyle w:val="FootnoteText"/>
      </w:pPr>
      <w:r>
        <w:rPr>
          <w:rStyle w:val="FootnoteReference"/>
        </w:rPr>
        <w:footnoteRef/>
      </w:r>
      <w:r>
        <w:t xml:space="preserve"> D.17-05-013 at 75-77.</w:t>
      </w:r>
    </w:p>
  </w:footnote>
  <w:footnote w:id="25">
    <w:p w14:paraId="0CE24A5E" w14:textId="77777777" w:rsidR="00375A9C" w:rsidRDefault="00375A9C" w:rsidP="00D55A9C">
      <w:pPr>
        <w:pStyle w:val="FootnoteText"/>
      </w:pPr>
      <w:r>
        <w:rPr>
          <w:rStyle w:val="FootnoteReference"/>
        </w:rPr>
        <w:footnoteRef/>
      </w:r>
      <w:r>
        <w:t xml:space="preserve"> D.20-12-005 at 114.</w:t>
      </w:r>
    </w:p>
  </w:footnote>
  <w:footnote w:id="26">
    <w:p w14:paraId="604BB6DD" w14:textId="77777777" w:rsidR="00375A9C" w:rsidRPr="00502A53" w:rsidRDefault="00375A9C" w:rsidP="00D55A9C">
      <w:pPr>
        <w:pStyle w:val="FootnoteText"/>
        <w:rPr>
          <w:highlight w:val="lightGray"/>
        </w:rPr>
      </w:pPr>
      <w:r>
        <w:rPr>
          <w:rStyle w:val="FootnoteReference"/>
        </w:rPr>
        <w:footnoteRef/>
      </w:r>
      <w:r>
        <w:t xml:space="preserve"> In April 2020 comments, the following parties specifically supported inclusion of wildfire safety, reliability and emergency related criteria: City of Laguna Beach, City of Berkeley, </w:t>
      </w:r>
      <w:r w:rsidRPr="00966080">
        <w:t>Counties of Mendocino, Napa, and Sonom</w:t>
      </w:r>
      <w:r>
        <w:t xml:space="preserve">a, Town of Los Altos Hills, City of Santa Barbara, City of El Cerritto, City of Menlo Park, City of Burlingame, League of California Cities, Tuolumne </w:t>
      </w:r>
      <w:r w:rsidRPr="00502A53">
        <w:t>County, Golden State Water Company on behalf of Bear Valley Electric Service Division, City of Napa, California State Association of Counties, San Diego County, Culver City, Liberty CalPeco, PacifiCorp.</w:t>
      </w:r>
    </w:p>
  </w:footnote>
  <w:footnote w:id="27">
    <w:p w14:paraId="53B31766" w14:textId="77777777" w:rsidR="00375A9C" w:rsidRDefault="00375A9C" w:rsidP="00D55A9C">
      <w:pPr>
        <w:pStyle w:val="FootnoteText"/>
      </w:pPr>
      <w:r>
        <w:rPr>
          <w:rStyle w:val="FootnoteReference"/>
        </w:rPr>
        <w:footnoteRef/>
      </w:r>
      <w:r>
        <w:t xml:space="preserve"> The SDG&amp;E tariff is currently the only Rule 20A tariff that includes a criterion for limited or impeded wheelchair access.  The February Staff Proposal recommended clarifying this criterion and expanding application to other utilities’ tariffs.</w:t>
      </w:r>
    </w:p>
  </w:footnote>
  <w:footnote w:id="28">
    <w:p w14:paraId="1895791A" w14:textId="77777777" w:rsidR="00375A9C" w:rsidRDefault="00375A9C" w:rsidP="00D55A9C">
      <w:pPr>
        <w:pStyle w:val="FootnoteText"/>
      </w:pPr>
      <w:r>
        <w:rPr>
          <w:rStyle w:val="FootnoteReference"/>
        </w:rPr>
        <w:footnoteRef/>
      </w:r>
      <w:r>
        <w:t xml:space="preserve"> City of Brisbane’s and City of Orinda’April 2020 comments.</w:t>
      </w:r>
    </w:p>
  </w:footnote>
  <w:footnote w:id="29">
    <w:p w14:paraId="39539424" w14:textId="77777777" w:rsidR="00375A9C" w:rsidRDefault="00375A9C" w:rsidP="00D55A9C">
      <w:pPr>
        <w:pStyle w:val="FootnoteText"/>
      </w:pPr>
      <w:r>
        <w:rPr>
          <w:rStyle w:val="FootnoteReference"/>
        </w:rPr>
        <w:footnoteRef/>
      </w:r>
      <w:r>
        <w:t xml:space="preserve"> City of Laguna Beach’s April 2020 comments.</w:t>
      </w:r>
    </w:p>
  </w:footnote>
  <w:footnote w:id="30">
    <w:p w14:paraId="5666FDAC" w14:textId="77777777" w:rsidR="00375A9C" w:rsidRDefault="00375A9C" w:rsidP="00D55A9C">
      <w:pPr>
        <w:pStyle w:val="FootnoteText"/>
      </w:pPr>
      <w:r>
        <w:rPr>
          <w:rStyle w:val="FootnoteReference"/>
        </w:rPr>
        <w:footnoteRef/>
      </w:r>
      <w:r>
        <w:t xml:space="preserve"> City of Newport Beach’s April 2020 comments.</w:t>
      </w:r>
    </w:p>
  </w:footnote>
  <w:footnote w:id="31">
    <w:p w14:paraId="481E8C18" w14:textId="77777777" w:rsidR="00375A9C" w:rsidRDefault="00375A9C" w:rsidP="00D55A9C">
      <w:pPr>
        <w:pStyle w:val="FootnoteText"/>
      </w:pPr>
      <w:r>
        <w:rPr>
          <w:rStyle w:val="FootnoteReference"/>
        </w:rPr>
        <w:footnoteRef/>
      </w:r>
      <w:r>
        <w:t xml:space="preserve"> PG&amp;E’s April 2020 comments.</w:t>
      </w:r>
    </w:p>
  </w:footnote>
  <w:footnote w:id="32">
    <w:p w14:paraId="56F1620A" w14:textId="77777777" w:rsidR="00375A9C" w:rsidRDefault="00375A9C" w:rsidP="00D55A9C">
      <w:pPr>
        <w:pStyle w:val="FootnoteText"/>
      </w:pPr>
      <w:r>
        <w:rPr>
          <w:rStyle w:val="FootnoteReference"/>
        </w:rPr>
        <w:footnoteRef/>
      </w:r>
      <w:r>
        <w:t xml:space="preserve"> October 2020 opening comments of City of Menlo Park, California State Association of Counties (CSAC), PG&amp;E, SDG&amp;E.</w:t>
      </w:r>
    </w:p>
  </w:footnote>
  <w:footnote w:id="33">
    <w:p w14:paraId="054AF400" w14:textId="77777777" w:rsidR="00375A9C" w:rsidRDefault="00375A9C" w:rsidP="00D55A9C">
      <w:pPr>
        <w:pStyle w:val="FootnoteText"/>
      </w:pPr>
      <w:r>
        <w:rPr>
          <w:rStyle w:val="FootnoteReference"/>
        </w:rPr>
        <w:footnoteRef/>
      </w:r>
      <w:r>
        <w:t xml:space="preserve"> October 2020 opening comments of City of Hayward, City of Menlo Park, League of California Cities, City of Tuolumne, City of San Jose, and CSAC.</w:t>
      </w:r>
    </w:p>
  </w:footnote>
  <w:footnote w:id="34">
    <w:p w14:paraId="277F59BA" w14:textId="77777777" w:rsidR="00375A9C" w:rsidRDefault="00375A9C" w:rsidP="00D55A9C">
      <w:pPr>
        <w:pStyle w:val="FootnoteText"/>
      </w:pPr>
      <w:r>
        <w:rPr>
          <w:rStyle w:val="FootnoteReference"/>
        </w:rPr>
        <w:footnoteRef/>
      </w:r>
      <w:r>
        <w:t xml:space="preserve"> </w:t>
      </w:r>
      <w:r w:rsidRPr="00B52071">
        <w:t>SCE, PG&amp;E</w:t>
      </w:r>
      <w:r>
        <w:t xml:space="preserve"> and</w:t>
      </w:r>
      <w:r w:rsidRPr="00B52071">
        <w:t xml:space="preserve"> SDG&amp;E</w:t>
      </w:r>
      <w:r>
        <w:t xml:space="preserve"> jointly commented on January 11, 2019: “</w:t>
      </w:r>
      <w:r w:rsidRPr="00FE0A11">
        <w:t>Given the current annual budget for Rule 20A and the current allocation</w:t>
      </w:r>
      <w:r>
        <w:t xml:space="preserve"> </w:t>
      </w:r>
      <w:r w:rsidRPr="00FE0A11">
        <w:t>methodology, a number of municipalities may receive an allocation of less than $15,000 per year. Therefore, it is not likely that many cities will be able to accumulate enough allocations for even a small Rule 20A project. To illustrate, in constant dollars, it may take these municipalities 30 years or more to accumulate enough allocations to fund a small project.</w:t>
      </w:r>
      <w:r>
        <w:t>”</w:t>
      </w:r>
    </w:p>
  </w:footnote>
  <w:footnote w:id="35">
    <w:p w14:paraId="5BA1F11C" w14:textId="77777777" w:rsidR="00375A9C" w:rsidRDefault="00375A9C" w:rsidP="00D55A9C">
      <w:pPr>
        <w:pStyle w:val="FootnoteText"/>
      </w:pPr>
      <w:r>
        <w:rPr>
          <w:rStyle w:val="FootnoteReference"/>
        </w:rPr>
        <w:footnoteRef/>
      </w:r>
      <w:r>
        <w:t xml:space="preserve"> PG&amp;E Audit Report recommendations at Exhibit A.</w:t>
      </w:r>
    </w:p>
  </w:footnote>
  <w:footnote w:id="36">
    <w:p w14:paraId="6EABB661" w14:textId="77777777" w:rsidR="00375A9C" w:rsidRDefault="00375A9C" w:rsidP="00D55A9C">
      <w:pPr>
        <w:pStyle w:val="FootnoteText"/>
      </w:pPr>
      <w:r>
        <w:rPr>
          <w:rStyle w:val="FootnoteReference"/>
        </w:rPr>
        <w:footnoteRef/>
      </w:r>
      <w:r>
        <w:t xml:space="preserve"> October 2020 opening comments by City of Hayward, City of Menlo Park, League of California Cities, PG&amp;E, CMUA &amp; City of Anaheim, SDG&amp;E, and County of Los Angeles.</w:t>
      </w:r>
    </w:p>
  </w:footnote>
  <w:footnote w:id="37">
    <w:p w14:paraId="4C80A711" w14:textId="77777777" w:rsidR="00375A9C" w:rsidRDefault="00375A9C" w:rsidP="00D55A9C">
      <w:pPr>
        <w:pStyle w:val="FootnoteText"/>
      </w:pPr>
      <w:r>
        <w:rPr>
          <w:rStyle w:val="FootnoteReference"/>
        </w:rPr>
        <w:footnoteRef/>
      </w:r>
      <w:r>
        <w:t xml:space="preserve"> April 2020 comments by County of Santa Cruz, City of Orinda, League of California Cities, City of Burlingame, PG&amp;E, SDG&amp;E, CSAC, City of Chula Vista, City of Newport Beach, City of Fresno, and City of San Jose.</w:t>
      </w:r>
    </w:p>
  </w:footnote>
  <w:footnote w:id="38">
    <w:p w14:paraId="7D739109" w14:textId="68BD107B" w:rsidR="00375A9C" w:rsidRDefault="00375A9C">
      <w:pPr>
        <w:pStyle w:val="FootnoteText"/>
      </w:pPr>
      <w:r>
        <w:rPr>
          <w:rStyle w:val="FootnoteReference"/>
        </w:rPr>
        <w:footnoteRef/>
      </w:r>
      <w:r>
        <w:t xml:space="preserve"> </w:t>
      </w:r>
      <w:r w:rsidRPr="00935931">
        <w:t>Resolution E-4971</w:t>
      </w:r>
      <w:r>
        <w:t xml:space="preserve"> at 10.</w:t>
      </w:r>
    </w:p>
  </w:footnote>
  <w:footnote w:id="39">
    <w:p w14:paraId="1FC81756" w14:textId="675DCA65" w:rsidR="00375A9C" w:rsidRDefault="00375A9C">
      <w:pPr>
        <w:pStyle w:val="FootnoteText"/>
      </w:pPr>
      <w:r>
        <w:rPr>
          <w:rStyle w:val="FootnoteReference"/>
        </w:rPr>
        <w:footnoteRef/>
      </w:r>
      <w:r>
        <w:t xml:space="preserve"> </w:t>
      </w:r>
      <w:r w:rsidRPr="00DE09E7">
        <w:rPr>
          <w:i/>
          <w:iCs/>
        </w:rPr>
        <w:t>Id</w:t>
      </w:r>
      <w:r>
        <w:t>. at 11.</w:t>
      </w:r>
    </w:p>
  </w:footnote>
  <w:footnote w:id="40">
    <w:p w14:paraId="3337AA64" w14:textId="4576143C" w:rsidR="00375A9C" w:rsidRPr="00DE09E7" w:rsidRDefault="00375A9C">
      <w:pPr>
        <w:pStyle w:val="FootnoteText"/>
        <w:rPr>
          <w:i/>
          <w:iCs/>
        </w:rPr>
      </w:pPr>
      <w:r>
        <w:rPr>
          <w:rStyle w:val="FootnoteReference"/>
        </w:rPr>
        <w:footnoteRef/>
      </w:r>
      <w:r>
        <w:t xml:space="preserve"> </w:t>
      </w:r>
      <w:r>
        <w:rPr>
          <w:i/>
          <w:iCs/>
        </w:rPr>
        <w:t>Ibid.</w:t>
      </w:r>
    </w:p>
  </w:footnote>
  <w:footnote w:id="41">
    <w:p w14:paraId="7E960C84" w14:textId="77777777" w:rsidR="00375A9C" w:rsidRDefault="00375A9C" w:rsidP="00D55A9C">
      <w:pPr>
        <w:pStyle w:val="FootnoteText"/>
      </w:pPr>
      <w:r>
        <w:rPr>
          <w:rStyle w:val="FootnoteReference"/>
        </w:rPr>
        <w:footnoteRef/>
      </w:r>
      <w:r>
        <w:t xml:space="preserve"> </w:t>
      </w:r>
      <w:r w:rsidRPr="00E30D33">
        <w:rPr>
          <w:i/>
          <w:iCs/>
        </w:rPr>
        <w:t>See</w:t>
      </w:r>
      <w:r>
        <w:t xml:space="preserve"> April 2020 comments by City of Brisbane, City of Tracy, City of Laguna Beach, County of Santa Cruz, City of Orinda, League of California Cities, City of Burlingame, Bear Valley Electric Service, CSAC, TURN, City of Chula Vista, City of Newport Beach, City of San Jose, Culver City, City of Fresno, and City of Del Mar.</w:t>
      </w:r>
    </w:p>
  </w:footnote>
  <w:footnote w:id="42">
    <w:p w14:paraId="5D6B1FE2" w14:textId="77777777" w:rsidR="00375A9C" w:rsidRDefault="00375A9C" w:rsidP="00D55A9C">
      <w:pPr>
        <w:pStyle w:val="FootnoteText"/>
      </w:pPr>
      <w:r>
        <w:rPr>
          <w:rStyle w:val="FootnoteReference"/>
        </w:rPr>
        <w:footnoteRef/>
      </w:r>
      <w:r>
        <w:t xml:space="preserve"> PG&amp;E Audit Report at 106-107.</w:t>
      </w:r>
    </w:p>
  </w:footnote>
  <w:footnote w:id="43">
    <w:p w14:paraId="71B30BB9" w14:textId="77777777" w:rsidR="00375A9C" w:rsidRDefault="00375A9C" w:rsidP="00D55A9C">
      <w:pPr>
        <w:pStyle w:val="FootnoteText"/>
      </w:pPr>
      <w:r>
        <w:rPr>
          <w:rStyle w:val="FootnoteReference"/>
        </w:rPr>
        <w:footnoteRef/>
      </w:r>
      <w:r>
        <w:t xml:space="preserve"> PG&amp;E’s April 2020 comments on the PG&amp;E Audit Report.</w:t>
      </w:r>
    </w:p>
  </w:footnote>
  <w:footnote w:id="44">
    <w:p w14:paraId="7CD5A440" w14:textId="77777777" w:rsidR="00375A9C" w:rsidRDefault="00375A9C" w:rsidP="00D55A9C">
      <w:pPr>
        <w:pStyle w:val="FootnoteText"/>
      </w:pPr>
      <w:r>
        <w:rPr>
          <w:rStyle w:val="FootnoteReference"/>
        </w:rPr>
        <w:footnoteRef/>
      </w:r>
      <w:r>
        <w:t xml:space="preserve"> PG&amp;E’s April 2020 comments on the PG&amp;E Audit Report.</w:t>
      </w:r>
    </w:p>
  </w:footnote>
  <w:footnote w:id="45">
    <w:p w14:paraId="2B0B28C2" w14:textId="77777777" w:rsidR="00375A9C" w:rsidRPr="00131C58" w:rsidRDefault="00375A9C" w:rsidP="00D55A9C">
      <w:pPr>
        <w:pStyle w:val="FootnoteText"/>
      </w:pPr>
      <w:r>
        <w:rPr>
          <w:rStyle w:val="FootnoteReference"/>
        </w:rPr>
        <w:footnoteRef/>
      </w:r>
      <w:r>
        <w:t xml:space="preserve"> </w:t>
      </w:r>
      <w:r w:rsidRPr="00131C58">
        <w:t xml:space="preserve">In D.19-05-020, the Commission directed SCE to establish a one-way balancing account for its Rule 20A program. SCE filed Advice Letter 4014-E to establish this balancing account. </w:t>
      </w:r>
    </w:p>
  </w:footnote>
  <w:footnote w:id="46">
    <w:p w14:paraId="6627578B" w14:textId="7086991F" w:rsidR="00375A9C" w:rsidRPr="00131C58" w:rsidRDefault="00375A9C" w:rsidP="00D55A9C">
      <w:pPr>
        <w:pStyle w:val="FootnoteText"/>
      </w:pPr>
      <w:r w:rsidRPr="00131C58">
        <w:rPr>
          <w:rStyle w:val="FootnoteReference"/>
        </w:rPr>
        <w:footnoteRef/>
      </w:r>
      <w:r w:rsidRPr="00131C58">
        <w:t xml:space="preserve"> The Commission’s Energy Division will post guidelines for Rule 20 Annual Reports and </w:t>
      </w:r>
      <w:r w:rsidR="009D0D4A">
        <w:br/>
      </w:r>
      <w:r w:rsidRPr="00131C58">
        <w:t xml:space="preserve">Rule 20 Annual Updates on the Commission’s Rule 20 webpage by November 1 each year. </w:t>
      </w:r>
      <w:r w:rsidR="00293E65" w:rsidRPr="00131C58">
        <w:t xml:space="preserve"> </w:t>
      </w:r>
      <w:r w:rsidRPr="00131C58">
        <w:t>The Commission’s Rule 20 webpage is currently located at</w:t>
      </w:r>
      <w:r w:rsidRPr="00131C58">
        <w:rPr>
          <w:rFonts w:ascii="Times New Roman" w:hAnsi="Times New Roman" w:cs="Times New Roman"/>
        </w:rPr>
        <w:t> </w:t>
      </w:r>
      <w:r w:rsidRPr="00131C58">
        <w:t>www.cpuc.ca.gov/Rule20.</w:t>
      </w:r>
    </w:p>
  </w:footnote>
  <w:footnote w:id="47">
    <w:p w14:paraId="0E564AC3" w14:textId="77777777" w:rsidR="00375A9C" w:rsidRDefault="00375A9C" w:rsidP="00D55A9C">
      <w:pPr>
        <w:pStyle w:val="FootnoteText"/>
      </w:pPr>
      <w:r>
        <w:rPr>
          <w:rStyle w:val="FootnoteReference"/>
        </w:rPr>
        <w:footnoteRef/>
      </w:r>
      <w:r>
        <w:t xml:space="preserve"> </w:t>
      </w:r>
      <w:r w:rsidRPr="0008566A">
        <w:t>This is substantially the level of detail of the electric utilities’ responses to data requests by the Commission’s Energy Division, which informed the February Staff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A710" w14:textId="19D30AC7" w:rsidR="00375A9C" w:rsidRDefault="00375A9C" w:rsidP="00EE4315">
    <w:pPr>
      <w:pStyle w:val="Header"/>
      <w:tabs>
        <w:tab w:val="clear" w:pos="4680"/>
      </w:tabs>
      <w:ind w:firstLine="0"/>
      <w:rPr>
        <w:b/>
      </w:rPr>
    </w:pPr>
    <w:r>
      <w:t>R.17-05-</w:t>
    </w:r>
    <w:proofErr w:type="gramStart"/>
    <w:r>
      <w:t>010  COM</w:t>
    </w:r>
    <w:proofErr w:type="gramEnd"/>
    <w:r>
      <w:t>/MBL/mph</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E06C" w14:textId="505139E7" w:rsidR="00375A9C" w:rsidRDefault="00375A9C" w:rsidP="00D90696">
    <w:pPr>
      <w:pStyle w:val="Header"/>
      <w:tabs>
        <w:tab w:val="clear" w:pos="4680"/>
      </w:tabs>
      <w:ind w:firstLine="0"/>
      <w:rPr>
        <w:b/>
      </w:rPr>
    </w:pPr>
    <w:r>
      <w:t>R.17-05-</w:t>
    </w:r>
    <w:proofErr w:type="gramStart"/>
    <w:r>
      <w:t>010  COM</w:t>
    </w:r>
    <w:proofErr w:type="gramEnd"/>
    <w:r>
      <w:t>/MBL/mph</w:t>
    </w:r>
    <w:r>
      <w:tab/>
    </w:r>
  </w:p>
  <w:p w14:paraId="1776C0A0" w14:textId="6B12EC08" w:rsidR="00375A9C" w:rsidRPr="00D90696" w:rsidRDefault="00375A9C" w:rsidP="00D90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B3E0" w14:textId="395481C7" w:rsidR="00375A9C" w:rsidRDefault="00375A9C" w:rsidP="00A14454">
    <w:pPr>
      <w:pStyle w:val="Header"/>
      <w:tabs>
        <w:tab w:val="clear" w:pos="4680"/>
      </w:tabs>
      <w:ind w:firstLine="0"/>
      <w:rPr>
        <w:b/>
      </w:rPr>
    </w:pPr>
    <w:r>
      <w:t>R.17-05-</w:t>
    </w:r>
    <w:proofErr w:type="gramStart"/>
    <w:r>
      <w:t>010  COM</w:t>
    </w:r>
    <w:proofErr w:type="gramEnd"/>
    <w:r>
      <w:t>/MBL/mph</w:t>
    </w:r>
    <w:r>
      <w:tab/>
    </w:r>
  </w:p>
  <w:p w14:paraId="6DFD0911" w14:textId="77777777" w:rsidR="00375A9C" w:rsidRPr="007B0A11" w:rsidRDefault="00375A9C" w:rsidP="00811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6F37" w14:textId="7A037A25" w:rsidR="00375A9C" w:rsidRDefault="00375A9C" w:rsidP="00534494">
    <w:pPr>
      <w:pStyle w:val="Header"/>
      <w:tabs>
        <w:tab w:val="clear" w:pos="4680"/>
      </w:tabs>
      <w:ind w:firstLine="0"/>
      <w:rPr>
        <w:b/>
      </w:rPr>
    </w:pPr>
    <w:r>
      <w:t>R.17-05-</w:t>
    </w:r>
    <w:proofErr w:type="gramStart"/>
    <w:r>
      <w:t>010  COM</w:t>
    </w:r>
    <w:proofErr w:type="gramEnd"/>
    <w:r>
      <w:t>/MBL/mph</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6CB7" w14:textId="77777777" w:rsidR="00C57EA6" w:rsidRDefault="00C57EA6" w:rsidP="00534494">
    <w:pPr>
      <w:pStyle w:val="Header"/>
      <w:tabs>
        <w:tab w:val="clear" w:pos="4680"/>
      </w:tabs>
      <w:ind w:firstLine="0"/>
      <w:rPr>
        <w:b/>
      </w:rPr>
    </w:pPr>
    <w:r>
      <w:t>R.17-05-</w:t>
    </w:r>
    <w:proofErr w:type="gramStart"/>
    <w:r>
      <w:t>010  COM</w:t>
    </w:r>
    <w:proofErr w:type="gramEnd"/>
    <w:r>
      <w:t>/MBL/mph</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DEB9" w14:textId="409543BD" w:rsidR="004E5B4C" w:rsidRDefault="004E5B4C" w:rsidP="00534494">
    <w:pPr>
      <w:pStyle w:val="Header"/>
      <w:tabs>
        <w:tab w:val="clear" w:pos="4680"/>
      </w:tabs>
      <w:ind w:firstLine="0"/>
      <w:rPr>
        <w:b/>
      </w:rPr>
    </w:pPr>
    <w:r>
      <w:t>R.17-05-</w:t>
    </w:r>
    <w:proofErr w:type="gramStart"/>
    <w:r>
      <w:t>010  COM</w:t>
    </w:r>
    <w:proofErr w:type="gramEnd"/>
    <w:r>
      <w:t>/MBL/mph</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5CA1" w14:textId="77777777" w:rsidR="007933A5" w:rsidRDefault="007933A5" w:rsidP="00534494">
    <w:pPr>
      <w:pStyle w:val="Header"/>
      <w:tabs>
        <w:tab w:val="clear" w:pos="4680"/>
      </w:tabs>
      <w:ind w:firstLine="0"/>
      <w:rPr>
        <w:b/>
      </w:rPr>
    </w:pPr>
    <w:r>
      <w:t>R.17-05-</w:t>
    </w:r>
    <w:proofErr w:type="gramStart"/>
    <w:r>
      <w:t>010  COM</w:t>
    </w:r>
    <w:proofErr w:type="gramEnd"/>
    <w:r>
      <w:t>/MBL/mph</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2708B"/>
    <w:multiLevelType w:val="hybridMultilevel"/>
    <w:tmpl w:val="9496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69A5"/>
    <w:multiLevelType w:val="multilevel"/>
    <w:tmpl w:val="7B7252A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E463F2"/>
    <w:multiLevelType w:val="multilevel"/>
    <w:tmpl w:val="9D3446E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1%3"/>
      <w:lvlJc w:val="left"/>
      <w:pPr>
        <w:ind w:left="1080" w:hanging="36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F82989"/>
    <w:multiLevelType w:val="hybridMultilevel"/>
    <w:tmpl w:val="651EC4CA"/>
    <w:lvl w:ilvl="0" w:tplc="3956E7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34D1"/>
    <w:multiLevelType w:val="hybridMultilevel"/>
    <w:tmpl w:val="4A38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C1C14"/>
    <w:multiLevelType w:val="hybridMultilevel"/>
    <w:tmpl w:val="18F4A5AC"/>
    <w:styleLink w:val="FoFCoLOP"/>
    <w:lvl w:ilvl="0" w:tplc="4A6A37F0">
      <w:start w:val="1"/>
      <w:numFmt w:val="decimal"/>
      <w:lvlText w:val="%1."/>
      <w:lvlJc w:val="right"/>
      <w:pPr>
        <w:ind w:left="0" w:firstLine="540"/>
      </w:pPr>
      <w:rPr>
        <w:rFonts w:hint="default"/>
      </w:rPr>
    </w:lvl>
    <w:lvl w:ilvl="1" w:tplc="857A188E">
      <w:start w:val="1"/>
      <w:numFmt w:val="lowerLetter"/>
      <w:lvlText w:val="(%2)"/>
      <w:lvlJc w:val="right"/>
      <w:pPr>
        <w:ind w:left="1152" w:hanging="72"/>
      </w:pPr>
      <w:rPr>
        <w:rFonts w:hint="default"/>
      </w:rPr>
    </w:lvl>
    <w:lvl w:ilvl="2" w:tplc="55F2AF04">
      <w:start w:val="1"/>
      <w:numFmt w:val="none"/>
      <w:lvlText w:val=""/>
      <w:lvlJc w:val="left"/>
      <w:pPr>
        <w:ind w:left="720" w:firstLine="0"/>
      </w:pPr>
      <w:rPr>
        <w:rFonts w:hint="default"/>
      </w:rPr>
    </w:lvl>
    <w:lvl w:ilvl="3" w:tplc="AC78FE1E">
      <w:start w:val="1"/>
      <w:numFmt w:val="none"/>
      <w:lvlText w:val=""/>
      <w:lvlJc w:val="left"/>
      <w:pPr>
        <w:ind w:left="720" w:firstLine="0"/>
      </w:pPr>
      <w:rPr>
        <w:rFonts w:hint="default"/>
      </w:rPr>
    </w:lvl>
    <w:lvl w:ilvl="4" w:tplc="8416B9D8">
      <w:start w:val="1"/>
      <w:numFmt w:val="none"/>
      <w:lvlText w:val=""/>
      <w:lvlJc w:val="left"/>
      <w:pPr>
        <w:ind w:left="720" w:firstLine="0"/>
      </w:pPr>
      <w:rPr>
        <w:rFonts w:hint="default"/>
      </w:rPr>
    </w:lvl>
    <w:lvl w:ilvl="5" w:tplc="36CEF228">
      <w:start w:val="1"/>
      <w:numFmt w:val="none"/>
      <w:lvlText w:val=""/>
      <w:lvlJc w:val="left"/>
      <w:pPr>
        <w:ind w:left="720" w:firstLine="0"/>
      </w:pPr>
      <w:rPr>
        <w:rFonts w:hint="default"/>
      </w:rPr>
    </w:lvl>
    <w:lvl w:ilvl="6" w:tplc="8DCE7C92">
      <w:start w:val="1"/>
      <w:numFmt w:val="none"/>
      <w:lvlText w:val=""/>
      <w:lvlJc w:val="left"/>
      <w:pPr>
        <w:ind w:left="720" w:firstLine="0"/>
      </w:pPr>
      <w:rPr>
        <w:rFonts w:hint="default"/>
      </w:rPr>
    </w:lvl>
    <w:lvl w:ilvl="7" w:tplc="4B72E9A4">
      <w:start w:val="1"/>
      <w:numFmt w:val="none"/>
      <w:lvlText w:val=""/>
      <w:lvlJc w:val="left"/>
      <w:pPr>
        <w:ind w:left="720" w:firstLine="0"/>
      </w:pPr>
      <w:rPr>
        <w:rFonts w:hint="default"/>
      </w:rPr>
    </w:lvl>
    <w:lvl w:ilvl="8" w:tplc="F02C82DE">
      <w:start w:val="1"/>
      <w:numFmt w:val="none"/>
      <w:lvlText w:val=""/>
      <w:lvlJc w:val="left"/>
      <w:pPr>
        <w:ind w:left="720" w:firstLine="0"/>
      </w:pPr>
      <w:rPr>
        <w:rFonts w:hint="default"/>
      </w:rPr>
    </w:lvl>
  </w:abstractNum>
  <w:abstractNum w:abstractNumId="7" w15:restartNumberingAfterBreak="0">
    <w:nsid w:val="148A13D6"/>
    <w:multiLevelType w:val="hybridMultilevel"/>
    <w:tmpl w:val="4DC4A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F056CB"/>
    <w:multiLevelType w:val="hybridMultilevel"/>
    <w:tmpl w:val="18F4A5AC"/>
    <w:numStyleLink w:val="FoFCoLOP"/>
  </w:abstractNum>
  <w:abstractNum w:abstractNumId="9" w15:restartNumberingAfterBreak="0">
    <w:nsid w:val="19A04504"/>
    <w:multiLevelType w:val="hybridMultilevel"/>
    <w:tmpl w:val="39EE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8654C"/>
    <w:multiLevelType w:val="hybridMultilevel"/>
    <w:tmpl w:val="18F4A5AC"/>
    <w:lvl w:ilvl="0" w:tplc="7B86680C">
      <w:start w:val="1"/>
      <w:numFmt w:val="decimal"/>
      <w:lvlText w:val="%1."/>
      <w:lvlJc w:val="right"/>
      <w:pPr>
        <w:ind w:left="0" w:firstLine="540"/>
      </w:pPr>
      <w:rPr>
        <w:rFonts w:hint="default"/>
      </w:rPr>
    </w:lvl>
    <w:lvl w:ilvl="1" w:tplc="11BE10C8">
      <w:start w:val="1"/>
      <w:numFmt w:val="lowerLetter"/>
      <w:lvlText w:val="(%2)"/>
      <w:lvlJc w:val="right"/>
      <w:pPr>
        <w:ind w:left="1152" w:hanging="72"/>
      </w:pPr>
      <w:rPr>
        <w:rFonts w:hint="default"/>
      </w:rPr>
    </w:lvl>
    <w:lvl w:ilvl="2" w:tplc="4768DB8C">
      <w:start w:val="1"/>
      <w:numFmt w:val="none"/>
      <w:lvlText w:val=""/>
      <w:lvlJc w:val="left"/>
      <w:pPr>
        <w:ind w:left="720" w:firstLine="0"/>
      </w:pPr>
      <w:rPr>
        <w:rFonts w:hint="default"/>
      </w:rPr>
    </w:lvl>
    <w:lvl w:ilvl="3" w:tplc="22C07BA6">
      <w:start w:val="1"/>
      <w:numFmt w:val="none"/>
      <w:lvlText w:val=""/>
      <w:lvlJc w:val="left"/>
      <w:pPr>
        <w:ind w:left="720" w:firstLine="0"/>
      </w:pPr>
      <w:rPr>
        <w:rFonts w:hint="default"/>
      </w:rPr>
    </w:lvl>
    <w:lvl w:ilvl="4" w:tplc="EFC0588C">
      <w:start w:val="1"/>
      <w:numFmt w:val="none"/>
      <w:lvlText w:val=""/>
      <w:lvlJc w:val="left"/>
      <w:pPr>
        <w:ind w:left="720" w:firstLine="0"/>
      </w:pPr>
      <w:rPr>
        <w:rFonts w:hint="default"/>
      </w:rPr>
    </w:lvl>
    <w:lvl w:ilvl="5" w:tplc="622A6114">
      <w:start w:val="1"/>
      <w:numFmt w:val="none"/>
      <w:lvlText w:val=""/>
      <w:lvlJc w:val="left"/>
      <w:pPr>
        <w:ind w:left="720" w:firstLine="0"/>
      </w:pPr>
      <w:rPr>
        <w:rFonts w:hint="default"/>
      </w:rPr>
    </w:lvl>
    <w:lvl w:ilvl="6" w:tplc="C36EF314">
      <w:start w:val="1"/>
      <w:numFmt w:val="none"/>
      <w:lvlText w:val=""/>
      <w:lvlJc w:val="left"/>
      <w:pPr>
        <w:ind w:left="720" w:firstLine="0"/>
      </w:pPr>
      <w:rPr>
        <w:rFonts w:hint="default"/>
      </w:rPr>
    </w:lvl>
    <w:lvl w:ilvl="7" w:tplc="067E88F0">
      <w:start w:val="1"/>
      <w:numFmt w:val="none"/>
      <w:lvlText w:val=""/>
      <w:lvlJc w:val="left"/>
      <w:pPr>
        <w:ind w:left="720" w:firstLine="0"/>
      </w:pPr>
      <w:rPr>
        <w:rFonts w:hint="default"/>
      </w:rPr>
    </w:lvl>
    <w:lvl w:ilvl="8" w:tplc="CF626E06">
      <w:start w:val="1"/>
      <w:numFmt w:val="none"/>
      <w:lvlText w:val=""/>
      <w:lvlJc w:val="left"/>
      <w:pPr>
        <w:ind w:left="720" w:firstLine="0"/>
      </w:pPr>
      <w:rPr>
        <w:rFonts w:hint="default"/>
      </w:rPr>
    </w:lvl>
  </w:abstractNum>
  <w:abstractNum w:abstractNumId="11" w15:restartNumberingAfterBreak="0">
    <w:nsid w:val="1CA80EC7"/>
    <w:multiLevelType w:val="hybridMultilevel"/>
    <w:tmpl w:val="2500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70038F"/>
    <w:multiLevelType w:val="multilevel"/>
    <w:tmpl w:val="3C526EDE"/>
    <w:numStyleLink w:val="Headings"/>
  </w:abstractNum>
  <w:abstractNum w:abstractNumId="14" w15:restartNumberingAfterBreak="0">
    <w:nsid w:val="1E2242C9"/>
    <w:multiLevelType w:val="multilevel"/>
    <w:tmpl w:val="3C526EDE"/>
    <w:numStyleLink w:val="Headings"/>
  </w:abstractNum>
  <w:abstractNum w:abstractNumId="15" w15:restartNumberingAfterBreak="0">
    <w:nsid w:val="1E2772B7"/>
    <w:multiLevelType w:val="hybridMultilevel"/>
    <w:tmpl w:val="380A37B6"/>
    <w:lvl w:ilvl="0" w:tplc="B66AB914">
      <w:start w:val="1"/>
      <w:numFmt w:val="decimal"/>
      <w:pStyle w:val="Heading1"/>
      <w:lvlText w:val="%1."/>
      <w:lvlJc w:val="left"/>
      <w:pPr>
        <w:ind w:left="720" w:hanging="360"/>
      </w:pPr>
      <w:rPr>
        <w:rFonts w:hint="default"/>
      </w:rPr>
    </w:lvl>
    <w:lvl w:ilvl="1" w:tplc="5BBE0438">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26F30"/>
    <w:multiLevelType w:val="hybridMultilevel"/>
    <w:tmpl w:val="AC16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FB58FE"/>
    <w:multiLevelType w:val="multilevel"/>
    <w:tmpl w:val="3C526EDE"/>
    <w:numStyleLink w:val="Headings"/>
  </w:abstractNum>
  <w:abstractNum w:abstractNumId="18" w15:restartNumberingAfterBreak="0">
    <w:nsid w:val="23720B17"/>
    <w:multiLevelType w:val="hybridMultilevel"/>
    <w:tmpl w:val="E0F84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663A0"/>
    <w:multiLevelType w:val="multilevel"/>
    <w:tmpl w:val="3C526EDE"/>
    <w:numStyleLink w:val="Headings"/>
  </w:abstractNum>
  <w:abstractNum w:abstractNumId="20" w15:restartNumberingAfterBreak="0">
    <w:nsid w:val="289879AD"/>
    <w:multiLevelType w:val="hybridMultilevel"/>
    <w:tmpl w:val="7FF2E1A2"/>
    <w:lvl w:ilvl="0" w:tplc="C080917A">
      <w:start w:val="1"/>
      <w:numFmt w:val="decimal"/>
      <w:lvlText w:val="%1."/>
      <w:lvlJc w:val="left"/>
      <w:pPr>
        <w:ind w:left="720" w:hanging="360"/>
      </w:pPr>
    </w:lvl>
    <w:lvl w:ilvl="1" w:tplc="741819BE">
      <w:start w:val="1"/>
      <w:numFmt w:val="lowerLetter"/>
      <w:lvlText w:val="%2."/>
      <w:lvlJc w:val="left"/>
      <w:pPr>
        <w:ind w:left="1440" w:hanging="360"/>
      </w:pPr>
    </w:lvl>
    <w:lvl w:ilvl="2" w:tplc="CFEC2208">
      <w:start w:val="1"/>
      <w:numFmt w:val="lowerRoman"/>
      <w:lvlText w:val="%3."/>
      <w:lvlJc w:val="right"/>
      <w:pPr>
        <w:ind w:left="2160" w:hanging="180"/>
      </w:pPr>
    </w:lvl>
    <w:lvl w:ilvl="3" w:tplc="F76ED7B6">
      <w:start w:val="1"/>
      <w:numFmt w:val="decimal"/>
      <w:lvlText w:val="%4."/>
      <w:lvlJc w:val="left"/>
      <w:pPr>
        <w:ind w:left="2880" w:hanging="360"/>
      </w:pPr>
    </w:lvl>
    <w:lvl w:ilvl="4" w:tplc="DD0836C4">
      <w:start w:val="1"/>
      <w:numFmt w:val="lowerLetter"/>
      <w:lvlText w:val="%5."/>
      <w:lvlJc w:val="left"/>
      <w:pPr>
        <w:ind w:left="3600" w:hanging="360"/>
      </w:pPr>
    </w:lvl>
    <w:lvl w:ilvl="5" w:tplc="7702E450">
      <w:start w:val="1"/>
      <w:numFmt w:val="lowerRoman"/>
      <w:lvlText w:val="%6."/>
      <w:lvlJc w:val="right"/>
      <w:pPr>
        <w:ind w:left="4320" w:hanging="180"/>
      </w:pPr>
    </w:lvl>
    <w:lvl w:ilvl="6" w:tplc="558A0FCA">
      <w:start w:val="1"/>
      <w:numFmt w:val="decimal"/>
      <w:lvlText w:val="%7."/>
      <w:lvlJc w:val="left"/>
      <w:pPr>
        <w:ind w:left="5040" w:hanging="360"/>
      </w:pPr>
    </w:lvl>
    <w:lvl w:ilvl="7" w:tplc="01BC0C9C">
      <w:start w:val="1"/>
      <w:numFmt w:val="lowerLetter"/>
      <w:lvlText w:val="%8."/>
      <w:lvlJc w:val="left"/>
      <w:pPr>
        <w:ind w:left="5760" w:hanging="360"/>
      </w:pPr>
    </w:lvl>
    <w:lvl w:ilvl="8" w:tplc="24867094">
      <w:start w:val="1"/>
      <w:numFmt w:val="lowerRoman"/>
      <w:lvlText w:val="%9."/>
      <w:lvlJc w:val="right"/>
      <w:pPr>
        <w:ind w:left="6480" w:hanging="180"/>
      </w:pPr>
    </w:lvl>
  </w:abstractNum>
  <w:abstractNum w:abstractNumId="21" w15:restartNumberingAfterBreak="0">
    <w:nsid w:val="2B8124D7"/>
    <w:multiLevelType w:val="multilevel"/>
    <w:tmpl w:val="3C526EDE"/>
    <w:numStyleLink w:val="Headings"/>
  </w:abstractNum>
  <w:abstractNum w:abstractNumId="22"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3"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00172B"/>
    <w:multiLevelType w:val="hybridMultilevel"/>
    <w:tmpl w:val="C84E0CE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C47C66A0">
      <w:start w:val="4"/>
      <w:numFmt w:val="bullet"/>
      <w:lvlText w:val="-"/>
      <w:lvlJc w:val="left"/>
      <w:pPr>
        <w:ind w:left="2340" w:hanging="360"/>
      </w:pPr>
      <w:rPr>
        <w:rFonts w:ascii="Palatino" w:eastAsia="Times New Roman" w:hAnsi="Palatino"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CD3FCC"/>
    <w:multiLevelType w:val="hybridMultilevel"/>
    <w:tmpl w:val="363AB902"/>
    <w:lvl w:ilvl="0" w:tplc="5BBE0438">
      <w:start w:val="1"/>
      <w:numFmt w:val="decimal"/>
      <w:lvlText w:val="1.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1E18"/>
    <w:multiLevelType w:val="multilevel"/>
    <w:tmpl w:val="6E6A5DDC"/>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6A6726B"/>
    <w:multiLevelType w:val="hybridMultilevel"/>
    <w:tmpl w:val="791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3101"/>
    <w:multiLevelType w:val="multilevel"/>
    <w:tmpl w:val="5DC841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59D042D7"/>
    <w:multiLevelType w:val="hybridMultilevel"/>
    <w:tmpl w:val="18F4A5AC"/>
    <w:lvl w:ilvl="0" w:tplc="8F12474E">
      <w:start w:val="1"/>
      <w:numFmt w:val="decimal"/>
      <w:pStyle w:val="FoF"/>
      <w:lvlText w:val="%1."/>
      <w:lvlJc w:val="right"/>
      <w:pPr>
        <w:ind w:left="0" w:firstLine="540"/>
      </w:pPr>
      <w:rPr>
        <w:rFonts w:hint="default"/>
      </w:rPr>
    </w:lvl>
    <w:lvl w:ilvl="1" w:tplc="DBE6AD20">
      <w:start w:val="1"/>
      <w:numFmt w:val="lowerLetter"/>
      <w:lvlText w:val="(%2)"/>
      <w:lvlJc w:val="right"/>
      <w:pPr>
        <w:ind w:left="1152" w:hanging="72"/>
      </w:pPr>
      <w:rPr>
        <w:rFonts w:hint="default"/>
      </w:rPr>
    </w:lvl>
    <w:lvl w:ilvl="2" w:tplc="5B16CE3C">
      <w:start w:val="1"/>
      <w:numFmt w:val="none"/>
      <w:lvlText w:val=""/>
      <w:lvlJc w:val="left"/>
      <w:pPr>
        <w:ind w:left="720" w:firstLine="0"/>
      </w:pPr>
      <w:rPr>
        <w:rFonts w:hint="default"/>
      </w:rPr>
    </w:lvl>
    <w:lvl w:ilvl="3" w:tplc="60ECA4FE">
      <w:start w:val="1"/>
      <w:numFmt w:val="none"/>
      <w:lvlText w:val=""/>
      <w:lvlJc w:val="left"/>
      <w:pPr>
        <w:ind w:left="720" w:firstLine="0"/>
      </w:pPr>
      <w:rPr>
        <w:rFonts w:hint="default"/>
      </w:rPr>
    </w:lvl>
    <w:lvl w:ilvl="4" w:tplc="45680C42">
      <w:start w:val="1"/>
      <w:numFmt w:val="none"/>
      <w:lvlText w:val=""/>
      <w:lvlJc w:val="left"/>
      <w:pPr>
        <w:ind w:left="720" w:firstLine="0"/>
      </w:pPr>
      <w:rPr>
        <w:rFonts w:hint="default"/>
      </w:rPr>
    </w:lvl>
    <w:lvl w:ilvl="5" w:tplc="BBFA20A0">
      <w:start w:val="1"/>
      <w:numFmt w:val="none"/>
      <w:lvlText w:val=""/>
      <w:lvlJc w:val="left"/>
      <w:pPr>
        <w:ind w:left="720" w:firstLine="0"/>
      </w:pPr>
      <w:rPr>
        <w:rFonts w:hint="default"/>
      </w:rPr>
    </w:lvl>
    <w:lvl w:ilvl="6" w:tplc="EEB88F24">
      <w:start w:val="1"/>
      <w:numFmt w:val="none"/>
      <w:lvlText w:val=""/>
      <w:lvlJc w:val="left"/>
      <w:pPr>
        <w:ind w:left="720" w:firstLine="0"/>
      </w:pPr>
      <w:rPr>
        <w:rFonts w:hint="default"/>
      </w:rPr>
    </w:lvl>
    <w:lvl w:ilvl="7" w:tplc="EDFEE4F0">
      <w:start w:val="1"/>
      <w:numFmt w:val="none"/>
      <w:lvlText w:val=""/>
      <w:lvlJc w:val="left"/>
      <w:pPr>
        <w:ind w:left="720" w:firstLine="0"/>
      </w:pPr>
      <w:rPr>
        <w:rFonts w:hint="default"/>
      </w:rPr>
    </w:lvl>
    <w:lvl w:ilvl="8" w:tplc="747E649A">
      <w:start w:val="1"/>
      <w:numFmt w:val="none"/>
      <w:lvlText w:val=""/>
      <w:lvlJc w:val="left"/>
      <w:pPr>
        <w:ind w:left="720" w:firstLine="0"/>
      </w:pPr>
      <w:rPr>
        <w:rFonts w:hint="default"/>
      </w:rPr>
    </w:lvl>
  </w:abstractNum>
  <w:abstractNum w:abstractNumId="30" w15:restartNumberingAfterBreak="0">
    <w:nsid w:val="5A9E2171"/>
    <w:multiLevelType w:val="multilevel"/>
    <w:tmpl w:val="3C526EDE"/>
    <w:numStyleLink w:val="Headings"/>
  </w:abstractNum>
  <w:abstractNum w:abstractNumId="31" w15:restartNumberingAfterBreak="0">
    <w:nsid w:val="61A25780"/>
    <w:multiLevelType w:val="multilevel"/>
    <w:tmpl w:val="3C526EDE"/>
    <w:numStyleLink w:val="Headings"/>
  </w:abstractNum>
  <w:abstractNum w:abstractNumId="32"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B26CFF"/>
    <w:multiLevelType w:val="hybridMultilevel"/>
    <w:tmpl w:val="C4660208"/>
    <w:lvl w:ilvl="0" w:tplc="A31A860A">
      <w:start w:val="1"/>
      <w:numFmt w:val="decimal"/>
      <w:lvlText w:val="%1."/>
      <w:lvlJc w:val="left"/>
      <w:pPr>
        <w:ind w:left="0" w:firstLine="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9486D"/>
    <w:multiLevelType w:val="hybridMultilevel"/>
    <w:tmpl w:val="9CF04A2E"/>
    <w:lvl w:ilvl="0" w:tplc="3956E7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908FB"/>
    <w:multiLevelType w:val="hybridMultilevel"/>
    <w:tmpl w:val="7BD29774"/>
    <w:lvl w:ilvl="0" w:tplc="282EC95A">
      <w:start w:val="1"/>
      <w:numFmt w:val="bullet"/>
      <w:lvlText w:val=""/>
      <w:lvlJc w:val="left"/>
      <w:pPr>
        <w:ind w:left="720" w:hanging="360"/>
      </w:pPr>
      <w:rPr>
        <w:rFonts w:ascii="Symbol" w:hAnsi="Symbol" w:hint="default"/>
        <w:sz w:val="20"/>
      </w:rPr>
    </w:lvl>
    <w:lvl w:ilvl="1" w:tplc="1F36B35C" w:tentative="1">
      <w:start w:val="1"/>
      <w:numFmt w:val="bullet"/>
      <w:lvlText w:val=""/>
      <w:lvlJc w:val="left"/>
      <w:pPr>
        <w:tabs>
          <w:tab w:val="num" w:pos="1440"/>
        </w:tabs>
        <w:ind w:left="1440" w:hanging="360"/>
      </w:pPr>
      <w:rPr>
        <w:rFonts w:ascii="Symbol" w:hAnsi="Symbol" w:hint="default"/>
        <w:sz w:val="20"/>
      </w:rPr>
    </w:lvl>
    <w:lvl w:ilvl="2" w:tplc="500EB70E" w:tentative="1">
      <w:start w:val="1"/>
      <w:numFmt w:val="bullet"/>
      <w:lvlText w:val=""/>
      <w:lvlJc w:val="left"/>
      <w:pPr>
        <w:tabs>
          <w:tab w:val="num" w:pos="2160"/>
        </w:tabs>
        <w:ind w:left="2160" w:hanging="360"/>
      </w:pPr>
      <w:rPr>
        <w:rFonts w:ascii="Symbol" w:hAnsi="Symbol" w:hint="default"/>
        <w:sz w:val="20"/>
      </w:rPr>
    </w:lvl>
    <w:lvl w:ilvl="3" w:tplc="38E893CE" w:tentative="1">
      <w:start w:val="1"/>
      <w:numFmt w:val="bullet"/>
      <w:lvlText w:val=""/>
      <w:lvlJc w:val="left"/>
      <w:pPr>
        <w:tabs>
          <w:tab w:val="num" w:pos="2880"/>
        </w:tabs>
        <w:ind w:left="2880" w:hanging="360"/>
      </w:pPr>
      <w:rPr>
        <w:rFonts w:ascii="Symbol" w:hAnsi="Symbol" w:hint="default"/>
        <w:sz w:val="20"/>
      </w:rPr>
    </w:lvl>
    <w:lvl w:ilvl="4" w:tplc="C59ED222" w:tentative="1">
      <w:start w:val="1"/>
      <w:numFmt w:val="bullet"/>
      <w:lvlText w:val=""/>
      <w:lvlJc w:val="left"/>
      <w:pPr>
        <w:tabs>
          <w:tab w:val="num" w:pos="3600"/>
        </w:tabs>
        <w:ind w:left="3600" w:hanging="360"/>
      </w:pPr>
      <w:rPr>
        <w:rFonts w:ascii="Symbol" w:hAnsi="Symbol" w:hint="default"/>
        <w:sz w:val="20"/>
      </w:rPr>
    </w:lvl>
    <w:lvl w:ilvl="5" w:tplc="E6ACEE42" w:tentative="1">
      <w:start w:val="1"/>
      <w:numFmt w:val="bullet"/>
      <w:lvlText w:val=""/>
      <w:lvlJc w:val="left"/>
      <w:pPr>
        <w:tabs>
          <w:tab w:val="num" w:pos="4320"/>
        </w:tabs>
        <w:ind w:left="4320" w:hanging="360"/>
      </w:pPr>
      <w:rPr>
        <w:rFonts w:ascii="Symbol" w:hAnsi="Symbol" w:hint="default"/>
        <w:sz w:val="20"/>
      </w:rPr>
    </w:lvl>
    <w:lvl w:ilvl="6" w:tplc="1C82004C" w:tentative="1">
      <w:start w:val="1"/>
      <w:numFmt w:val="bullet"/>
      <w:lvlText w:val=""/>
      <w:lvlJc w:val="left"/>
      <w:pPr>
        <w:tabs>
          <w:tab w:val="num" w:pos="5040"/>
        </w:tabs>
        <w:ind w:left="5040" w:hanging="360"/>
      </w:pPr>
      <w:rPr>
        <w:rFonts w:ascii="Symbol" w:hAnsi="Symbol" w:hint="default"/>
        <w:sz w:val="20"/>
      </w:rPr>
    </w:lvl>
    <w:lvl w:ilvl="7" w:tplc="D7E60E60" w:tentative="1">
      <w:start w:val="1"/>
      <w:numFmt w:val="bullet"/>
      <w:lvlText w:val=""/>
      <w:lvlJc w:val="left"/>
      <w:pPr>
        <w:tabs>
          <w:tab w:val="num" w:pos="5760"/>
        </w:tabs>
        <w:ind w:left="5760" w:hanging="360"/>
      </w:pPr>
      <w:rPr>
        <w:rFonts w:ascii="Symbol" w:hAnsi="Symbol" w:hint="default"/>
        <w:sz w:val="20"/>
      </w:rPr>
    </w:lvl>
    <w:lvl w:ilvl="8" w:tplc="FB708752"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9A0AFE"/>
    <w:multiLevelType w:val="hybridMultilevel"/>
    <w:tmpl w:val="18F4A5AC"/>
    <w:numStyleLink w:val="FoFCoLOP"/>
  </w:abstractNum>
  <w:abstractNum w:abstractNumId="37" w15:restartNumberingAfterBreak="0">
    <w:nsid w:val="7AD355D8"/>
    <w:multiLevelType w:val="multilevel"/>
    <w:tmpl w:val="D80AAB04"/>
    <w:lvl w:ilvl="0">
      <w:start w:val="5"/>
      <w:numFmt w:val="decimal"/>
      <w:lvlText w:val="%1"/>
      <w:lvlJc w:val="left"/>
      <w:pPr>
        <w:ind w:left="360" w:hanging="360"/>
      </w:pPr>
      <w:rPr>
        <w:rFonts w:hint="default"/>
      </w:rPr>
    </w:lvl>
    <w:lvl w:ilvl="1">
      <w:start w:val="1"/>
      <w:numFmt w:val="decimal"/>
      <w:pStyle w:val="Heading2"/>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0"/>
  </w:num>
  <w:num w:numId="2">
    <w:abstractNumId w:val="6"/>
  </w:num>
  <w:num w:numId="3">
    <w:abstractNumId w:val="29"/>
  </w:num>
  <w:num w:numId="4">
    <w:abstractNumId w:val="8"/>
  </w:num>
  <w:num w:numId="5">
    <w:abstractNumId w:val="36"/>
  </w:num>
  <w:num w:numId="6">
    <w:abstractNumId w:val="22"/>
  </w:num>
  <w:num w:numId="7">
    <w:abstractNumId w:val="14"/>
  </w:num>
  <w:num w:numId="8">
    <w:abstractNumId w:val="32"/>
  </w:num>
  <w:num w:numId="9">
    <w:abstractNumId w:val="0"/>
  </w:num>
  <w:num w:numId="10">
    <w:abstractNumId w:val="13"/>
  </w:num>
  <w:num w:numId="11">
    <w:abstractNumId w:val="17"/>
  </w:num>
  <w:num w:numId="12">
    <w:abstractNumId w:val="12"/>
  </w:num>
  <w:num w:numId="13">
    <w:abstractNumId w:val="19"/>
  </w:num>
  <w:num w:numId="14">
    <w:abstractNumId w:val="21"/>
  </w:num>
  <w:num w:numId="15">
    <w:abstractNumId w:val="3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8"/>
  </w:num>
  <w:num w:numId="19">
    <w:abstractNumId w:val="24"/>
  </w:num>
  <w:num w:numId="20">
    <w:abstractNumId w:val="33"/>
  </w:num>
  <w:num w:numId="21">
    <w:abstractNumId w:val="7"/>
  </w:num>
  <w:num w:numId="22">
    <w:abstractNumId w:val="11"/>
  </w:num>
  <w:num w:numId="23">
    <w:abstractNumId w:val="4"/>
  </w:num>
  <w:num w:numId="24">
    <w:abstractNumId w:val="1"/>
  </w:num>
  <w:num w:numId="25">
    <w:abstractNumId w:val="16"/>
  </w:num>
  <w:num w:numId="26">
    <w:abstractNumId w:val="5"/>
  </w:num>
  <w:num w:numId="27">
    <w:abstractNumId w:val="10"/>
  </w:num>
  <w:num w:numId="28">
    <w:abstractNumId w:val="18"/>
  </w:num>
  <w:num w:numId="29">
    <w:abstractNumId w:val="20"/>
  </w:num>
  <w:num w:numId="30">
    <w:abstractNumId w:val="27"/>
  </w:num>
  <w:num w:numId="31">
    <w:abstractNumId w:val="35"/>
  </w:num>
  <w:num w:numId="32">
    <w:abstractNumId w:val="34"/>
  </w:num>
  <w:num w:numId="33">
    <w:abstractNumId w:val="9"/>
  </w:num>
  <w:num w:numId="34">
    <w:abstractNumId w:val="29"/>
    <w:lvlOverride w:ilvl="0">
      <w:startOverride w:val="1"/>
    </w:lvlOverride>
  </w:num>
  <w:num w:numId="35">
    <w:abstractNumId w:val="29"/>
    <w:lvlOverride w:ilvl="0">
      <w:startOverride w:val="1"/>
    </w:lvlOverride>
  </w:num>
  <w:num w:numId="36">
    <w:abstractNumId w:val="29"/>
    <w:lvlOverride w:ilvl="0">
      <w:startOverride w:val="1"/>
    </w:lvlOverride>
  </w:num>
  <w:num w:numId="37">
    <w:abstractNumId w:val="29"/>
    <w:lvlOverride w:ilvl="0">
      <w:startOverride w:val="1"/>
    </w:lvlOverride>
  </w:num>
  <w:num w:numId="38">
    <w:abstractNumId w:val="15"/>
  </w:num>
  <w:num w:numId="39">
    <w:abstractNumId w:val="37"/>
  </w:num>
  <w:num w:numId="4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4"/>
    </w:lvlOverride>
    <w:lvlOverride w:ilvl="1">
      <w:startOverride w:val="1"/>
    </w:lvlOverride>
  </w:num>
  <w:num w:numId="43">
    <w:abstractNumId w:val="37"/>
    <w:lvlOverride w:ilvl="0">
      <w:startOverride w:val="4"/>
    </w:lvlOverride>
    <w:lvlOverride w:ilvl="1">
      <w:startOverride w:val="1"/>
    </w:lvlOverride>
  </w:num>
  <w:num w:numId="44">
    <w:abstractNumId w:val="37"/>
    <w:lvlOverride w:ilvl="0">
      <w:startOverride w:val="4"/>
    </w:lvlOverride>
    <w:lvlOverride w:ilvl="1">
      <w:startOverride w:val="1"/>
    </w:lvlOverride>
  </w:num>
  <w:num w:numId="45">
    <w:abstractNumId w:val="37"/>
    <w:lvlOverride w:ilvl="0">
      <w:startOverride w:val="4"/>
    </w:lvlOverride>
    <w:lvlOverride w:ilvl="1">
      <w:startOverride w:val="1"/>
    </w:lvlOverride>
  </w:num>
  <w:num w:numId="46">
    <w:abstractNumId w:val="25"/>
  </w:num>
  <w:num w:numId="47">
    <w:abstractNumId w:val="3"/>
  </w:num>
  <w:num w:numId="48">
    <w:abstractNumId w:val="2"/>
  </w:num>
  <w:num w:numId="4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95"/>
    <w:rsid w:val="00000F6A"/>
    <w:rsid w:val="00012143"/>
    <w:rsid w:val="00013029"/>
    <w:rsid w:val="00016E6F"/>
    <w:rsid w:val="000223CE"/>
    <w:rsid w:val="000256D6"/>
    <w:rsid w:val="0004282D"/>
    <w:rsid w:val="000463AB"/>
    <w:rsid w:val="00047E2D"/>
    <w:rsid w:val="0005101F"/>
    <w:rsid w:val="000522F4"/>
    <w:rsid w:val="00053D06"/>
    <w:rsid w:val="0005504E"/>
    <w:rsid w:val="00056C03"/>
    <w:rsid w:val="000652DE"/>
    <w:rsid w:val="0007115A"/>
    <w:rsid w:val="000756B3"/>
    <w:rsid w:val="00081CF9"/>
    <w:rsid w:val="000861CD"/>
    <w:rsid w:val="00092961"/>
    <w:rsid w:val="000973C8"/>
    <w:rsid w:val="000A2AA9"/>
    <w:rsid w:val="000A2EB7"/>
    <w:rsid w:val="000A56F2"/>
    <w:rsid w:val="000A6E05"/>
    <w:rsid w:val="000A78FA"/>
    <w:rsid w:val="000B0437"/>
    <w:rsid w:val="000B12FA"/>
    <w:rsid w:val="000B5F42"/>
    <w:rsid w:val="000C08BF"/>
    <w:rsid w:val="000C3B9A"/>
    <w:rsid w:val="000C47E7"/>
    <w:rsid w:val="000D25A8"/>
    <w:rsid w:val="000D6A91"/>
    <w:rsid w:val="000D7D42"/>
    <w:rsid w:val="000E164E"/>
    <w:rsid w:val="000E270A"/>
    <w:rsid w:val="000E4C53"/>
    <w:rsid w:val="000E6BD6"/>
    <w:rsid w:val="000F2B27"/>
    <w:rsid w:val="000F4368"/>
    <w:rsid w:val="0011173C"/>
    <w:rsid w:val="001201C1"/>
    <w:rsid w:val="00120B7B"/>
    <w:rsid w:val="00121089"/>
    <w:rsid w:val="00127859"/>
    <w:rsid w:val="00131C58"/>
    <w:rsid w:val="0013514E"/>
    <w:rsid w:val="00141E15"/>
    <w:rsid w:val="00145B86"/>
    <w:rsid w:val="0015272F"/>
    <w:rsid w:val="001538C2"/>
    <w:rsid w:val="001738C0"/>
    <w:rsid w:val="0018441F"/>
    <w:rsid w:val="00186D3D"/>
    <w:rsid w:val="001873CF"/>
    <w:rsid w:val="001921AC"/>
    <w:rsid w:val="001A0718"/>
    <w:rsid w:val="001A4DBF"/>
    <w:rsid w:val="001A7376"/>
    <w:rsid w:val="001A7EBF"/>
    <w:rsid w:val="001C363F"/>
    <w:rsid w:val="001C4490"/>
    <w:rsid w:val="001C6673"/>
    <w:rsid w:val="001C6E3F"/>
    <w:rsid w:val="001D037A"/>
    <w:rsid w:val="001D19B8"/>
    <w:rsid w:val="001D754F"/>
    <w:rsid w:val="001E2A62"/>
    <w:rsid w:val="001E4D5B"/>
    <w:rsid w:val="001E791B"/>
    <w:rsid w:val="001E796D"/>
    <w:rsid w:val="001F13D6"/>
    <w:rsid w:val="001F2819"/>
    <w:rsid w:val="002043EC"/>
    <w:rsid w:val="00204DFF"/>
    <w:rsid w:val="00227A6E"/>
    <w:rsid w:val="00234709"/>
    <w:rsid w:val="0024171A"/>
    <w:rsid w:val="002434B2"/>
    <w:rsid w:val="00243DC0"/>
    <w:rsid w:val="00247477"/>
    <w:rsid w:val="002610C3"/>
    <w:rsid w:val="002627A6"/>
    <w:rsid w:val="002667B6"/>
    <w:rsid w:val="0027041C"/>
    <w:rsid w:val="00270440"/>
    <w:rsid w:val="00272710"/>
    <w:rsid w:val="002745EC"/>
    <w:rsid w:val="00274E0C"/>
    <w:rsid w:val="00282866"/>
    <w:rsid w:val="00287BC5"/>
    <w:rsid w:val="00293DEE"/>
    <w:rsid w:val="00293E65"/>
    <w:rsid w:val="002A0537"/>
    <w:rsid w:val="002A0B5D"/>
    <w:rsid w:val="002A1627"/>
    <w:rsid w:val="002A3A1E"/>
    <w:rsid w:val="002A71E8"/>
    <w:rsid w:val="002B06FE"/>
    <w:rsid w:val="002B719C"/>
    <w:rsid w:val="002C1577"/>
    <w:rsid w:val="002C54B8"/>
    <w:rsid w:val="002C7FE9"/>
    <w:rsid w:val="002D0DC5"/>
    <w:rsid w:val="002D3B24"/>
    <w:rsid w:val="002D43FB"/>
    <w:rsid w:val="002D4EFD"/>
    <w:rsid w:val="002D62E3"/>
    <w:rsid w:val="002F2EE8"/>
    <w:rsid w:val="002F6257"/>
    <w:rsid w:val="00310742"/>
    <w:rsid w:val="00310FA4"/>
    <w:rsid w:val="00315A97"/>
    <w:rsid w:val="00316071"/>
    <w:rsid w:val="00321D1E"/>
    <w:rsid w:val="003313D4"/>
    <w:rsid w:val="00332E80"/>
    <w:rsid w:val="00343E5C"/>
    <w:rsid w:val="00343E6C"/>
    <w:rsid w:val="00344FB8"/>
    <w:rsid w:val="00350BC8"/>
    <w:rsid w:val="0035657C"/>
    <w:rsid w:val="003579D5"/>
    <w:rsid w:val="0036017B"/>
    <w:rsid w:val="00362755"/>
    <w:rsid w:val="00364EAC"/>
    <w:rsid w:val="0036653D"/>
    <w:rsid w:val="00366939"/>
    <w:rsid w:val="003670D0"/>
    <w:rsid w:val="00370118"/>
    <w:rsid w:val="0037280D"/>
    <w:rsid w:val="00373B93"/>
    <w:rsid w:val="003752FA"/>
    <w:rsid w:val="00375A9C"/>
    <w:rsid w:val="00380CD1"/>
    <w:rsid w:val="003833E1"/>
    <w:rsid w:val="00387574"/>
    <w:rsid w:val="00392E65"/>
    <w:rsid w:val="003931B3"/>
    <w:rsid w:val="00394C6A"/>
    <w:rsid w:val="003A38F0"/>
    <w:rsid w:val="003A7DEE"/>
    <w:rsid w:val="003D517D"/>
    <w:rsid w:val="003D7CA1"/>
    <w:rsid w:val="003E0C1C"/>
    <w:rsid w:val="003F069A"/>
    <w:rsid w:val="003F4329"/>
    <w:rsid w:val="00400A7D"/>
    <w:rsid w:val="00412534"/>
    <w:rsid w:val="00412C83"/>
    <w:rsid w:val="00426014"/>
    <w:rsid w:val="004323A7"/>
    <w:rsid w:val="00433580"/>
    <w:rsid w:val="00433C05"/>
    <w:rsid w:val="004378C3"/>
    <w:rsid w:val="0044617E"/>
    <w:rsid w:val="00460B7D"/>
    <w:rsid w:val="0046452C"/>
    <w:rsid w:val="00467603"/>
    <w:rsid w:val="004809FA"/>
    <w:rsid w:val="00480CB0"/>
    <w:rsid w:val="004832D1"/>
    <w:rsid w:val="004867BE"/>
    <w:rsid w:val="004909E9"/>
    <w:rsid w:val="0049264D"/>
    <w:rsid w:val="00492AF1"/>
    <w:rsid w:val="00492ECD"/>
    <w:rsid w:val="00493C02"/>
    <w:rsid w:val="004A07BD"/>
    <w:rsid w:val="004A3840"/>
    <w:rsid w:val="004A39E8"/>
    <w:rsid w:val="004A6778"/>
    <w:rsid w:val="004B34EA"/>
    <w:rsid w:val="004B5494"/>
    <w:rsid w:val="004B56D0"/>
    <w:rsid w:val="004B73EA"/>
    <w:rsid w:val="004C5069"/>
    <w:rsid w:val="004C7A2B"/>
    <w:rsid w:val="004C7D3A"/>
    <w:rsid w:val="004D02D8"/>
    <w:rsid w:val="004D6DCF"/>
    <w:rsid w:val="004E17B6"/>
    <w:rsid w:val="004E5B4C"/>
    <w:rsid w:val="004E5F7A"/>
    <w:rsid w:val="004E7FCD"/>
    <w:rsid w:val="004F45E9"/>
    <w:rsid w:val="004F4D1C"/>
    <w:rsid w:val="0050140C"/>
    <w:rsid w:val="005018A8"/>
    <w:rsid w:val="00501A9E"/>
    <w:rsid w:val="00505A39"/>
    <w:rsid w:val="00516EC5"/>
    <w:rsid w:val="0052224F"/>
    <w:rsid w:val="005240BF"/>
    <w:rsid w:val="0053233E"/>
    <w:rsid w:val="00533FEE"/>
    <w:rsid w:val="00534494"/>
    <w:rsid w:val="00537FF2"/>
    <w:rsid w:val="005445A1"/>
    <w:rsid w:val="00547DAE"/>
    <w:rsid w:val="00552E6E"/>
    <w:rsid w:val="00553914"/>
    <w:rsid w:val="00572EA9"/>
    <w:rsid w:val="00572FE6"/>
    <w:rsid w:val="00585390"/>
    <w:rsid w:val="005939A5"/>
    <w:rsid w:val="00593DD8"/>
    <w:rsid w:val="005946D2"/>
    <w:rsid w:val="005955DA"/>
    <w:rsid w:val="00595ACC"/>
    <w:rsid w:val="005A148C"/>
    <w:rsid w:val="005A1E0A"/>
    <w:rsid w:val="005A382A"/>
    <w:rsid w:val="005B02A7"/>
    <w:rsid w:val="005B1820"/>
    <w:rsid w:val="005C2C17"/>
    <w:rsid w:val="005C37E9"/>
    <w:rsid w:val="005C430E"/>
    <w:rsid w:val="005C58FA"/>
    <w:rsid w:val="005F0A1D"/>
    <w:rsid w:val="005F3759"/>
    <w:rsid w:val="006034D8"/>
    <w:rsid w:val="0060673B"/>
    <w:rsid w:val="00607888"/>
    <w:rsid w:val="0061296E"/>
    <w:rsid w:val="00620015"/>
    <w:rsid w:val="00620FF4"/>
    <w:rsid w:val="0062D4DE"/>
    <w:rsid w:val="00631CDF"/>
    <w:rsid w:val="00632207"/>
    <w:rsid w:val="0063491C"/>
    <w:rsid w:val="00640CB4"/>
    <w:rsid w:val="006437E9"/>
    <w:rsid w:val="0065148B"/>
    <w:rsid w:val="00652AF8"/>
    <w:rsid w:val="0065327D"/>
    <w:rsid w:val="00661AFE"/>
    <w:rsid w:val="00662E5F"/>
    <w:rsid w:val="0066494F"/>
    <w:rsid w:val="00672A42"/>
    <w:rsid w:val="0067621B"/>
    <w:rsid w:val="00676503"/>
    <w:rsid w:val="00676E10"/>
    <w:rsid w:val="00680F19"/>
    <w:rsid w:val="006864E8"/>
    <w:rsid w:val="00690CD7"/>
    <w:rsid w:val="006916DA"/>
    <w:rsid w:val="006A47A5"/>
    <w:rsid w:val="006A720A"/>
    <w:rsid w:val="006B3C9D"/>
    <w:rsid w:val="006B7D51"/>
    <w:rsid w:val="006C1F10"/>
    <w:rsid w:val="006C1F39"/>
    <w:rsid w:val="006C2D78"/>
    <w:rsid w:val="006C348D"/>
    <w:rsid w:val="006D0090"/>
    <w:rsid w:val="006E5E28"/>
    <w:rsid w:val="006E6574"/>
    <w:rsid w:val="006E7198"/>
    <w:rsid w:val="006F4111"/>
    <w:rsid w:val="006F7550"/>
    <w:rsid w:val="007004F3"/>
    <w:rsid w:val="0071279B"/>
    <w:rsid w:val="00714CF2"/>
    <w:rsid w:val="007156B9"/>
    <w:rsid w:val="00720817"/>
    <w:rsid w:val="0072223F"/>
    <w:rsid w:val="00722850"/>
    <w:rsid w:val="00722AAE"/>
    <w:rsid w:val="0073353F"/>
    <w:rsid w:val="00734B1C"/>
    <w:rsid w:val="00735A91"/>
    <w:rsid w:val="00742E45"/>
    <w:rsid w:val="007447AF"/>
    <w:rsid w:val="007471C6"/>
    <w:rsid w:val="00750816"/>
    <w:rsid w:val="007548EA"/>
    <w:rsid w:val="00755673"/>
    <w:rsid w:val="007557A6"/>
    <w:rsid w:val="00762915"/>
    <w:rsid w:val="00762C22"/>
    <w:rsid w:val="00762FFD"/>
    <w:rsid w:val="007657C1"/>
    <w:rsid w:val="00772AB6"/>
    <w:rsid w:val="0077755F"/>
    <w:rsid w:val="00777F4E"/>
    <w:rsid w:val="00791013"/>
    <w:rsid w:val="007933A5"/>
    <w:rsid w:val="007A0882"/>
    <w:rsid w:val="007A406D"/>
    <w:rsid w:val="007A5BDA"/>
    <w:rsid w:val="007A62B0"/>
    <w:rsid w:val="007B1A41"/>
    <w:rsid w:val="007B29CB"/>
    <w:rsid w:val="007C165F"/>
    <w:rsid w:val="007C5A0C"/>
    <w:rsid w:val="007D10C8"/>
    <w:rsid w:val="007D272C"/>
    <w:rsid w:val="007D3669"/>
    <w:rsid w:val="007D40F3"/>
    <w:rsid w:val="007E0FEE"/>
    <w:rsid w:val="007E5295"/>
    <w:rsid w:val="007E661F"/>
    <w:rsid w:val="007E6D65"/>
    <w:rsid w:val="007F2017"/>
    <w:rsid w:val="007F40F3"/>
    <w:rsid w:val="00801273"/>
    <w:rsid w:val="0080229B"/>
    <w:rsid w:val="00805B2B"/>
    <w:rsid w:val="00806BFE"/>
    <w:rsid w:val="008116D5"/>
    <w:rsid w:val="00812728"/>
    <w:rsid w:val="008159CF"/>
    <w:rsid w:val="00816E05"/>
    <w:rsid w:val="00816EC8"/>
    <w:rsid w:val="008213FE"/>
    <w:rsid w:val="00823E85"/>
    <w:rsid w:val="00824FAF"/>
    <w:rsid w:val="008254C4"/>
    <w:rsid w:val="008256EA"/>
    <w:rsid w:val="008270DE"/>
    <w:rsid w:val="0083373C"/>
    <w:rsid w:val="008339BB"/>
    <w:rsid w:val="00833F1F"/>
    <w:rsid w:val="00852A04"/>
    <w:rsid w:val="0086419A"/>
    <w:rsid w:val="00864772"/>
    <w:rsid w:val="0087023B"/>
    <w:rsid w:val="00871792"/>
    <w:rsid w:val="008737B3"/>
    <w:rsid w:val="00883464"/>
    <w:rsid w:val="0088780F"/>
    <w:rsid w:val="00896E50"/>
    <w:rsid w:val="008A179F"/>
    <w:rsid w:val="008A692B"/>
    <w:rsid w:val="008B0864"/>
    <w:rsid w:val="008B40A5"/>
    <w:rsid w:val="008B4629"/>
    <w:rsid w:val="008B6F40"/>
    <w:rsid w:val="008B794F"/>
    <w:rsid w:val="008B7F9C"/>
    <w:rsid w:val="008C393F"/>
    <w:rsid w:val="008C4416"/>
    <w:rsid w:val="008C7413"/>
    <w:rsid w:val="008D16B7"/>
    <w:rsid w:val="008E6AE6"/>
    <w:rsid w:val="008F0116"/>
    <w:rsid w:val="008F143D"/>
    <w:rsid w:val="008F566F"/>
    <w:rsid w:val="00905BE7"/>
    <w:rsid w:val="00906FF0"/>
    <w:rsid w:val="009071F1"/>
    <w:rsid w:val="0091124B"/>
    <w:rsid w:val="009158A3"/>
    <w:rsid w:val="00924F1E"/>
    <w:rsid w:val="009265BB"/>
    <w:rsid w:val="00932865"/>
    <w:rsid w:val="00935931"/>
    <w:rsid w:val="009604BB"/>
    <w:rsid w:val="009706BF"/>
    <w:rsid w:val="00971F57"/>
    <w:rsid w:val="009778C4"/>
    <w:rsid w:val="0098138E"/>
    <w:rsid w:val="0098184B"/>
    <w:rsid w:val="0098655A"/>
    <w:rsid w:val="00987387"/>
    <w:rsid w:val="00991BBC"/>
    <w:rsid w:val="009A0FFC"/>
    <w:rsid w:val="009A7836"/>
    <w:rsid w:val="009B047E"/>
    <w:rsid w:val="009B2FAA"/>
    <w:rsid w:val="009B6E68"/>
    <w:rsid w:val="009D0D4A"/>
    <w:rsid w:val="009D1D59"/>
    <w:rsid w:val="009D5058"/>
    <w:rsid w:val="009E6052"/>
    <w:rsid w:val="009E7C7F"/>
    <w:rsid w:val="009F36CA"/>
    <w:rsid w:val="00A01052"/>
    <w:rsid w:val="00A032C7"/>
    <w:rsid w:val="00A04F93"/>
    <w:rsid w:val="00A14454"/>
    <w:rsid w:val="00A17CE0"/>
    <w:rsid w:val="00A23D48"/>
    <w:rsid w:val="00A240DB"/>
    <w:rsid w:val="00A421B5"/>
    <w:rsid w:val="00A42306"/>
    <w:rsid w:val="00A44E8D"/>
    <w:rsid w:val="00A46EA8"/>
    <w:rsid w:val="00A55ACD"/>
    <w:rsid w:val="00A63B9F"/>
    <w:rsid w:val="00A67BBF"/>
    <w:rsid w:val="00A7668D"/>
    <w:rsid w:val="00A83F56"/>
    <w:rsid w:val="00A857BC"/>
    <w:rsid w:val="00A85D27"/>
    <w:rsid w:val="00AA1DEE"/>
    <w:rsid w:val="00AB3B94"/>
    <w:rsid w:val="00AB7875"/>
    <w:rsid w:val="00AC17CF"/>
    <w:rsid w:val="00AC3D75"/>
    <w:rsid w:val="00AC42AF"/>
    <w:rsid w:val="00AC68EE"/>
    <w:rsid w:val="00AC76C9"/>
    <w:rsid w:val="00AC7D6D"/>
    <w:rsid w:val="00AD5358"/>
    <w:rsid w:val="00AD5A8D"/>
    <w:rsid w:val="00AE310D"/>
    <w:rsid w:val="00AE7694"/>
    <w:rsid w:val="00AE7E0E"/>
    <w:rsid w:val="00AF506F"/>
    <w:rsid w:val="00B01F7E"/>
    <w:rsid w:val="00B16C2A"/>
    <w:rsid w:val="00B3087D"/>
    <w:rsid w:val="00B34794"/>
    <w:rsid w:val="00B36A3A"/>
    <w:rsid w:val="00B41CC1"/>
    <w:rsid w:val="00B42DA8"/>
    <w:rsid w:val="00B4509E"/>
    <w:rsid w:val="00B47519"/>
    <w:rsid w:val="00B500F7"/>
    <w:rsid w:val="00B51688"/>
    <w:rsid w:val="00B60421"/>
    <w:rsid w:val="00B63219"/>
    <w:rsid w:val="00B81EB6"/>
    <w:rsid w:val="00B83C63"/>
    <w:rsid w:val="00B86CB7"/>
    <w:rsid w:val="00B91862"/>
    <w:rsid w:val="00B925E0"/>
    <w:rsid w:val="00B94D08"/>
    <w:rsid w:val="00B94FAC"/>
    <w:rsid w:val="00BA3C52"/>
    <w:rsid w:val="00BA60A4"/>
    <w:rsid w:val="00BA6FD9"/>
    <w:rsid w:val="00BA7495"/>
    <w:rsid w:val="00BB0243"/>
    <w:rsid w:val="00BB2CB6"/>
    <w:rsid w:val="00BB3FC0"/>
    <w:rsid w:val="00BC3F2D"/>
    <w:rsid w:val="00BC6EDD"/>
    <w:rsid w:val="00BD4A0A"/>
    <w:rsid w:val="00BF7013"/>
    <w:rsid w:val="00BF7F96"/>
    <w:rsid w:val="00C01330"/>
    <w:rsid w:val="00C062E1"/>
    <w:rsid w:val="00C07292"/>
    <w:rsid w:val="00C10B5F"/>
    <w:rsid w:val="00C35EF2"/>
    <w:rsid w:val="00C37D36"/>
    <w:rsid w:val="00C439E8"/>
    <w:rsid w:val="00C52643"/>
    <w:rsid w:val="00C55339"/>
    <w:rsid w:val="00C57467"/>
    <w:rsid w:val="00C57EA6"/>
    <w:rsid w:val="00C878D5"/>
    <w:rsid w:val="00C9033B"/>
    <w:rsid w:val="00C913A1"/>
    <w:rsid w:val="00CA0B10"/>
    <w:rsid w:val="00CC6A99"/>
    <w:rsid w:val="00CD269B"/>
    <w:rsid w:val="00CD61A8"/>
    <w:rsid w:val="00D00AA3"/>
    <w:rsid w:val="00D0504E"/>
    <w:rsid w:val="00D05BB3"/>
    <w:rsid w:val="00D07F73"/>
    <w:rsid w:val="00D12BE0"/>
    <w:rsid w:val="00D14844"/>
    <w:rsid w:val="00D15EE9"/>
    <w:rsid w:val="00D2041C"/>
    <w:rsid w:val="00D21E3B"/>
    <w:rsid w:val="00D22837"/>
    <w:rsid w:val="00D25ADE"/>
    <w:rsid w:val="00D3337E"/>
    <w:rsid w:val="00D36300"/>
    <w:rsid w:val="00D43297"/>
    <w:rsid w:val="00D44DB6"/>
    <w:rsid w:val="00D50119"/>
    <w:rsid w:val="00D524F8"/>
    <w:rsid w:val="00D54BEA"/>
    <w:rsid w:val="00D55A9C"/>
    <w:rsid w:val="00D73E3C"/>
    <w:rsid w:val="00D7486E"/>
    <w:rsid w:val="00D754A2"/>
    <w:rsid w:val="00D82A43"/>
    <w:rsid w:val="00D84ED9"/>
    <w:rsid w:val="00D8635E"/>
    <w:rsid w:val="00D8744D"/>
    <w:rsid w:val="00D90696"/>
    <w:rsid w:val="00D9113B"/>
    <w:rsid w:val="00D92A6E"/>
    <w:rsid w:val="00D967D0"/>
    <w:rsid w:val="00D9731C"/>
    <w:rsid w:val="00DA0ABB"/>
    <w:rsid w:val="00DA73C2"/>
    <w:rsid w:val="00DA7B5D"/>
    <w:rsid w:val="00DB5F14"/>
    <w:rsid w:val="00DB6EF2"/>
    <w:rsid w:val="00DD158C"/>
    <w:rsid w:val="00DD1F9B"/>
    <w:rsid w:val="00DD3C32"/>
    <w:rsid w:val="00DD7CA5"/>
    <w:rsid w:val="00DE09E7"/>
    <w:rsid w:val="00DE1F2F"/>
    <w:rsid w:val="00DE6B1D"/>
    <w:rsid w:val="00DE6F3B"/>
    <w:rsid w:val="00DF4B7D"/>
    <w:rsid w:val="00DF4D68"/>
    <w:rsid w:val="00DF58E7"/>
    <w:rsid w:val="00E061EE"/>
    <w:rsid w:val="00E1084E"/>
    <w:rsid w:val="00E11876"/>
    <w:rsid w:val="00E12050"/>
    <w:rsid w:val="00E23CBB"/>
    <w:rsid w:val="00E2D70F"/>
    <w:rsid w:val="00E30D33"/>
    <w:rsid w:val="00E37B59"/>
    <w:rsid w:val="00E4290C"/>
    <w:rsid w:val="00E47FF5"/>
    <w:rsid w:val="00E500F3"/>
    <w:rsid w:val="00E53438"/>
    <w:rsid w:val="00E56A61"/>
    <w:rsid w:val="00E57B5C"/>
    <w:rsid w:val="00E6158F"/>
    <w:rsid w:val="00E725FC"/>
    <w:rsid w:val="00E83576"/>
    <w:rsid w:val="00E85276"/>
    <w:rsid w:val="00E907A8"/>
    <w:rsid w:val="00E937DD"/>
    <w:rsid w:val="00E96109"/>
    <w:rsid w:val="00E97582"/>
    <w:rsid w:val="00EA11A1"/>
    <w:rsid w:val="00EA36C6"/>
    <w:rsid w:val="00EA3BF4"/>
    <w:rsid w:val="00EC30F9"/>
    <w:rsid w:val="00EC41C7"/>
    <w:rsid w:val="00EC4AB0"/>
    <w:rsid w:val="00ED1001"/>
    <w:rsid w:val="00ED5337"/>
    <w:rsid w:val="00ED5725"/>
    <w:rsid w:val="00ED7031"/>
    <w:rsid w:val="00EE3060"/>
    <w:rsid w:val="00EE4315"/>
    <w:rsid w:val="00EF1D74"/>
    <w:rsid w:val="00EF4657"/>
    <w:rsid w:val="00EF4B43"/>
    <w:rsid w:val="00EF6925"/>
    <w:rsid w:val="00EF7EB6"/>
    <w:rsid w:val="00F05AD9"/>
    <w:rsid w:val="00F1243D"/>
    <w:rsid w:val="00F24F28"/>
    <w:rsid w:val="00F25095"/>
    <w:rsid w:val="00F26ED3"/>
    <w:rsid w:val="00F334A9"/>
    <w:rsid w:val="00F338A3"/>
    <w:rsid w:val="00F4423A"/>
    <w:rsid w:val="00F52709"/>
    <w:rsid w:val="00F5355B"/>
    <w:rsid w:val="00F554A2"/>
    <w:rsid w:val="00F57742"/>
    <w:rsid w:val="00F61550"/>
    <w:rsid w:val="00F61E94"/>
    <w:rsid w:val="00F62B7A"/>
    <w:rsid w:val="00F6397D"/>
    <w:rsid w:val="00F7293E"/>
    <w:rsid w:val="00F76650"/>
    <w:rsid w:val="00F9187B"/>
    <w:rsid w:val="00F92385"/>
    <w:rsid w:val="00F95F38"/>
    <w:rsid w:val="00FA1792"/>
    <w:rsid w:val="00FA1B4F"/>
    <w:rsid w:val="00FB17B5"/>
    <w:rsid w:val="00FB7C8A"/>
    <w:rsid w:val="00FC018B"/>
    <w:rsid w:val="00FC40AD"/>
    <w:rsid w:val="00FC47F9"/>
    <w:rsid w:val="00FD7177"/>
    <w:rsid w:val="00FE2351"/>
    <w:rsid w:val="00FE337D"/>
    <w:rsid w:val="00FE5580"/>
    <w:rsid w:val="00FE6AC4"/>
    <w:rsid w:val="00FF0EAC"/>
    <w:rsid w:val="00FF110C"/>
    <w:rsid w:val="0133E4BA"/>
    <w:rsid w:val="01712C39"/>
    <w:rsid w:val="020FE016"/>
    <w:rsid w:val="023DDAB2"/>
    <w:rsid w:val="0281A2B1"/>
    <w:rsid w:val="04135A7D"/>
    <w:rsid w:val="04C99D0F"/>
    <w:rsid w:val="065D7552"/>
    <w:rsid w:val="068667CD"/>
    <w:rsid w:val="06D523BA"/>
    <w:rsid w:val="076C42F8"/>
    <w:rsid w:val="07B3FB49"/>
    <w:rsid w:val="086CBA0C"/>
    <w:rsid w:val="087C5BE2"/>
    <w:rsid w:val="08857B89"/>
    <w:rsid w:val="08F5C86A"/>
    <w:rsid w:val="0918E6EE"/>
    <w:rsid w:val="096B5CA9"/>
    <w:rsid w:val="0A048D20"/>
    <w:rsid w:val="0A3A0D5F"/>
    <w:rsid w:val="0ADBC4F7"/>
    <w:rsid w:val="0B5282E2"/>
    <w:rsid w:val="0B559F25"/>
    <w:rsid w:val="0B59D8F0"/>
    <w:rsid w:val="0BEB7AC4"/>
    <w:rsid w:val="0C18094F"/>
    <w:rsid w:val="0C21AE9E"/>
    <w:rsid w:val="0D24991C"/>
    <w:rsid w:val="0D7207A5"/>
    <w:rsid w:val="0DAF3EF2"/>
    <w:rsid w:val="0E64DDDD"/>
    <w:rsid w:val="0EBF08B7"/>
    <w:rsid w:val="0EF5B92C"/>
    <w:rsid w:val="0F5C5ECE"/>
    <w:rsid w:val="0F94838B"/>
    <w:rsid w:val="0FA06F56"/>
    <w:rsid w:val="0FCE365A"/>
    <w:rsid w:val="0FF819C0"/>
    <w:rsid w:val="100DF4A3"/>
    <w:rsid w:val="1025A9E9"/>
    <w:rsid w:val="10705C7C"/>
    <w:rsid w:val="11B34621"/>
    <w:rsid w:val="11C908EC"/>
    <w:rsid w:val="122CF624"/>
    <w:rsid w:val="12C5F2ED"/>
    <w:rsid w:val="1420BD43"/>
    <w:rsid w:val="14434008"/>
    <w:rsid w:val="14691861"/>
    <w:rsid w:val="158E3F81"/>
    <w:rsid w:val="15985126"/>
    <w:rsid w:val="15BA50D7"/>
    <w:rsid w:val="160D94FE"/>
    <w:rsid w:val="16F8ABB5"/>
    <w:rsid w:val="172A0FE2"/>
    <w:rsid w:val="172B060C"/>
    <w:rsid w:val="17F52B71"/>
    <w:rsid w:val="188C1FD4"/>
    <w:rsid w:val="18D039F1"/>
    <w:rsid w:val="18D81144"/>
    <w:rsid w:val="19F374E4"/>
    <w:rsid w:val="1A9DBC2C"/>
    <w:rsid w:val="1BA60FC2"/>
    <w:rsid w:val="1C3ACD32"/>
    <w:rsid w:val="1C7794D2"/>
    <w:rsid w:val="1C830838"/>
    <w:rsid w:val="1CFFB435"/>
    <w:rsid w:val="1D3E217D"/>
    <w:rsid w:val="1D72A6E3"/>
    <w:rsid w:val="1DE667B1"/>
    <w:rsid w:val="1DFF900E"/>
    <w:rsid w:val="1E43B6BF"/>
    <w:rsid w:val="1E8F3973"/>
    <w:rsid w:val="1EFB9E3E"/>
    <w:rsid w:val="1FD7999A"/>
    <w:rsid w:val="2058D0A4"/>
    <w:rsid w:val="20BC4CC5"/>
    <w:rsid w:val="2118F50C"/>
    <w:rsid w:val="21DFD5B6"/>
    <w:rsid w:val="220D64BB"/>
    <w:rsid w:val="22C80B1A"/>
    <w:rsid w:val="22E73508"/>
    <w:rsid w:val="23507FB3"/>
    <w:rsid w:val="23F9E1D4"/>
    <w:rsid w:val="24976744"/>
    <w:rsid w:val="2522EB94"/>
    <w:rsid w:val="254AE845"/>
    <w:rsid w:val="2578F36B"/>
    <w:rsid w:val="25C7EA09"/>
    <w:rsid w:val="25D3B8B8"/>
    <w:rsid w:val="27482132"/>
    <w:rsid w:val="2845C2F9"/>
    <w:rsid w:val="287E1FA6"/>
    <w:rsid w:val="2928D6F0"/>
    <w:rsid w:val="2994AFE0"/>
    <w:rsid w:val="29B237F8"/>
    <w:rsid w:val="2A089E0D"/>
    <w:rsid w:val="2A0BDCBB"/>
    <w:rsid w:val="2A105744"/>
    <w:rsid w:val="2A1CDD4B"/>
    <w:rsid w:val="2A6C44A9"/>
    <w:rsid w:val="2BAAC5E4"/>
    <w:rsid w:val="2C60BB1A"/>
    <w:rsid w:val="2CD781E1"/>
    <w:rsid w:val="2D1EC3C2"/>
    <w:rsid w:val="2DF2084A"/>
    <w:rsid w:val="2F66F50E"/>
    <w:rsid w:val="31058DC1"/>
    <w:rsid w:val="314239F1"/>
    <w:rsid w:val="31819ACC"/>
    <w:rsid w:val="3196A54F"/>
    <w:rsid w:val="3197E89D"/>
    <w:rsid w:val="3218150D"/>
    <w:rsid w:val="32F9D3B5"/>
    <w:rsid w:val="33064277"/>
    <w:rsid w:val="33600AAA"/>
    <w:rsid w:val="338FCC8B"/>
    <w:rsid w:val="340D7BDD"/>
    <w:rsid w:val="34344C4C"/>
    <w:rsid w:val="355CFF0C"/>
    <w:rsid w:val="3581143E"/>
    <w:rsid w:val="3594A6DB"/>
    <w:rsid w:val="36460295"/>
    <w:rsid w:val="36A6568D"/>
    <w:rsid w:val="37118D63"/>
    <w:rsid w:val="37BB2E68"/>
    <w:rsid w:val="38002557"/>
    <w:rsid w:val="38656784"/>
    <w:rsid w:val="38E0ED00"/>
    <w:rsid w:val="38E421AB"/>
    <w:rsid w:val="38F77EB7"/>
    <w:rsid w:val="3949FCE4"/>
    <w:rsid w:val="39A6E1EC"/>
    <w:rsid w:val="39D9FC3B"/>
    <w:rsid w:val="3A9E0002"/>
    <w:rsid w:val="3ACAC9D6"/>
    <w:rsid w:val="3CAA2F65"/>
    <w:rsid w:val="3D6F2E6E"/>
    <w:rsid w:val="3DD6048E"/>
    <w:rsid w:val="3E27AC42"/>
    <w:rsid w:val="3E7D0E21"/>
    <w:rsid w:val="41032814"/>
    <w:rsid w:val="417CDD2F"/>
    <w:rsid w:val="4203E5A8"/>
    <w:rsid w:val="42A77C78"/>
    <w:rsid w:val="42AF0557"/>
    <w:rsid w:val="4351E99E"/>
    <w:rsid w:val="43BA2944"/>
    <w:rsid w:val="442794B2"/>
    <w:rsid w:val="4475E55D"/>
    <w:rsid w:val="45B942F5"/>
    <w:rsid w:val="45C1F9C9"/>
    <w:rsid w:val="476AAEE3"/>
    <w:rsid w:val="47C57430"/>
    <w:rsid w:val="47EC1EB3"/>
    <w:rsid w:val="48A5C6A5"/>
    <w:rsid w:val="48B40C24"/>
    <w:rsid w:val="48F505F8"/>
    <w:rsid w:val="4A420B96"/>
    <w:rsid w:val="4A4BAB12"/>
    <w:rsid w:val="4A5BCD3C"/>
    <w:rsid w:val="4ACBA553"/>
    <w:rsid w:val="4B439F78"/>
    <w:rsid w:val="4C21C6DE"/>
    <w:rsid w:val="4D044DFF"/>
    <w:rsid w:val="4D0E6C89"/>
    <w:rsid w:val="4D359843"/>
    <w:rsid w:val="4E750431"/>
    <w:rsid w:val="4EB6E8DD"/>
    <w:rsid w:val="4FF6605A"/>
    <w:rsid w:val="5096E4C1"/>
    <w:rsid w:val="50B0286F"/>
    <w:rsid w:val="50F150C6"/>
    <w:rsid w:val="510F98EB"/>
    <w:rsid w:val="5169CCB5"/>
    <w:rsid w:val="51B31B28"/>
    <w:rsid w:val="522245B7"/>
    <w:rsid w:val="524A8788"/>
    <w:rsid w:val="52702550"/>
    <w:rsid w:val="52A7D2DF"/>
    <w:rsid w:val="52DD8735"/>
    <w:rsid w:val="54DF4695"/>
    <w:rsid w:val="5552C33C"/>
    <w:rsid w:val="557A9CAF"/>
    <w:rsid w:val="557BD811"/>
    <w:rsid w:val="55DCB11A"/>
    <w:rsid w:val="5622BB96"/>
    <w:rsid w:val="56343250"/>
    <w:rsid w:val="5658587E"/>
    <w:rsid w:val="582AD82F"/>
    <w:rsid w:val="58781AB7"/>
    <w:rsid w:val="59F86C94"/>
    <w:rsid w:val="5BA7400C"/>
    <w:rsid w:val="5BCBB7B3"/>
    <w:rsid w:val="5D855C9D"/>
    <w:rsid w:val="5E61D6CC"/>
    <w:rsid w:val="5F16A4E3"/>
    <w:rsid w:val="5FB87D6D"/>
    <w:rsid w:val="609C01A8"/>
    <w:rsid w:val="60CE8F12"/>
    <w:rsid w:val="60F03B30"/>
    <w:rsid w:val="61C6D9B7"/>
    <w:rsid w:val="628F9AC1"/>
    <w:rsid w:val="6379D46E"/>
    <w:rsid w:val="64553E1B"/>
    <w:rsid w:val="646E6678"/>
    <w:rsid w:val="646E6C6D"/>
    <w:rsid w:val="65D224A3"/>
    <w:rsid w:val="65F9927F"/>
    <w:rsid w:val="672567A8"/>
    <w:rsid w:val="67A60D2F"/>
    <w:rsid w:val="67F8AC30"/>
    <w:rsid w:val="6802B1CD"/>
    <w:rsid w:val="68B78782"/>
    <w:rsid w:val="6992EFEA"/>
    <w:rsid w:val="69BC12A6"/>
    <w:rsid w:val="6A5663DA"/>
    <w:rsid w:val="6A9E0DE2"/>
    <w:rsid w:val="6B1DD1D5"/>
    <w:rsid w:val="6B6F1DBE"/>
    <w:rsid w:val="6C7291A5"/>
    <w:rsid w:val="6C761C23"/>
    <w:rsid w:val="6C77E4C6"/>
    <w:rsid w:val="6C9225EB"/>
    <w:rsid w:val="6CB16E4A"/>
    <w:rsid w:val="6D07614F"/>
    <w:rsid w:val="6E80EAFD"/>
    <w:rsid w:val="6EB33E92"/>
    <w:rsid w:val="6F9293ED"/>
    <w:rsid w:val="6FAB1BE8"/>
    <w:rsid w:val="70B48352"/>
    <w:rsid w:val="712DFFA7"/>
    <w:rsid w:val="7187C7DA"/>
    <w:rsid w:val="71FBB584"/>
    <w:rsid w:val="723D4023"/>
    <w:rsid w:val="72C0B48D"/>
    <w:rsid w:val="7320A9D3"/>
    <w:rsid w:val="744554CF"/>
    <w:rsid w:val="74829109"/>
    <w:rsid w:val="74CC861B"/>
    <w:rsid w:val="74FC0E59"/>
    <w:rsid w:val="754BD256"/>
    <w:rsid w:val="75AF2B84"/>
    <w:rsid w:val="77C089CD"/>
    <w:rsid w:val="780426DD"/>
    <w:rsid w:val="7859E1F6"/>
    <w:rsid w:val="789866B4"/>
    <w:rsid w:val="79888F54"/>
    <w:rsid w:val="7B3C14FB"/>
    <w:rsid w:val="7B879798"/>
    <w:rsid w:val="7C5E15B6"/>
    <w:rsid w:val="7C8EDC42"/>
    <w:rsid w:val="7CD79800"/>
    <w:rsid w:val="7D349521"/>
    <w:rsid w:val="7DB57FE2"/>
    <w:rsid w:val="7DB5B971"/>
    <w:rsid w:val="7E026A1A"/>
    <w:rsid w:val="7E25957D"/>
    <w:rsid w:val="7F1516E6"/>
    <w:rsid w:val="7F83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55153"/>
  <w15:chartTrackingRefBased/>
  <w15:docId w15:val="{6BCC00C0-1050-1D43-8649-FD787412B18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qFormat/>
    <w:rsid w:val="001D754F"/>
    <w:pPr>
      <w:numPr>
        <w:numId w:val="38"/>
      </w:numPr>
      <w:ind w:right="2160"/>
    </w:pPr>
    <w:rPr>
      <w:rFonts w:eastAsiaTheme="majorEastAsia" w:cstheme="majorBidi"/>
      <w:szCs w:val="32"/>
    </w:rPr>
  </w:style>
  <w:style w:type="paragraph" w:styleId="Heading2">
    <w:name w:val="heading 2"/>
    <w:basedOn w:val="Heading1"/>
    <w:next w:val="Standard"/>
    <w:link w:val="Heading2Char"/>
    <w:qFormat/>
    <w:rsid w:val="00081CF9"/>
    <w:pPr>
      <w:numPr>
        <w:ilvl w:val="1"/>
        <w:numId w:val="39"/>
      </w:numPr>
      <w:outlineLvl w:val="1"/>
    </w:pPr>
  </w:style>
  <w:style w:type="paragraph" w:styleId="Heading3">
    <w:name w:val="heading 3"/>
    <w:basedOn w:val="Dummy"/>
    <w:next w:val="Standard"/>
    <w:link w:val="Heading3Char"/>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qFormat/>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qFormat/>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qFormat/>
    <w:rsid w:val="000E270A"/>
    <w:pPr>
      <w:tabs>
        <w:tab w:val="num" w:pos="3528"/>
      </w:tabs>
      <w:spacing w:before="40"/>
      <w:ind w:left="3528" w:right="2160" w:hanging="1728"/>
      <w:outlineLvl w:val="5"/>
    </w:pPr>
    <w:rPr>
      <w:rFonts w:eastAsiaTheme="majorEastAsia" w:cstheme="majorBidi"/>
    </w:rPr>
  </w:style>
  <w:style w:type="paragraph" w:styleId="Heading7">
    <w:name w:val="heading 7"/>
    <w:basedOn w:val="Normal"/>
    <w:next w:val="sub6"/>
    <w:link w:val="Heading7Char"/>
    <w:qFormat/>
    <w:rsid w:val="00D55A9C"/>
    <w:pPr>
      <w:tabs>
        <w:tab w:val="num" w:pos="360"/>
        <w:tab w:val="left" w:pos="2520"/>
      </w:tabs>
      <w:spacing w:before="120" w:after="120" w:line="240" w:lineRule="auto"/>
      <w:ind w:firstLine="0"/>
      <w:outlineLvl w:val="6"/>
    </w:pPr>
    <w:rPr>
      <w:rFonts w:ascii="Helvetica" w:eastAsia="Times New Roman" w:hAnsi="Helvetica" w:cs="Times New Roman"/>
      <w:b/>
      <w:szCs w:val="24"/>
    </w:rPr>
  </w:style>
  <w:style w:type="paragraph" w:styleId="Heading8">
    <w:name w:val="heading 8"/>
    <w:basedOn w:val="Normal"/>
    <w:next w:val="sub7"/>
    <w:link w:val="Heading8Char"/>
    <w:qFormat/>
    <w:rsid w:val="00D55A9C"/>
    <w:pPr>
      <w:tabs>
        <w:tab w:val="num" w:pos="360"/>
      </w:tabs>
      <w:spacing w:before="120" w:after="120" w:line="240" w:lineRule="auto"/>
      <w:ind w:firstLine="0"/>
      <w:outlineLvl w:val="7"/>
    </w:pPr>
    <w:rPr>
      <w:rFonts w:ascii="Helvetica" w:eastAsia="Times New Roman" w:hAnsi="Helvetica" w:cs="Times New Roman"/>
      <w:b/>
      <w:iCs/>
      <w:sz w:val="24"/>
      <w:szCs w:val="24"/>
    </w:rPr>
  </w:style>
  <w:style w:type="paragraph" w:styleId="Heading9">
    <w:name w:val="heading 9"/>
    <w:basedOn w:val="Normal"/>
    <w:next w:val="Normal"/>
    <w:link w:val="Heading9Char"/>
    <w:qFormat/>
    <w:rsid w:val="00D55A9C"/>
    <w:pPr>
      <w:spacing w:before="240" w:after="60" w:line="240" w:lineRule="auto"/>
      <w:ind w:firstLine="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754F"/>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rsid w:val="00081CF9"/>
    <w:rPr>
      <w:rFonts w:ascii="Arial" w:eastAsiaTheme="majorEastAsia" w:hAnsi="Arial" w:cstheme="majorBidi"/>
      <w:b/>
      <w:sz w:val="26"/>
      <w:szCs w:val="32"/>
    </w:rPr>
  </w:style>
  <w:style w:type="character" w:customStyle="1" w:styleId="Heading3Char">
    <w:name w:val="Heading 3 Char"/>
    <w:basedOn w:val="DefaultParagraphFont"/>
    <w:link w:val="Heading3"/>
    <w:rsid w:val="00287BC5"/>
    <w:rPr>
      <w:rFonts w:ascii="Arial" w:eastAsiaTheme="majorEastAsia" w:hAnsi="Arial" w:cstheme="majorBidi"/>
      <w:b/>
      <w:sz w:val="26"/>
      <w:szCs w:val="24"/>
    </w:rPr>
  </w:style>
  <w:style w:type="character" w:customStyle="1" w:styleId="Heading4Char">
    <w:name w:val="Heading 4 Char"/>
    <w:basedOn w:val="DefaultParagraphFont"/>
    <w:link w:val="Heading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rsid w:val="00EE3060"/>
    <w:pPr>
      <w:tabs>
        <w:tab w:val="center" w:pos="4680"/>
        <w:tab w:val="right" w:pos="9360"/>
      </w:tabs>
      <w:spacing w:line="240" w:lineRule="auto"/>
    </w:pPr>
  </w:style>
  <w:style w:type="character" w:customStyle="1" w:styleId="FooterChar">
    <w:name w:val="Footer Char"/>
    <w:basedOn w:val="DefaultParagraphFont"/>
    <w:link w:val="Footer"/>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f"/>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FR,callout,Footnote Reference/,Style 6,Style 22,Style 30,FC"/>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FoF"/>
    <w:next w:val="FoF"/>
    <w:uiPriority w:val="8"/>
    <w:qFormat/>
    <w:rsid w:val="001E2A62"/>
  </w:style>
  <w:style w:type="paragraph" w:styleId="BalloonText">
    <w:name w:val="Balloon Text"/>
    <w:basedOn w:val="Normal"/>
    <w:link w:val="BalloonTextChar"/>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customStyle="1" w:styleId="Heading7Char">
    <w:name w:val="Heading 7 Char"/>
    <w:basedOn w:val="DefaultParagraphFont"/>
    <w:link w:val="Heading7"/>
    <w:rsid w:val="00D55A9C"/>
    <w:rPr>
      <w:rFonts w:ascii="Helvetica" w:eastAsia="Times New Roman" w:hAnsi="Helvetica" w:cs="Times New Roman"/>
      <w:b/>
      <w:sz w:val="26"/>
      <w:szCs w:val="24"/>
    </w:rPr>
  </w:style>
  <w:style w:type="character" w:customStyle="1" w:styleId="Heading8Char">
    <w:name w:val="Heading 8 Char"/>
    <w:basedOn w:val="DefaultParagraphFont"/>
    <w:link w:val="Heading8"/>
    <w:rsid w:val="00D55A9C"/>
    <w:rPr>
      <w:rFonts w:ascii="Helvetica" w:eastAsia="Times New Roman" w:hAnsi="Helvetica" w:cs="Times New Roman"/>
      <w:b/>
      <w:iCs/>
      <w:sz w:val="24"/>
      <w:szCs w:val="24"/>
    </w:rPr>
  </w:style>
  <w:style w:type="character" w:customStyle="1" w:styleId="Heading9Char">
    <w:name w:val="Heading 9 Char"/>
    <w:basedOn w:val="DefaultParagraphFont"/>
    <w:link w:val="Heading9"/>
    <w:rsid w:val="00D55A9C"/>
    <w:rPr>
      <w:rFonts w:ascii="Arial" w:eastAsia="Times New Roman" w:hAnsi="Arial" w:cs="Arial"/>
    </w:rPr>
  </w:style>
  <w:style w:type="paragraph" w:customStyle="1" w:styleId="standard0">
    <w:name w:val="standard"/>
    <w:basedOn w:val="Normal"/>
    <w:link w:val="standardChar"/>
    <w:rsid w:val="00D55A9C"/>
    <w:rPr>
      <w:rFonts w:ascii="Palatino" w:eastAsia="Times New Roman" w:hAnsi="Palatino" w:cs="Times New Roman"/>
      <w:szCs w:val="20"/>
    </w:rPr>
  </w:style>
  <w:style w:type="paragraph" w:customStyle="1" w:styleId="sub1">
    <w:name w:val="sub1"/>
    <w:basedOn w:val="Normal"/>
    <w:rsid w:val="00D55A9C"/>
    <w:rPr>
      <w:rFonts w:ascii="Palatino" w:eastAsia="Times New Roman" w:hAnsi="Palatino" w:cs="Times New Roman"/>
      <w:szCs w:val="20"/>
    </w:rPr>
  </w:style>
  <w:style w:type="paragraph" w:customStyle="1" w:styleId="sub2">
    <w:name w:val="sub2"/>
    <w:basedOn w:val="Normal"/>
    <w:rsid w:val="00D55A9C"/>
    <w:rPr>
      <w:rFonts w:ascii="Palatino" w:eastAsia="Times New Roman" w:hAnsi="Palatino" w:cs="Times New Roman"/>
      <w:szCs w:val="20"/>
    </w:rPr>
  </w:style>
  <w:style w:type="paragraph" w:customStyle="1" w:styleId="sub3">
    <w:name w:val="sub3"/>
    <w:basedOn w:val="Normal"/>
    <w:rsid w:val="00D55A9C"/>
    <w:rPr>
      <w:rFonts w:ascii="Palatino" w:eastAsia="Times New Roman" w:hAnsi="Palatino" w:cs="Times New Roman"/>
      <w:szCs w:val="20"/>
    </w:rPr>
  </w:style>
  <w:style w:type="paragraph" w:customStyle="1" w:styleId="sub4">
    <w:name w:val="sub4"/>
    <w:basedOn w:val="Normal"/>
    <w:rsid w:val="00D55A9C"/>
    <w:rPr>
      <w:rFonts w:ascii="Palatino" w:eastAsia="Times New Roman" w:hAnsi="Palatino" w:cs="Times New Roman"/>
      <w:szCs w:val="20"/>
    </w:rPr>
  </w:style>
  <w:style w:type="paragraph" w:styleId="Subtitle">
    <w:name w:val="Subtitle"/>
    <w:basedOn w:val="Normal"/>
    <w:link w:val="SubtitleChar"/>
    <w:qFormat/>
    <w:rsid w:val="00D55A9C"/>
    <w:pPr>
      <w:spacing w:after="60" w:line="240" w:lineRule="auto"/>
      <w:ind w:firstLine="0"/>
      <w:jc w:val="center"/>
    </w:pPr>
    <w:rPr>
      <w:rFonts w:ascii="Arial" w:eastAsia="Times New Roman" w:hAnsi="Arial" w:cs="Times New Roman"/>
      <w:szCs w:val="20"/>
    </w:rPr>
  </w:style>
  <w:style w:type="character" w:customStyle="1" w:styleId="SubtitleChar">
    <w:name w:val="Subtitle Char"/>
    <w:basedOn w:val="DefaultParagraphFont"/>
    <w:link w:val="Subtitle"/>
    <w:rsid w:val="00D55A9C"/>
    <w:rPr>
      <w:rFonts w:ascii="Arial" w:eastAsia="Times New Roman" w:hAnsi="Arial" w:cs="Times New Roman"/>
      <w:sz w:val="26"/>
      <w:szCs w:val="20"/>
    </w:rPr>
  </w:style>
  <w:style w:type="paragraph" w:customStyle="1" w:styleId="Quote1">
    <w:name w:val="Quote1"/>
    <w:basedOn w:val="standard0"/>
    <w:next w:val="standard0"/>
    <w:rsid w:val="00D55A9C"/>
    <w:pPr>
      <w:spacing w:before="120" w:after="240" w:line="240" w:lineRule="auto"/>
      <w:ind w:left="720" w:right="720" w:firstLine="0"/>
    </w:pPr>
  </w:style>
  <w:style w:type="paragraph" w:customStyle="1" w:styleId="letter">
    <w:name w:val="letter"/>
    <w:basedOn w:val="num1"/>
    <w:rsid w:val="00D55A9C"/>
    <w:pPr>
      <w:spacing w:after="120" w:line="240" w:lineRule="auto"/>
      <w:ind w:left="994" w:hanging="274"/>
    </w:pPr>
  </w:style>
  <w:style w:type="paragraph" w:customStyle="1" w:styleId="num1">
    <w:name w:val="num1"/>
    <w:basedOn w:val="Normal"/>
    <w:rsid w:val="00D55A9C"/>
    <w:pPr>
      <w:tabs>
        <w:tab w:val="left" w:pos="-720"/>
      </w:tabs>
      <w:suppressAutoHyphens/>
      <w:ind w:firstLine="360"/>
    </w:pPr>
    <w:rPr>
      <w:rFonts w:ascii="Palatino" w:eastAsia="Times New Roman" w:hAnsi="Palatino" w:cs="Times New Roman"/>
      <w:szCs w:val="20"/>
    </w:rPr>
  </w:style>
  <w:style w:type="paragraph" w:customStyle="1" w:styleId="main0">
    <w:name w:val="main"/>
    <w:basedOn w:val="Normal"/>
    <w:link w:val="mainChar"/>
    <w:rsid w:val="00D55A9C"/>
    <w:pPr>
      <w:spacing w:line="240" w:lineRule="auto"/>
      <w:ind w:firstLine="0"/>
      <w:jc w:val="center"/>
    </w:pPr>
    <w:rPr>
      <w:rFonts w:ascii="Helvetica" w:eastAsia="Times New Roman" w:hAnsi="Helvetica" w:cs="Times New Roman"/>
      <w:b/>
      <w:szCs w:val="20"/>
    </w:rPr>
  </w:style>
  <w:style w:type="paragraph" w:customStyle="1" w:styleId="mainex0">
    <w:name w:val="mainex"/>
    <w:basedOn w:val="main0"/>
    <w:rsid w:val="00D55A9C"/>
    <w:rPr>
      <w:spacing w:val="120"/>
    </w:rPr>
  </w:style>
  <w:style w:type="paragraph" w:customStyle="1" w:styleId="num2">
    <w:name w:val="num2"/>
    <w:basedOn w:val="num1"/>
    <w:rsid w:val="00D55A9C"/>
    <w:pPr>
      <w:ind w:firstLine="270"/>
    </w:pPr>
  </w:style>
  <w:style w:type="character" w:styleId="PageNumber">
    <w:name w:val="page number"/>
    <w:basedOn w:val="DefaultParagraphFont"/>
    <w:rsid w:val="00D55A9C"/>
  </w:style>
  <w:style w:type="paragraph" w:styleId="BodyText">
    <w:name w:val="Body Text"/>
    <w:basedOn w:val="Normal"/>
    <w:link w:val="BodyTextChar"/>
    <w:rsid w:val="00D55A9C"/>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55A9C"/>
    <w:rPr>
      <w:rFonts w:ascii="Times New Roman" w:eastAsia="Times New Roman" w:hAnsi="Times New Roman" w:cs="Times New Roman"/>
      <w:sz w:val="24"/>
      <w:szCs w:val="20"/>
    </w:rPr>
  </w:style>
  <w:style w:type="character" w:styleId="FollowedHyperlink">
    <w:name w:val="FollowedHyperlink"/>
    <w:rsid w:val="00D55A9C"/>
    <w:rPr>
      <w:color w:val="800080"/>
      <w:u w:val="single"/>
    </w:rPr>
  </w:style>
  <w:style w:type="paragraph" w:customStyle="1" w:styleId="dummy0">
    <w:name w:val="dummy"/>
    <w:basedOn w:val="Heading1"/>
    <w:rsid w:val="00D55A9C"/>
    <w:pPr>
      <w:keepLines w:val="0"/>
      <w:numPr>
        <w:numId w:val="0"/>
      </w:numPr>
      <w:spacing w:before="120"/>
      <w:ind w:left="72" w:right="0"/>
      <w:outlineLvl w:val="9"/>
    </w:pPr>
    <w:rPr>
      <w:rFonts w:ascii="Helvetica" w:eastAsia="Times New Roman" w:hAnsi="Helvetica" w:cs="Times New Roman"/>
      <w:kern w:val="28"/>
      <w:szCs w:val="20"/>
    </w:rPr>
  </w:style>
  <w:style w:type="paragraph" w:styleId="BlockText">
    <w:name w:val="Block Text"/>
    <w:basedOn w:val="Normal"/>
    <w:rsid w:val="00D55A9C"/>
    <w:pPr>
      <w:spacing w:line="240" w:lineRule="auto"/>
      <w:ind w:left="720" w:right="720" w:firstLine="0"/>
    </w:pPr>
    <w:rPr>
      <w:rFonts w:ascii="Times" w:eastAsia="Times New Roman" w:hAnsi="Times" w:cs="Times New Roman"/>
      <w:sz w:val="24"/>
      <w:szCs w:val="20"/>
    </w:rPr>
  </w:style>
  <w:style w:type="paragraph" w:styleId="NormalIndent">
    <w:name w:val="Normal Indent"/>
    <w:basedOn w:val="Normal"/>
    <w:rsid w:val="00D55A9C"/>
    <w:pPr>
      <w:spacing w:line="480" w:lineRule="auto"/>
    </w:pPr>
    <w:rPr>
      <w:rFonts w:ascii="Times" w:eastAsia="Times New Roman" w:hAnsi="Times" w:cs="Times New Roman"/>
      <w:sz w:val="24"/>
      <w:szCs w:val="20"/>
    </w:rPr>
  </w:style>
  <w:style w:type="paragraph" w:styleId="BodyText3">
    <w:name w:val="Body Text 3"/>
    <w:basedOn w:val="Normal"/>
    <w:link w:val="BodyText3Char"/>
    <w:rsid w:val="00D55A9C"/>
    <w:pPr>
      <w:overflowPunct w:val="0"/>
      <w:autoSpaceDE w:val="0"/>
      <w:autoSpaceDN w:val="0"/>
      <w:adjustRightInd w:val="0"/>
      <w:spacing w:line="240" w:lineRule="auto"/>
      <w:ind w:firstLine="0"/>
      <w:textAlignment w:val="baseline"/>
    </w:pPr>
    <w:rPr>
      <w:rFonts w:ascii="Times New Roman" w:eastAsia="Times New Roman" w:hAnsi="Times New Roman" w:cs="Times New Roman"/>
      <w:sz w:val="24"/>
      <w:szCs w:val="20"/>
      <w:u w:val="single"/>
    </w:rPr>
  </w:style>
  <w:style w:type="character" w:customStyle="1" w:styleId="BodyText3Char">
    <w:name w:val="Body Text 3 Char"/>
    <w:basedOn w:val="DefaultParagraphFont"/>
    <w:link w:val="BodyText3"/>
    <w:rsid w:val="00D55A9C"/>
    <w:rPr>
      <w:rFonts w:ascii="Times New Roman" w:eastAsia="Times New Roman" w:hAnsi="Times New Roman" w:cs="Times New Roman"/>
      <w:sz w:val="24"/>
      <w:szCs w:val="20"/>
      <w:u w:val="single"/>
    </w:rPr>
  </w:style>
  <w:style w:type="paragraph" w:styleId="BodyText2">
    <w:name w:val="Body Text 2"/>
    <w:basedOn w:val="Normal"/>
    <w:link w:val="BodyText2Char"/>
    <w:rsid w:val="00D55A9C"/>
    <w:pPr>
      <w:overflowPunct w:val="0"/>
      <w:autoSpaceDE w:val="0"/>
      <w:autoSpaceDN w:val="0"/>
      <w:adjustRightInd w:val="0"/>
      <w:spacing w:line="480" w:lineRule="auto"/>
      <w:textAlignment w:val="baseline"/>
    </w:pPr>
    <w:rPr>
      <w:rFonts w:ascii="Times" w:eastAsia="Times New Roman" w:hAnsi="Times" w:cs="Times New Roman"/>
      <w:sz w:val="24"/>
      <w:szCs w:val="20"/>
    </w:rPr>
  </w:style>
  <w:style w:type="character" w:customStyle="1" w:styleId="BodyText2Char">
    <w:name w:val="Body Text 2 Char"/>
    <w:basedOn w:val="DefaultParagraphFont"/>
    <w:link w:val="BodyText2"/>
    <w:rsid w:val="00D55A9C"/>
    <w:rPr>
      <w:rFonts w:ascii="Times" w:eastAsia="Times New Roman" w:hAnsi="Times" w:cs="Times New Roman"/>
      <w:sz w:val="24"/>
      <w:szCs w:val="20"/>
    </w:rPr>
  </w:style>
  <w:style w:type="paragraph" w:customStyle="1" w:styleId="Quotation">
    <w:name w:val="Quotation"/>
    <w:basedOn w:val="BodyText"/>
    <w:next w:val="BodyText"/>
    <w:rsid w:val="00D55A9C"/>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D55A9C"/>
    <w:pPr>
      <w:spacing w:after="120" w:line="480" w:lineRule="auto"/>
      <w:ind w:left="360" w:firstLine="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55A9C"/>
    <w:rPr>
      <w:rFonts w:ascii="Times New Roman" w:eastAsia="Times New Roman" w:hAnsi="Times New Roman" w:cs="Times New Roman"/>
      <w:sz w:val="24"/>
      <w:szCs w:val="24"/>
    </w:rPr>
  </w:style>
  <w:style w:type="paragraph" w:styleId="PlainText">
    <w:name w:val="Plain Text"/>
    <w:basedOn w:val="Normal"/>
    <w:link w:val="PlainTextChar"/>
    <w:rsid w:val="00D55A9C"/>
    <w:pPr>
      <w:spacing w:line="250" w:lineRule="exact"/>
      <w:ind w:firstLine="0"/>
    </w:pPr>
    <w:rPr>
      <w:rFonts w:ascii="Courier New" w:eastAsia="Times New Roman" w:hAnsi="Courier New" w:cs="Courier New"/>
      <w:spacing w:val="-4"/>
      <w:sz w:val="24"/>
      <w:szCs w:val="20"/>
    </w:rPr>
  </w:style>
  <w:style w:type="character" w:customStyle="1" w:styleId="PlainTextChar">
    <w:name w:val="Plain Text Char"/>
    <w:basedOn w:val="DefaultParagraphFont"/>
    <w:link w:val="PlainText"/>
    <w:rsid w:val="00D55A9C"/>
    <w:rPr>
      <w:rFonts w:ascii="Courier New" w:eastAsia="Times New Roman" w:hAnsi="Courier New" w:cs="Courier New"/>
      <w:spacing w:val="-4"/>
      <w:sz w:val="24"/>
      <w:szCs w:val="20"/>
    </w:rPr>
  </w:style>
  <w:style w:type="paragraph" w:styleId="BodyTextIndent3">
    <w:name w:val="Body Text Indent 3"/>
    <w:basedOn w:val="Normal"/>
    <w:link w:val="BodyTextIndent3Char"/>
    <w:rsid w:val="00D55A9C"/>
    <w:pPr>
      <w:spacing w:line="240" w:lineRule="auto"/>
      <w:ind w:left="720" w:firstLine="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D55A9C"/>
    <w:rPr>
      <w:rFonts w:ascii="Times New Roman" w:eastAsia="Times New Roman" w:hAnsi="Times New Roman" w:cs="Times New Roman"/>
      <w:snapToGrid w:val="0"/>
      <w:sz w:val="24"/>
      <w:szCs w:val="20"/>
    </w:rPr>
  </w:style>
  <w:style w:type="paragraph" w:customStyle="1" w:styleId="xl24">
    <w:name w:val="xl24"/>
    <w:basedOn w:val="Normal"/>
    <w:rsid w:val="00D55A9C"/>
    <w:pP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25">
    <w:name w:val="xl25"/>
    <w:basedOn w:val="Normal"/>
    <w:rsid w:val="00D55A9C"/>
    <w:pP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26">
    <w:name w:val="xl26"/>
    <w:basedOn w:val="Normal"/>
    <w:rsid w:val="00D55A9C"/>
    <w:pPr>
      <w:spacing w:before="100" w:beforeAutospacing="1" w:after="100" w:afterAutospacing="1" w:line="240" w:lineRule="auto"/>
      <w:ind w:firstLine="0"/>
      <w:jc w:val="right"/>
    </w:pPr>
    <w:rPr>
      <w:rFonts w:ascii="Arial" w:eastAsia="Arial Unicode MS" w:hAnsi="Arial" w:cs="Arial"/>
      <w:b/>
      <w:bCs/>
      <w:sz w:val="24"/>
      <w:szCs w:val="24"/>
    </w:rPr>
  </w:style>
  <w:style w:type="paragraph" w:customStyle="1" w:styleId="xl27">
    <w:name w:val="xl27"/>
    <w:basedOn w:val="Normal"/>
    <w:rsid w:val="00D55A9C"/>
    <w:pPr>
      <w:spacing w:before="100" w:beforeAutospacing="1" w:after="100" w:afterAutospacing="1" w:line="240" w:lineRule="auto"/>
      <w:ind w:firstLine="0"/>
      <w:jc w:val="center"/>
    </w:pPr>
    <w:rPr>
      <w:rFonts w:ascii="Arial" w:eastAsia="Arial Unicode MS" w:hAnsi="Arial" w:cs="Arial"/>
      <w:b/>
      <w:bCs/>
      <w:sz w:val="24"/>
      <w:szCs w:val="24"/>
    </w:rPr>
  </w:style>
  <w:style w:type="paragraph" w:customStyle="1" w:styleId="xl28">
    <w:name w:val="xl28"/>
    <w:basedOn w:val="Normal"/>
    <w:rsid w:val="00D55A9C"/>
    <w:pPr>
      <w:pBdr>
        <w:top w:val="single" w:sz="8" w:space="0" w:color="auto"/>
        <w:left w:val="single" w:sz="8"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29">
    <w:name w:val="xl29"/>
    <w:basedOn w:val="Normal"/>
    <w:rsid w:val="00D55A9C"/>
    <w:pPr>
      <w:pBdr>
        <w:top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0">
    <w:name w:val="xl30"/>
    <w:basedOn w:val="Normal"/>
    <w:rsid w:val="00D55A9C"/>
    <w:pPr>
      <w:pBdr>
        <w:top w:val="single" w:sz="8"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1">
    <w:name w:val="xl31"/>
    <w:basedOn w:val="Normal"/>
    <w:rsid w:val="00D55A9C"/>
    <w:pPr>
      <w:pBdr>
        <w:left w:val="single" w:sz="8"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32">
    <w:name w:val="xl32"/>
    <w:basedOn w:val="Normal"/>
    <w:rsid w:val="00D55A9C"/>
    <w:pPr>
      <w:pBdr>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3">
    <w:name w:val="xl33"/>
    <w:basedOn w:val="Normal"/>
    <w:rsid w:val="00D55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4">
    <w:name w:val="xl34"/>
    <w:basedOn w:val="Normal"/>
    <w:rsid w:val="00D55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5">
    <w:name w:val="xl35"/>
    <w:basedOn w:val="Normal"/>
    <w:rsid w:val="00D55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6">
    <w:name w:val="xl36"/>
    <w:basedOn w:val="Normal"/>
    <w:rsid w:val="00D55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7">
    <w:name w:val="xl37"/>
    <w:basedOn w:val="Normal"/>
    <w:rsid w:val="00D55A9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8">
    <w:name w:val="xl38"/>
    <w:basedOn w:val="Normal"/>
    <w:rsid w:val="00D55A9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39">
    <w:name w:val="xl39"/>
    <w:basedOn w:val="Normal"/>
    <w:rsid w:val="00D55A9C"/>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0">
    <w:name w:val="xl40"/>
    <w:basedOn w:val="Normal"/>
    <w:rsid w:val="00D55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41">
    <w:name w:val="xl41"/>
    <w:basedOn w:val="Normal"/>
    <w:rsid w:val="00D55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2">
    <w:name w:val="xl42"/>
    <w:basedOn w:val="Normal"/>
    <w:rsid w:val="00D55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3">
    <w:name w:val="xl43"/>
    <w:basedOn w:val="Normal"/>
    <w:rsid w:val="00D55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4">
    <w:name w:val="xl44"/>
    <w:basedOn w:val="Normal"/>
    <w:rsid w:val="00D55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customStyle="1" w:styleId="xl45">
    <w:name w:val="xl45"/>
    <w:basedOn w:val="Normal"/>
    <w:rsid w:val="00D55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6">
    <w:name w:val="xl46"/>
    <w:basedOn w:val="Normal"/>
    <w:rsid w:val="00D55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7">
    <w:name w:val="xl47"/>
    <w:basedOn w:val="Normal"/>
    <w:rsid w:val="00D55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8">
    <w:name w:val="xl48"/>
    <w:basedOn w:val="Normal"/>
    <w:rsid w:val="00D55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49">
    <w:name w:val="xl49"/>
    <w:basedOn w:val="Normal"/>
    <w:rsid w:val="00D55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50">
    <w:name w:val="xl50"/>
    <w:basedOn w:val="Normal"/>
    <w:rsid w:val="00D55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xl51">
    <w:name w:val="xl51"/>
    <w:basedOn w:val="Normal"/>
    <w:rsid w:val="00D55A9C"/>
    <w:pPr>
      <w:spacing w:before="100" w:beforeAutospacing="1" w:after="100" w:afterAutospacing="1" w:line="240" w:lineRule="auto"/>
      <w:ind w:firstLine="0"/>
      <w:jc w:val="right"/>
    </w:pPr>
    <w:rPr>
      <w:rFonts w:ascii="Arial Unicode MS" w:eastAsia="Arial Unicode MS" w:hAnsi="Arial Unicode MS" w:cs="Arial Unicode MS"/>
      <w:sz w:val="24"/>
      <w:szCs w:val="24"/>
    </w:rPr>
  </w:style>
  <w:style w:type="paragraph" w:styleId="TOC7">
    <w:name w:val="toc 7"/>
    <w:basedOn w:val="Normal"/>
    <w:next w:val="Normal"/>
    <w:autoRedefine/>
    <w:uiPriority w:val="39"/>
    <w:rsid w:val="00D55A9C"/>
    <w:pPr>
      <w:tabs>
        <w:tab w:val="left" w:pos="2700"/>
        <w:tab w:val="right" w:leader="dot" w:pos="9350"/>
      </w:tabs>
      <w:spacing w:line="240" w:lineRule="auto"/>
      <w:ind w:left="2700" w:hanging="2160"/>
    </w:pPr>
    <w:rPr>
      <w:rFonts w:ascii="Palatino" w:eastAsia="Times New Roman" w:hAnsi="Palatino" w:cs="Times New Roman"/>
      <w:szCs w:val="20"/>
    </w:rPr>
  </w:style>
  <w:style w:type="paragraph" w:styleId="TOC8">
    <w:name w:val="toc 8"/>
    <w:basedOn w:val="Normal"/>
    <w:next w:val="Normal"/>
    <w:autoRedefine/>
    <w:uiPriority w:val="39"/>
    <w:rsid w:val="00D55A9C"/>
    <w:pPr>
      <w:tabs>
        <w:tab w:val="left" w:pos="3690"/>
        <w:tab w:val="right" w:leader="dot" w:pos="9350"/>
      </w:tabs>
      <w:spacing w:line="240" w:lineRule="auto"/>
      <w:ind w:left="2880" w:hanging="2340"/>
    </w:pPr>
    <w:rPr>
      <w:rFonts w:ascii="Palatino" w:eastAsia="Times New Roman" w:hAnsi="Palatino" w:cs="Times New Roman"/>
      <w:szCs w:val="20"/>
    </w:rPr>
  </w:style>
  <w:style w:type="paragraph" w:customStyle="1" w:styleId="sub5">
    <w:name w:val="sub5"/>
    <w:basedOn w:val="sub4"/>
    <w:rsid w:val="00D55A9C"/>
  </w:style>
  <w:style w:type="paragraph" w:customStyle="1" w:styleId="quote10">
    <w:name w:val="quote1"/>
    <w:basedOn w:val="Quote1"/>
    <w:rsid w:val="00D55A9C"/>
    <w:pPr>
      <w:ind w:right="1080"/>
    </w:pPr>
  </w:style>
  <w:style w:type="paragraph" w:customStyle="1" w:styleId="quote3">
    <w:name w:val="quote3"/>
    <w:basedOn w:val="Quote1"/>
    <w:rsid w:val="00D55A9C"/>
    <w:pPr>
      <w:ind w:right="1080"/>
    </w:pPr>
  </w:style>
  <w:style w:type="paragraph" w:customStyle="1" w:styleId="quote2">
    <w:name w:val="quote2"/>
    <w:basedOn w:val="quote3"/>
    <w:rsid w:val="00D55A9C"/>
  </w:style>
  <w:style w:type="paragraph" w:customStyle="1" w:styleId="bullets">
    <w:name w:val="bullets"/>
    <w:basedOn w:val="sub1"/>
    <w:rsid w:val="00D55A9C"/>
    <w:pPr>
      <w:numPr>
        <w:numId w:val="17"/>
      </w:numPr>
      <w:spacing w:after="120" w:line="240" w:lineRule="auto"/>
      <w:ind w:right="720"/>
    </w:pPr>
  </w:style>
  <w:style w:type="paragraph" w:customStyle="1" w:styleId="sub6">
    <w:name w:val="sub6"/>
    <w:basedOn w:val="sub4"/>
    <w:rsid w:val="00D55A9C"/>
  </w:style>
  <w:style w:type="paragraph" w:customStyle="1" w:styleId="sub7">
    <w:name w:val="sub7"/>
    <w:basedOn w:val="sub4"/>
    <w:rsid w:val="00D55A9C"/>
  </w:style>
  <w:style w:type="paragraph" w:customStyle="1" w:styleId="sub8">
    <w:name w:val="sub8"/>
    <w:basedOn w:val="sub7"/>
    <w:rsid w:val="00D55A9C"/>
    <w:pPr>
      <w:ind w:firstLine="3787"/>
    </w:pPr>
  </w:style>
  <w:style w:type="character" w:customStyle="1" w:styleId="standardChar">
    <w:name w:val="standard Char"/>
    <w:link w:val="standard0"/>
    <w:rsid w:val="00D55A9C"/>
    <w:rPr>
      <w:rFonts w:ascii="Palatino" w:eastAsia="Times New Roman" w:hAnsi="Palatino" w:cs="Times New Roman"/>
      <w:sz w:val="26"/>
      <w:szCs w:val="20"/>
    </w:rPr>
  </w:style>
  <w:style w:type="paragraph" w:customStyle="1" w:styleId="Style1">
    <w:name w:val="Style1"/>
    <w:basedOn w:val="Heading7"/>
    <w:next w:val="sub6"/>
    <w:rsid w:val="00D55A9C"/>
  </w:style>
  <w:style w:type="paragraph" w:customStyle="1" w:styleId="StyleHeading1Before0ptAfter0ptLinespacing15l">
    <w:name w:val="Style Heading 1 + Before:  0 pt After:  0 pt Line spacing:  1.5 l..."/>
    <w:basedOn w:val="Heading1"/>
    <w:autoRedefine/>
    <w:rsid w:val="00D55A9C"/>
    <w:pPr>
      <w:keepLines w:val="0"/>
      <w:tabs>
        <w:tab w:val="num" w:pos="720"/>
      </w:tabs>
      <w:spacing w:after="0" w:line="360" w:lineRule="auto"/>
    </w:pPr>
    <w:rPr>
      <w:rFonts w:ascii="Helvetica" w:eastAsia="Times New Roman" w:hAnsi="Helvetica" w:cs="Times New Roman"/>
      <w:bCs/>
      <w:kern w:val="28"/>
      <w:szCs w:val="20"/>
    </w:rPr>
  </w:style>
  <w:style w:type="paragraph" w:styleId="BodyTextIndent">
    <w:name w:val="Body Text Indent"/>
    <w:basedOn w:val="Normal"/>
    <w:link w:val="BodyTextIndentChar"/>
    <w:rsid w:val="00D55A9C"/>
    <w:pPr>
      <w:spacing w:after="120" w:line="240" w:lineRule="auto"/>
      <w:ind w:left="360" w:firstLine="0"/>
    </w:pPr>
    <w:rPr>
      <w:rFonts w:ascii="Palatino" w:eastAsia="Times New Roman" w:hAnsi="Palatino" w:cs="Times New Roman"/>
      <w:szCs w:val="20"/>
    </w:rPr>
  </w:style>
  <w:style w:type="character" w:customStyle="1" w:styleId="BodyTextIndentChar">
    <w:name w:val="Body Text Indent Char"/>
    <w:basedOn w:val="DefaultParagraphFont"/>
    <w:link w:val="BodyTextIndent"/>
    <w:rsid w:val="00D55A9C"/>
    <w:rPr>
      <w:rFonts w:ascii="Palatino" w:eastAsia="Times New Roman" w:hAnsi="Palatino" w:cs="Times New Roman"/>
      <w:sz w:val="26"/>
      <w:szCs w:val="20"/>
    </w:rPr>
  </w:style>
  <w:style w:type="paragraph" w:customStyle="1" w:styleId="a1">
    <w:name w:val="a.1"/>
    <w:basedOn w:val="BodyTextIndent"/>
    <w:rsid w:val="00D55A9C"/>
    <w:pPr>
      <w:numPr>
        <w:ilvl w:val="1"/>
        <w:numId w:val="19"/>
      </w:numPr>
      <w:ind w:right="1080"/>
    </w:pPr>
  </w:style>
  <w:style w:type="paragraph" w:customStyle="1" w:styleId="a2">
    <w:name w:val="a2"/>
    <w:basedOn w:val="BodyTextIndent"/>
    <w:rsid w:val="00D55A9C"/>
    <w:pPr>
      <w:ind w:left="1166" w:right="1080" w:hanging="446"/>
    </w:pPr>
  </w:style>
  <w:style w:type="character" w:customStyle="1" w:styleId="mainChar">
    <w:name w:val="main Char"/>
    <w:link w:val="main0"/>
    <w:rsid w:val="00D55A9C"/>
    <w:rPr>
      <w:rFonts w:ascii="Helvetica" w:eastAsia="Times New Roman" w:hAnsi="Helvetica" w:cs="Times New Roman"/>
      <w:b/>
      <w:sz w:val="26"/>
      <w:szCs w:val="20"/>
    </w:rPr>
  </w:style>
  <w:style w:type="character" w:customStyle="1" w:styleId="ilfuvd">
    <w:name w:val="ilfuvd"/>
    <w:basedOn w:val="DefaultParagraphFont"/>
    <w:rsid w:val="00D55A9C"/>
  </w:style>
  <w:style w:type="character" w:customStyle="1" w:styleId="kx21rb">
    <w:name w:val="kx21rb"/>
    <w:basedOn w:val="DefaultParagraphFont"/>
    <w:rsid w:val="00D55A9C"/>
  </w:style>
  <w:style w:type="table" w:customStyle="1" w:styleId="PlainTable31">
    <w:name w:val="Plain Table 31"/>
    <w:basedOn w:val="TableNormal"/>
    <w:uiPriority w:val="43"/>
    <w:rsid w:val="00D55A9C"/>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D55A9C"/>
    <w:pPr>
      <w:spacing w:after="200" w:line="240" w:lineRule="auto"/>
      <w:ind w:firstLine="0"/>
    </w:pPr>
    <w:rPr>
      <w:rFonts w:asciiTheme="minorHAnsi" w:hAnsiTheme="minorHAnsi"/>
      <w:i/>
      <w:iCs/>
      <w:color w:val="44546A" w:themeColor="text2"/>
      <w:sz w:val="18"/>
      <w:szCs w:val="18"/>
    </w:rPr>
  </w:style>
  <w:style w:type="paragraph" w:styleId="ListParagraph">
    <w:name w:val="List Paragraph"/>
    <w:basedOn w:val="Normal"/>
    <w:uiPriority w:val="34"/>
    <w:qFormat/>
    <w:rsid w:val="00D55A9C"/>
    <w:pPr>
      <w:spacing w:line="240" w:lineRule="auto"/>
      <w:ind w:left="720" w:firstLine="0"/>
      <w:contextualSpacing/>
    </w:pPr>
    <w:rPr>
      <w:rFonts w:ascii="Palatino" w:eastAsia="PMingLiU" w:hAnsi="Palatino" w:cs="Times New Roman"/>
      <w:szCs w:val="20"/>
    </w:rPr>
  </w:style>
  <w:style w:type="paragraph" w:styleId="CommentText">
    <w:name w:val="annotation text"/>
    <w:basedOn w:val="Normal"/>
    <w:link w:val="CommentTextChar"/>
    <w:uiPriority w:val="99"/>
    <w:unhideWhenUsed/>
    <w:rsid w:val="00D55A9C"/>
    <w:pPr>
      <w:spacing w:line="240" w:lineRule="auto"/>
      <w:ind w:firstLine="0"/>
    </w:pPr>
    <w:rPr>
      <w:rFonts w:ascii="Palatino" w:eastAsia="Times New Roman" w:hAnsi="Palatino" w:cs="Times New Roman"/>
      <w:sz w:val="20"/>
      <w:szCs w:val="20"/>
    </w:rPr>
  </w:style>
  <w:style w:type="character" w:customStyle="1" w:styleId="CommentTextChar">
    <w:name w:val="Comment Text Char"/>
    <w:basedOn w:val="DefaultParagraphFont"/>
    <w:link w:val="CommentText"/>
    <w:uiPriority w:val="99"/>
    <w:rsid w:val="00D55A9C"/>
    <w:rPr>
      <w:rFonts w:ascii="Palatino" w:eastAsia="Times New Roman" w:hAnsi="Palatino" w:cs="Times New Roman"/>
      <w:sz w:val="20"/>
      <w:szCs w:val="20"/>
    </w:rPr>
  </w:style>
  <w:style w:type="character" w:styleId="CommentReference">
    <w:name w:val="annotation reference"/>
    <w:basedOn w:val="DefaultParagraphFont"/>
    <w:uiPriority w:val="99"/>
    <w:semiHidden/>
    <w:unhideWhenUsed/>
    <w:rsid w:val="00D55A9C"/>
    <w:rPr>
      <w:sz w:val="16"/>
      <w:szCs w:val="16"/>
    </w:rPr>
  </w:style>
  <w:style w:type="character" w:customStyle="1" w:styleId="displayonly">
    <w:name w:val="display_only"/>
    <w:basedOn w:val="DefaultParagraphFont"/>
    <w:rsid w:val="00D55A9C"/>
  </w:style>
  <w:style w:type="paragraph" w:styleId="NormalWeb">
    <w:name w:val="Normal (Web)"/>
    <w:basedOn w:val="Normal"/>
    <w:uiPriority w:val="99"/>
    <w:unhideWhenUsed/>
    <w:rsid w:val="00D55A9C"/>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D55A9C"/>
    <w:rPr>
      <w:rFonts w:ascii="Times New Roman" w:hAnsi="Times New Roman"/>
      <w:b/>
      <w:bCs/>
    </w:rPr>
  </w:style>
  <w:style w:type="character" w:customStyle="1" w:styleId="CommentSubjectChar">
    <w:name w:val="Comment Subject Char"/>
    <w:basedOn w:val="CommentTextChar"/>
    <w:link w:val="CommentSubject"/>
    <w:semiHidden/>
    <w:rsid w:val="00D55A9C"/>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D55A9C"/>
    <w:rPr>
      <w:color w:val="605E5C"/>
      <w:shd w:val="clear" w:color="auto" w:fill="E1DFDD"/>
    </w:rPr>
  </w:style>
  <w:style w:type="character" w:customStyle="1" w:styleId="normaltextrun">
    <w:name w:val="normaltextrun"/>
    <w:basedOn w:val="DefaultParagraphFont"/>
    <w:rsid w:val="00D55A9C"/>
  </w:style>
  <w:style w:type="paragraph" w:customStyle="1" w:styleId="paragraph">
    <w:name w:val="paragraph"/>
    <w:basedOn w:val="Normal"/>
    <w:rsid w:val="00D55A9C"/>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eop">
    <w:name w:val="eop"/>
    <w:basedOn w:val="DefaultParagraphFont"/>
    <w:rsid w:val="00D55A9C"/>
  </w:style>
  <w:style w:type="paragraph" w:styleId="Revision">
    <w:name w:val="Revision"/>
    <w:hidden/>
    <w:uiPriority w:val="99"/>
    <w:semiHidden/>
    <w:rsid w:val="00D55A9C"/>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55A9C"/>
    <w:rPr>
      <w:color w:val="2B579A"/>
      <w:shd w:val="clear" w:color="auto" w:fill="E6E6E6"/>
    </w:rPr>
  </w:style>
  <w:style w:type="character" w:customStyle="1" w:styleId="superscript">
    <w:name w:val="superscript"/>
    <w:basedOn w:val="DefaultParagraphFont"/>
    <w:rsid w:val="00D55A9C"/>
  </w:style>
  <w:style w:type="character" w:customStyle="1" w:styleId="spellingerror">
    <w:name w:val="spellingerror"/>
    <w:basedOn w:val="DefaultParagraphFont"/>
    <w:rsid w:val="00C4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588">
      <w:bodyDiv w:val="1"/>
      <w:marLeft w:val="0"/>
      <w:marRight w:val="0"/>
      <w:marTop w:val="0"/>
      <w:marBottom w:val="0"/>
      <w:divBdr>
        <w:top w:val="none" w:sz="0" w:space="0" w:color="auto"/>
        <w:left w:val="none" w:sz="0" w:space="0" w:color="auto"/>
        <w:bottom w:val="none" w:sz="0" w:space="0" w:color="auto"/>
        <w:right w:val="none" w:sz="0" w:space="0" w:color="auto"/>
      </w:divBdr>
    </w:div>
    <w:div w:id="319623724">
      <w:bodyDiv w:val="1"/>
      <w:marLeft w:val="0"/>
      <w:marRight w:val="0"/>
      <w:marTop w:val="0"/>
      <w:marBottom w:val="0"/>
      <w:divBdr>
        <w:top w:val="none" w:sz="0" w:space="0" w:color="auto"/>
        <w:left w:val="none" w:sz="0" w:space="0" w:color="auto"/>
        <w:bottom w:val="none" w:sz="0" w:space="0" w:color="auto"/>
        <w:right w:val="none" w:sz="0" w:space="0" w:color="auto"/>
      </w:divBdr>
    </w:div>
    <w:div w:id="742067619">
      <w:bodyDiv w:val="1"/>
      <w:marLeft w:val="0"/>
      <w:marRight w:val="0"/>
      <w:marTop w:val="0"/>
      <w:marBottom w:val="0"/>
      <w:divBdr>
        <w:top w:val="none" w:sz="0" w:space="0" w:color="auto"/>
        <w:left w:val="none" w:sz="0" w:space="0" w:color="auto"/>
        <w:bottom w:val="none" w:sz="0" w:space="0" w:color="auto"/>
        <w:right w:val="none" w:sz="0" w:space="0" w:color="auto"/>
      </w:divBdr>
    </w:div>
    <w:div w:id="777021980">
      <w:bodyDiv w:val="1"/>
      <w:marLeft w:val="0"/>
      <w:marRight w:val="0"/>
      <w:marTop w:val="0"/>
      <w:marBottom w:val="0"/>
      <w:divBdr>
        <w:top w:val="none" w:sz="0" w:space="0" w:color="auto"/>
        <w:left w:val="none" w:sz="0" w:space="0" w:color="auto"/>
        <w:bottom w:val="none" w:sz="0" w:space="0" w:color="auto"/>
        <w:right w:val="none" w:sz="0" w:space="0" w:color="auto"/>
      </w:divBdr>
    </w:div>
    <w:div w:id="805708823">
      <w:bodyDiv w:val="1"/>
      <w:marLeft w:val="0"/>
      <w:marRight w:val="0"/>
      <w:marTop w:val="0"/>
      <w:marBottom w:val="0"/>
      <w:divBdr>
        <w:top w:val="none" w:sz="0" w:space="0" w:color="auto"/>
        <w:left w:val="none" w:sz="0" w:space="0" w:color="auto"/>
        <w:bottom w:val="none" w:sz="0" w:space="0" w:color="auto"/>
        <w:right w:val="none" w:sz="0" w:space="0" w:color="auto"/>
      </w:divBdr>
    </w:div>
    <w:div w:id="856117145">
      <w:bodyDiv w:val="1"/>
      <w:marLeft w:val="0"/>
      <w:marRight w:val="0"/>
      <w:marTop w:val="0"/>
      <w:marBottom w:val="0"/>
      <w:divBdr>
        <w:top w:val="none" w:sz="0" w:space="0" w:color="auto"/>
        <w:left w:val="none" w:sz="0" w:space="0" w:color="auto"/>
        <w:bottom w:val="none" w:sz="0" w:space="0" w:color="auto"/>
        <w:right w:val="none" w:sz="0" w:space="0" w:color="auto"/>
      </w:divBdr>
      <w:divsChild>
        <w:div w:id="1745297722">
          <w:marLeft w:val="0"/>
          <w:marRight w:val="0"/>
          <w:marTop w:val="0"/>
          <w:marBottom w:val="0"/>
          <w:divBdr>
            <w:top w:val="none" w:sz="0" w:space="0" w:color="auto"/>
            <w:left w:val="none" w:sz="0" w:space="0" w:color="auto"/>
            <w:bottom w:val="none" w:sz="0" w:space="0" w:color="auto"/>
            <w:right w:val="none" w:sz="0" w:space="0" w:color="auto"/>
          </w:divBdr>
        </w:div>
        <w:div w:id="2094626417">
          <w:marLeft w:val="0"/>
          <w:marRight w:val="0"/>
          <w:marTop w:val="0"/>
          <w:marBottom w:val="0"/>
          <w:divBdr>
            <w:top w:val="none" w:sz="0" w:space="0" w:color="auto"/>
            <w:left w:val="none" w:sz="0" w:space="0" w:color="auto"/>
            <w:bottom w:val="none" w:sz="0" w:space="0" w:color="auto"/>
            <w:right w:val="none" w:sz="0" w:space="0" w:color="auto"/>
          </w:divBdr>
        </w:div>
      </w:divsChild>
    </w:div>
    <w:div w:id="892542576">
      <w:bodyDiv w:val="1"/>
      <w:marLeft w:val="0"/>
      <w:marRight w:val="0"/>
      <w:marTop w:val="0"/>
      <w:marBottom w:val="0"/>
      <w:divBdr>
        <w:top w:val="none" w:sz="0" w:space="0" w:color="auto"/>
        <w:left w:val="none" w:sz="0" w:space="0" w:color="auto"/>
        <w:bottom w:val="none" w:sz="0" w:space="0" w:color="auto"/>
        <w:right w:val="none" w:sz="0" w:space="0" w:color="auto"/>
      </w:divBdr>
    </w:div>
    <w:div w:id="1285504195">
      <w:bodyDiv w:val="1"/>
      <w:marLeft w:val="0"/>
      <w:marRight w:val="0"/>
      <w:marTop w:val="0"/>
      <w:marBottom w:val="0"/>
      <w:divBdr>
        <w:top w:val="none" w:sz="0" w:space="0" w:color="auto"/>
        <w:left w:val="none" w:sz="0" w:space="0" w:color="auto"/>
        <w:bottom w:val="none" w:sz="0" w:space="0" w:color="auto"/>
        <w:right w:val="none" w:sz="0" w:space="0" w:color="auto"/>
      </w:divBdr>
    </w:div>
    <w:div w:id="1400399433">
      <w:bodyDiv w:val="1"/>
      <w:marLeft w:val="0"/>
      <w:marRight w:val="0"/>
      <w:marTop w:val="0"/>
      <w:marBottom w:val="0"/>
      <w:divBdr>
        <w:top w:val="none" w:sz="0" w:space="0" w:color="auto"/>
        <w:left w:val="none" w:sz="0" w:space="0" w:color="auto"/>
        <w:bottom w:val="none" w:sz="0" w:space="0" w:color="auto"/>
        <w:right w:val="none" w:sz="0" w:space="0" w:color="auto"/>
      </w:divBdr>
    </w:div>
    <w:div w:id="1436944723">
      <w:bodyDiv w:val="1"/>
      <w:marLeft w:val="0"/>
      <w:marRight w:val="0"/>
      <w:marTop w:val="0"/>
      <w:marBottom w:val="0"/>
      <w:divBdr>
        <w:top w:val="none" w:sz="0" w:space="0" w:color="auto"/>
        <w:left w:val="none" w:sz="0" w:space="0" w:color="auto"/>
        <w:bottom w:val="none" w:sz="0" w:space="0" w:color="auto"/>
        <w:right w:val="none" w:sz="0" w:space="0" w:color="auto"/>
      </w:divBdr>
    </w:div>
    <w:div w:id="1679308379">
      <w:bodyDiv w:val="1"/>
      <w:marLeft w:val="0"/>
      <w:marRight w:val="0"/>
      <w:marTop w:val="0"/>
      <w:marBottom w:val="0"/>
      <w:divBdr>
        <w:top w:val="none" w:sz="0" w:space="0" w:color="auto"/>
        <w:left w:val="none" w:sz="0" w:space="0" w:color="auto"/>
        <w:bottom w:val="none" w:sz="0" w:space="0" w:color="auto"/>
        <w:right w:val="none" w:sz="0" w:space="0" w:color="auto"/>
      </w:divBdr>
    </w:div>
    <w:div w:id="1812166029">
      <w:bodyDiv w:val="1"/>
      <w:marLeft w:val="0"/>
      <w:marRight w:val="0"/>
      <w:marTop w:val="0"/>
      <w:marBottom w:val="0"/>
      <w:divBdr>
        <w:top w:val="none" w:sz="0" w:space="0" w:color="auto"/>
        <w:left w:val="none" w:sz="0" w:space="0" w:color="auto"/>
        <w:bottom w:val="none" w:sz="0" w:space="0" w:color="auto"/>
        <w:right w:val="none" w:sz="0" w:space="0" w:color="auto"/>
      </w:divBdr>
    </w:div>
    <w:div w:id="2043163061">
      <w:bodyDiv w:val="1"/>
      <w:marLeft w:val="0"/>
      <w:marRight w:val="0"/>
      <w:marTop w:val="0"/>
      <w:marBottom w:val="0"/>
      <w:divBdr>
        <w:top w:val="none" w:sz="0" w:space="0" w:color="auto"/>
        <w:left w:val="none" w:sz="0" w:space="0" w:color="auto"/>
        <w:bottom w:val="none" w:sz="0" w:space="0" w:color="auto"/>
        <w:right w:val="none" w:sz="0" w:space="0" w:color="auto"/>
      </w:divBdr>
      <w:divsChild>
        <w:div w:id="1936091460">
          <w:marLeft w:val="0"/>
          <w:marRight w:val="0"/>
          <w:marTop w:val="0"/>
          <w:marBottom w:val="0"/>
          <w:divBdr>
            <w:top w:val="none" w:sz="0" w:space="0" w:color="auto"/>
            <w:left w:val="none" w:sz="0" w:space="0" w:color="auto"/>
            <w:bottom w:val="none" w:sz="0" w:space="0" w:color="auto"/>
            <w:right w:val="none" w:sz="0" w:space="0" w:color="auto"/>
          </w:divBdr>
        </w:div>
        <w:div w:id="212561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s>
</file>

<file path=word/documenttasks/documenttasks1.xml><?xml version="1.0" encoding="utf-8"?>
<t:Tasks xmlns:t="http://schemas.microsoft.com/office/tasks/2019/documenttasks" xmlns:oel="http://schemas.microsoft.com/office/2019/extlst">
  <t:Task id="{E512C1D1-6A8E-44D4-8598-B862821EB6FA}">
    <t:Anchor>
      <t:Comment id="609103689"/>
    </t:Anchor>
    <t:History>
      <t:Event id="{C0A561D0-403E-4DEC-A4B2-5598D87F1E27}" time="2021-05-24T17:20:18Z">
        <t:Attribution userId="S::stephanie.wang@cpuc.ca.gov::03e85a3f-3c80-4fe7-b44b-0d4457483638" userProvider="AD" userName="Wang, Stephanie"/>
        <t:Anchor>
          <t:Comment id="1554464604"/>
        </t:Anchor>
        <t:Create/>
      </t:Event>
      <t:Event id="{82ADBAA9-FEBB-4FAE-9F96-78A1A15CE73A}" time="2021-05-24T17:20:18Z">
        <t:Attribution userId="S::stephanie.wang@cpuc.ca.gov::03e85a3f-3c80-4fe7-b44b-0d4457483638" userProvider="AD" userName="Wang, Stephanie"/>
        <t:Anchor>
          <t:Comment id="1554464604"/>
        </t:Anchor>
        <t:Assign userId="S::Merideth.Sterkel@cpuc.ca.gov::9f99ea54-d642-440c-a70c-716acc02a43d" userProvider="AD" userName="Sterkel, Merideth &quot;Molly&quot;"/>
      </t:Event>
      <t:Event id="{D7BE499E-084D-4307-B6D1-6DE8474240D6}" time="2021-05-24T17:20:18Z">
        <t:Attribution userId="S::stephanie.wang@cpuc.ca.gov::03e85a3f-3c80-4fe7-b44b-0d4457483638" userProvider="AD" userName="Wang, Stephanie"/>
        <t:Anchor>
          <t:Comment id="1554464604"/>
        </t:Anchor>
        <t:SetTitle title="@Sterkel, Merideth &quot;Molly&quot;"/>
      </t:Event>
    </t:History>
  </t:Task>
  <t:Task id="{32609808-503F-4C97-BC1E-6690E52F54E6}">
    <t:Anchor>
      <t:Comment id="609096864"/>
    </t:Anchor>
    <t:History>
      <t:Event id="{BE088DD7-BF0B-4152-BA38-51DF60793F24}" time="2021-05-24T17:21:50Z">
        <t:Attribution userId="S::stephanie.wang@cpuc.ca.gov::03e85a3f-3c80-4fe7-b44b-0d4457483638" userProvider="AD" userName="Wang, Stephanie"/>
        <t:Anchor>
          <t:Comment id="1555200119"/>
        </t:Anchor>
        <t:Create/>
      </t:Event>
      <t:Event id="{6C7B6847-58A2-4197-A4BA-7A31E0AE78BD}" time="2021-05-24T17:21:50Z">
        <t:Attribution userId="S::stephanie.wang@cpuc.ca.gov::03e85a3f-3c80-4fe7-b44b-0d4457483638" userProvider="AD" userName="Wang, Stephanie"/>
        <t:Anchor>
          <t:Comment id="1555200119"/>
        </t:Anchor>
        <t:Assign userId="S::Merideth.Sterkel@cpuc.ca.gov::9f99ea54-d642-440c-a70c-716acc02a43d" userProvider="AD" userName="Sterkel, Merideth &quot;Molly&quot;"/>
      </t:Event>
      <t:Event id="{0DD48D5A-155A-4DEE-AEC5-1F489AE0F484}" time="2021-05-24T17:21:50Z">
        <t:Attribution userId="S::stephanie.wang@cpuc.ca.gov::03e85a3f-3c80-4fe7-b44b-0d4457483638" userProvider="AD" userName="Wang, Stephanie"/>
        <t:Anchor>
          <t:Comment id="1555200119"/>
        </t:Anchor>
        <t:SetTitle title="@Sterkel, Merideth &quot;Molly&quot; Please review"/>
      </t:Event>
      <t:Event id="{A0DA112E-95D3-4AC0-A3E8-EF6FC4D7E332}" time="2021-05-25T00:46:15.181Z">
        <t:Attribution userId="S::stephanie.wang@cpuc.ca.gov::03e85a3f-3c80-4fe7-b44b-0d4457483638" userProvider="AD" userName="Wang, Stephanie"/>
        <t:Progress percentComplete="100"/>
      </t:Event>
    </t:History>
  </t:Task>
  <t:Task id="{10803960-4C37-4DBB-8406-E302313F0B1A}">
    <t:Anchor>
      <t:Comment id="609108646"/>
    </t:Anchor>
    <t:History>
      <t:Event id="{2E44A2E4-7DC4-4D93-9921-BC6E112B7ADE}" time="2021-05-24T17:21:05Z">
        <t:Attribution userId="S::stephanie.wang@cpuc.ca.gov::03e85a3f-3c80-4fe7-b44b-0d4457483638" userProvider="AD" userName="Wang, Stephanie"/>
        <t:Anchor>
          <t:Comment id="2098528591"/>
        </t:Anchor>
        <t:Create/>
      </t:Event>
      <t:Event id="{5A8DF246-FC5C-43B8-82CB-7A09E3A1C22F}" time="2021-05-24T17:21:05Z">
        <t:Attribution userId="S::stephanie.wang@cpuc.ca.gov::03e85a3f-3c80-4fe7-b44b-0d4457483638" userProvider="AD" userName="Wang, Stephanie"/>
        <t:Anchor>
          <t:Comment id="2098528591"/>
        </t:Anchor>
        <t:Assign userId="S::Merideth.Sterkel@cpuc.ca.gov::9f99ea54-d642-440c-a70c-716acc02a43d" userProvider="AD" userName="Sterkel, Merideth &quot;Molly&quot;"/>
      </t:Event>
      <t:Event id="{E833C4A2-16FE-41F1-A27B-A1CC12A13AF4}" time="2021-05-24T17:21:05Z">
        <t:Attribution userId="S::stephanie.wang@cpuc.ca.gov::03e85a3f-3c80-4fe7-b44b-0d4457483638" userProvider="AD" userName="Wang, Stephanie"/>
        <t:Anchor>
          <t:Comment id="2098528591"/>
        </t:Anchor>
        <t:SetTitle title="@Sterkel, Merideth &quot;Molly&quot; Looking forward to your thoughts."/>
      </t:Event>
    </t:History>
  </t:Task>
  <t:Task id="{2A8E6492-642B-4295-9BBF-30D1105BCB86}">
    <t:Anchor>
      <t:Comment id="913398421"/>
    </t:Anchor>
    <t:History>
      <t:Event id="{074C0723-93E1-4DEB-B8DF-223545D0A942}" time="2021-05-24T17:20:43Z">
        <t:Attribution userId="S::stephanie.wang@cpuc.ca.gov::03e85a3f-3c80-4fe7-b44b-0d4457483638" userProvider="AD" userName="Wang, Stephanie"/>
        <t:Anchor>
          <t:Comment id="586929666"/>
        </t:Anchor>
        <t:Create/>
      </t:Event>
      <t:Event id="{EF51F5D3-38B6-4F67-8B49-4E551F142753}" time="2021-05-24T17:20:43Z">
        <t:Attribution userId="S::stephanie.wang@cpuc.ca.gov::03e85a3f-3c80-4fe7-b44b-0d4457483638" userProvider="AD" userName="Wang, Stephanie"/>
        <t:Anchor>
          <t:Comment id="586929666"/>
        </t:Anchor>
        <t:Assign userId="S::Merideth.Sterkel@cpuc.ca.gov::9f99ea54-d642-440c-a70c-716acc02a43d" userProvider="AD" userName="Sterkel, Merideth &quot;Molly&quot;"/>
      </t:Event>
      <t:Event id="{84292CF2-2D8A-4BF7-8027-40E3098D4407}" time="2021-05-24T17:20:43Z">
        <t:Attribution userId="S::stephanie.wang@cpuc.ca.gov::03e85a3f-3c80-4fe7-b44b-0d4457483638" userProvider="AD" userName="Wang, Stephanie"/>
        <t:Anchor>
          <t:Comment id="586929666"/>
        </t:Anchor>
        <t:SetTitle title="@Sterkel, Merideth &quot;Molly&quot; Any suggestions?"/>
      </t:Event>
    </t:History>
  </t:Task>
  <t:Task id="{B6076482-F938-4557-8512-2D2F8CE1B630}">
    <t:Anchor>
      <t:Comment id="609103742"/>
    </t:Anchor>
    <t:History>
      <t:Event id="{6EF59A7F-8705-44DA-9030-FBA25F494D4F}" time="2021-05-24T17:24:35Z">
        <t:Attribution userId="S::stephanie.wang@cpuc.ca.gov::03e85a3f-3c80-4fe7-b44b-0d4457483638" userProvider="AD" userName="Wang, Stephanie"/>
        <t:Anchor>
          <t:Comment id="1823085460"/>
        </t:Anchor>
        <t:Create/>
      </t:Event>
      <t:Event id="{7761629F-DDFC-4F1F-AD3C-054101DA0FEB}" time="2021-05-24T17:24:35Z">
        <t:Attribution userId="S::stephanie.wang@cpuc.ca.gov::03e85a3f-3c80-4fe7-b44b-0d4457483638" userProvider="AD" userName="Wang, Stephanie"/>
        <t:Anchor>
          <t:Comment id="1823085460"/>
        </t:Anchor>
        <t:Assign userId="S::Merideth.Sterkel@cpuc.ca.gov::9f99ea54-d642-440c-a70c-716acc02a43d" userProvider="AD" userName="Sterkel, Merideth &quot;Molly&quot;"/>
      </t:Event>
      <t:Event id="{3CEBC331-8CDB-4FC6-9E80-2CE148894B50}" time="2021-05-24T17:24:35Z">
        <t:Attribution userId="S::stephanie.wang@cpuc.ca.gov::03e85a3f-3c80-4fe7-b44b-0d4457483638" userProvider="AD" userName="Wang, Stephanie"/>
        <t:Anchor>
          <t:Comment id="1823085460"/>
        </t:Anchor>
        <t:SetTitle title="@Sterkel, Merideth &quot;Molly&quot; Do you agree with PG&amp;E that we should expand the definition of Major Work Category IG to allow for guidebook costs (p 7)?"/>
      </t:Event>
    </t:History>
  </t:Task>
  <t:Task id="{8DBBFAC6-147A-4859-8707-09071BF36C55}">
    <t:Anchor>
      <t:Comment id="1269653831"/>
    </t:Anchor>
    <t:History>
      <t:Event id="{A84DE46A-BF41-41E8-BC95-603B80FA2436}" time="2021-05-24T17:46:25Z">
        <t:Attribution userId="S::merideth.sterkel@cpuc.ca.gov::9f99ea54-d642-440c-a70c-716acc02a43d" userProvider="AD" userName="Sterkel, Merideth &quot;Molly&quot;"/>
        <t:Anchor>
          <t:Comment id="1269653831"/>
        </t:Anchor>
        <t:Create/>
      </t:Event>
      <t:Event id="{DA3F2C90-07DA-4342-8F58-49424E1CB5CB}" time="2021-05-24T17:46:25Z">
        <t:Attribution userId="S::merideth.sterkel@cpuc.ca.gov::9f99ea54-d642-440c-a70c-716acc02a43d" userProvider="AD" userName="Sterkel, Merideth &quot;Molly&quot;"/>
        <t:Anchor>
          <t:Comment id="1269653831"/>
        </t:Anchor>
        <t:Assign userId="S::gabriel.petlin@cpuc.ca.gov::acdc109c-6cda-4721-8e45-bc15709e48dd" userProvider="AD" userName="Petlin, Gabriel"/>
      </t:Event>
      <t:Event id="{979C2E68-9911-4488-A25F-278E81AE2C3E}" time="2021-05-24T17:46:25Z">
        <t:Attribution userId="S::merideth.sterkel@cpuc.ca.gov::9f99ea54-d642-440c-a70c-716acc02a43d" userProvider="AD" userName="Sterkel, Merideth &quot;Molly&quot;"/>
        <t:Anchor>
          <t:Comment id="1269653831"/>
        </t:Anchor>
        <t:SetTitle title="@Petlin, Gabriel do you have a copy of the would-have-been audit scope so we can see what exact years it would cover (or at least what year it would start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51</ap:Pages>
  <ap:Words>11132</ap:Words>
  <ap:Characters>63455</ap:Characters>
  <ap:Application>Microsoft Office Word</ap:Application>
  <ap:DocSecurity>0</ap:DocSecurity>
  <ap:Lines>528</ap:Lines>
  <ap:Paragraphs>148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74439</ap:CharactersWithSpaces>
  <ap:SharedDoc>false</ap:SharedDoc>
  <ap:HLinks>
    <vt:vector baseType="variant" size="150">
      <vt:variant>
        <vt:i4>1048625</vt:i4>
      </vt:variant>
      <vt:variant>
        <vt:i4>110</vt:i4>
      </vt:variant>
      <vt:variant>
        <vt:i4>0</vt:i4>
      </vt:variant>
      <vt:variant>
        <vt:i4>5</vt:i4>
      </vt:variant>
      <vt:variant>
        <vt:lpwstr/>
      </vt:variant>
      <vt:variant>
        <vt:lpwstr>_Toc68688790</vt:lpwstr>
      </vt:variant>
      <vt:variant>
        <vt:i4>1638448</vt:i4>
      </vt:variant>
      <vt:variant>
        <vt:i4>104</vt:i4>
      </vt:variant>
      <vt:variant>
        <vt:i4>0</vt:i4>
      </vt:variant>
      <vt:variant>
        <vt:i4>5</vt:i4>
      </vt:variant>
      <vt:variant>
        <vt:lpwstr/>
      </vt:variant>
      <vt:variant>
        <vt:lpwstr>_Toc68688789</vt:lpwstr>
      </vt:variant>
      <vt:variant>
        <vt:i4>1572912</vt:i4>
      </vt:variant>
      <vt:variant>
        <vt:i4>98</vt:i4>
      </vt:variant>
      <vt:variant>
        <vt:i4>0</vt:i4>
      </vt:variant>
      <vt:variant>
        <vt:i4>5</vt:i4>
      </vt:variant>
      <vt:variant>
        <vt:lpwstr/>
      </vt:variant>
      <vt:variant>
        <vt:lpwstr>_Toc68688788</vt:lpwstr>
      </vt:variant>
      <vt:variant>
        <vt:i4>1507376</vt:i4>
      </vt:variant>
      <vt:variant>
        <vt:i4>92</vt:i4>
      </vt:variant>
      <vt:variant>
        <vt:i4>0</vt:i4>
      </vt:variant>
      <vt:variant>
        <vt:i4>5</vt:i4>
      </vt:variant>
      <vt:variant>
        <vt:lpwstr/>
      </vt:variant>
      <vt:variant>
        <vt:lpwstr>_Toc68688787</vt:lpwstr>
      </vt:variant>
      <vt:variant>
        <vt:i4>1441840</vt:i4>
      </vt:variant>
      <vt:variant>
        <vt:i4>86</vt:i4>
      </vt:variant>
      <vt:variant>
        <vt:i4>0</vt:i4>
      </vt:variant>
      <vt:variant>
        <vt:i4>5</vt:i4>
      </vt:variant>
      <vt:variant>
        <vt:lpwstr/>
      </vt:variant>
      <vt:variant>
        <vt:lpwstr>_Toc68688786</vt:lpwstr>
      </vt:variant>
      <vt:variant>
        <vt:i4>1376304</vt:i4>
      </vt:variant>
      <vt:variant>
        <vt:i4>80</vt:i4>
      </vt:variant>
      <vt:variant>
        <vt:i4>0</vt:i4>
      </vt:variant>
      <vt:variant>
        <vt:i4>5</vt:i4>
      </vt:variant>
      <vt:variant>
        <vt:lpwstr/>
      </vt:variant>
      <vt:variant>
        <vt:lpwstr>_Toc68688785</vt:lpwstr>
      </vt:variant>
      <vt:variant>
        <vt:i4>1310768</vt:i4>
      </vt:variant>
      <vt:variant>
        <vt:i4>74</vt:i4>
      </vt:variant>
      <vt:variant>
        <vt:i4>0</vt:i4>
      </vt:variant>
      <vt:variant>
        <vt:i4>5</vt:i4>
      </vt:variant>
      <vt:variant>
        <vt:lpwstr/>
      </vt:variant>
      <vt:variant>
        <vt:lpwstr>_Toc68688784</vt:lpwstr>
      </vt:variant>
      <vt:variant>
        <vt:i4>1245232</vt:i4>
      </vt:variant>
      <vt:variant>
        <vt:i4>68</vt:i4>
      </vt:variant>
      <vt:variant>
        <vt:i4>0</vt:i4>
      </vt:variant>
      <vt:variant>
        <vt:i4>5</vt:i4>
      </vt:variant>
      <vt:variant>
        <vt:lpwstr/>
      </vt:variant>
      <vt:variant>
        <vt:lpwstr>_Toc68688783</vt:lpwstr>
      </vt:variant>
      <vt:variant>
        <vt:i4>1179696</vt:i4>
      </vt:variant>
      <vt:variant>
        <vt:i4>62</vt:i4>
      </vt:variant>
      <vt:variant>
        <vt:i4>0</vt:i4>
      </vt:variant>
      <vt:variant>
        <vt:i4>5</vt:i4>
      </vt:variant>
      <vt:variant>
        <vt:lpwstr/>
      </vt:variant>
      <vt:variant>
        <vt:lpwstr>_Toc68688782</vt:lpwstr>
      </vt:variant>
      <vt:variant>
        <vt:i4>1114160</vt:i4>
      </vt:variant>
      <vt:variant>
        <vt:i4>56</vt:i4>
      </vt:variant>
      <vt:variant>
        <vt:i4>0</vt:i4>
      </vt:variant>
      <vt:variant>
        <vt:i4>5</vt:i4>
      </vt:variant>
      <vt:variant>
        <vt:lpwstr/>
      </vt:variant>
      <vt:variant>
        <vt:lpwstr>_Toc68688781</vt:lpwstr>
      </vt:variant>
      <vt:variant>
        <vt:i4>1048624</vt:i4>
      </vt:variant>
      <vt:variant>
        <vt:i4>50</vt:i4>
      </vt:variant>
      <vt:variant>
        <vt:i4>0</vt:i4>
      </vt:variant>
      <vt:variant>
        <vt:i4>5</vt:i4>
      </vt:variant>
      <vt:variant>
        <vt:lpwstr/>
      </vt:variant>
      <vt:variant>
        <vt:lpwstr>_Toc68688780</vt:lpwstr>
      </vt:variant>
      <vt:variant>
        <vt:i4>1638463</vt:i4>
      </vt:variant>
      <vt:variant>
        <vt:i4>44</vt:i4>
      </vt:variant>
      <vt:variant>
        <vt:i4>0</vt:i4>
      </vt:variant>
      <vt:variant>
        <vt:i4>5</vt:i4>
      </vt:variant>
      <vt:variant>
        <vt:lpwstr/>
      </vt:variant>
      <vt:variant>
        <vt:lpwstr>_Toc68688779</vt:lpwstr>
      </vt:variant>
      <vt:variant>
        <vt:i4>1572927</vt:i4>
      </vt:variant>
      <vt:variant>
        <vt:i4>38</vt:i4>
      </vt:variant>
      <vt:variant>
        <vt:i4>0</vt:i4>
      </vt:variant>
      <vt:variant>
        <vt:i4>5</vt:i4>
      </vt:variant>
      <vt:variant>
        <vt:lpwstr/>
      </vt:variant>
      <vt:variant>
        <vt:lpwstr>_Toc68688778</vt:lpwstr>
      </vt:variant>
      <vt:variant>
        <vt:i4>1507391</vt:i4>
      </vt:variant>
      <vt:variant>
        <vt:i4>32</vt:i4>
      </vt:variant>
      <vt:variant>
        <vt:i4>0</vt:i4>
      </vt:variant>
      <vt:variant>
        <vt:i4>5</vt:i4>
      </vt:variant>
      <vt:variant>
        <vt:lpwstr/>
      </vt:variant>
      <vt:variant>
        <vt:lpwstr>_Toc68688777</vt:lpwstr>
      </vt:variant>
      <vt:variant>
        <vt:i4>1441855</vt:i4>
      </vt:variant>
      <vt:variant>
        <vt:i4>26</vt:i4>
      </vt:variant>
      <vt:variant>
        <vt:i4>0</vt:i4>
      </vt:variant>
      <vt:variant>
        <vt:i4>5</vt:i4>
      </vt:variant>
      <vt:variant>
        <vt:lpwstr/>
      </vt:variant>
      <vt:variant>
        <vt:lpwstr>_Toc68688776</vt:lpwstr>
      </vt:variant>
      <vt:variant>
        <vt:i4>1376319</vt:i4>
      </vt:variant>
      <vt:variant>
        <vt:i4>20</vt:i4>
      </vt:variant>
      <vt:variant>
        <vt:i4>0</vt:i4>
      </vt:variant>
      <vt:variant>
        <vt:i4>5</vt:i4>
      </vt:variant>
      <vt:variant>
        <vt:lpwstr/>
      </vt:variant>
      <vt:variant>
        <vt:lpwstr>_Toc68688775</vt:lpwstr>
      </vt:variant>
      <vt:variant>
        <vt:i4>1310783</vt:i4>
      </vt:variant>
      <vt:variant>
        <vt:i4>14</vt:i4>
      </vt:variant>
      <vt:variant>
        <vt:i4>0</vt:i4>
      </vt:variant>
      <vt:variant>
        <vt:i4>5</vt:i4>
      </vt:variant>
      <vt:variant>
        <vt:lpwstr/>
      </vt:variant>
      <vt:variant>
        <vt:lpwstr>_Toc68688774</vt:lpwstr>
      </vt:variant>
      <vt:variant>
        <vt:i4>1245247</vt:i4>
      </vt:variant>
      <vt:variant>
        <vt:i4>8</vt:i4>
      </vt:variant>
      <vt:variant>
        <vt:i4>0</vt:i4>
      </vt:variant>
      <vt:variant>
        <vt:i4>5</vt:i4>
      </vt:variant>
      <vt:variant>
        <vt:lpwstr/>
      </vt:variant>
      <vt:variant>
        <vt:lpwstr>_Toc68688773</vt:lpwstr>
      </vt:variant>
      <vt:variant>
        <vt:i4>1179711</vt:i4>
      </vt:variant>
      <vt:variant>
        <vt:i4>2</vt:i4>
      </vt:variant>
      <vt:variant>
        <vt:i4>0</vt:i4>
      </vt:variant>
      <vt:variant>
        <vt:i4>5</vt:i4>
      </vt:variant>
      <vt:variant>
        <vt:lpwstr/>
      </vt:variant>
      <vt:variant>
        <vt:lpwstr>_Toc68688772</vt:lpwstr>
      </vt:variant>
      <vt:variant>
        <vt:i4>5308516</vt:i4>
      </vt:variant>
      <vt:variant>
        <vt:i4>15</vt:i4>
      </vt:variant>
      <vt:variant>
        <vt:i4>0</vt:i4>
      </vt:variant>
      <vt:variant>
        <vt:i4>5</vt:i4>
      </vt:variant>
      <vt:variant>
        <vt:lpwstr>mailto:Merideth.Sterkel@cpuc.ca.gov</vt:lpwstr>
      </vt:variant>
      <vt:variant>
        <vt:lpwstr/>
      </vt:variant>
      <vt:variant>
        <vt:i4>5308516</vt:i4>
      </vt:variant>
      <vt:variant>
        <vt:i4>12</vt:i4>
      </vt:variant>
      <vt:variant>
        <vt:i4>0</vt:i4>
      </vt:variant>
      <vt:variant>
        <vt:i4>5</vt:i4>
      </vt:variant>
      <vt:variant>
        <vt:lpwstr>mailto:Merideth.Sterkel@cpuc.ca.gov</vt:lpwstr>
      </vt:variant>
      <vt:variant>
        <vt:lpwstr/>
      </vt:variant>
      <vt:variant>
        <vt:i4>8257611</vt:i4>
      </vt:variant>
      <vt:variant>
        <vt:i4>9</vt:i4>
      </vt:variant>
      <vt:variant>
        <vt:i4>0</vt:i4>
      </vt:variant>
      <vt:variant>
        <vt:i4>5</vt:i4>
      </vt:variant>
      <vt:variant>
        <vt:lpwstr>mailto:gabriel.petlin@cpuc.ca.gov</vt:lpwstr>
      </vt:variant>
      <vt:variant>
        <vt:lpwstr/>
      </vt:variant>
      <vt:variant>
        <vt:i4>5308516</vt:i4>
      </vt:variant>
      <vt:variant>
        <vt:i4>6</vt:i4>
      </vt:variant>
      <vt:variant>
        <vt:i4>0</vt:i4>
      </vt:variant>
      <vt:variant>
        <vt:i4>5</vt:i4>
      </vt:variant>
      <vt:variant>
        <vt:lpwstr>mailto:Merideth.Sterkel@cpuc.ca.gov</vt:lpwstr>
      </vt:variant>
      <vt:variant>
        <vt:lpwstr/>
      </vt:variant>
      <vt:variant>
        <vt:i4>5308516</vt:i4>
      </vt:variant>
      <vt:variant>
        <vt:i4>3</vt:i4>
      </vt:variant>
      <vt:variant>
        <vt:i4>0</vt:i4>
      </vt:variant>
      <vt:variant>
        <vt:i4>5</vt:i4>
      </vt:variant>
      <vt:variant>
        <vt:lpwstr>mailto:Merideth.Sterkel@cpuc.ca.gov</vt:lpwstr>
      </vt:variant>
      <vt:variant>
        <vt:lpwstr/>
      </vt:variant>
      <vt:variant>
        <vt:i4>5308516</vt:i4>
      </vt:variant>
      <vt:variant>
        <vt:i4>0</vt:i4>
      </vt:variant>
      <vt:variant>
        <vt:i4>0</vt:i4>
      </vt:variant>
      <vt:variant>
        <vt:i4>5</vt:i4>
      </vt:variant>
      <vt:variant>
        <vt:lpwstr>mailto:Merideth.Sterkel@cpuc.ca.gov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2021-05-27T17:57:00Z</cp:lastPrinted>
  <dcterms:created xsi:type="dcterms:W3CDTF">2021-06-07T08:15:15Z</dcterms:created>
  <dcterms:modified xsi:type="dcterms:W3CDTF">2021-06-07T08:15:15Z</dcterms:modified>
</cp:coreProperties>
</file>